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HAnsi" w:hAnsi="Times New Roman" w:cstheme="minorBidi"/>
          <w:b w:val="0"/>
          <w:sz w:val="22"/>
          <w:szCs w:val="22"/>
          <w:u w:val="single"/>
        </w:rPr>
        <w:id w:val="962787086"/>
        <w:lock w:val="contentLocked"/>
        <w:placeholder>
          <w:docPart w:val="3F24F1B361AA4406A4B36253A44AD5DA"/>
        </w:placeholder>
        <w:group/>
      </w:sdtPr>
      <w:sdtEndPr>
        <w:rPr>
          <w:rFonts w:eastAsiaTheme="minorEastAsia"/>
          <w:szCs w:val="24"/>
          <w:u w:val="none"/>
        </w:rPr>
      </w:sdtEndPr>
      <w:sdtContent>
        <w:p w:rsidR="00DE587B" w:rsidRDefault="00B105D8">
          <w:pPr>
            <w:pStyle w:val="Title"/>
            <w:rPr>
              <w:rFonts w:ascii="Times New Roman" w:hAnsi="Times New Roman"/>
              <w:u w:val="single"/>
            </w:rPr>
          </w:pPr>
          <w:r>
            <w:rPr>
              <w:rFonts w:ascii="Times New Roman" w:hAnsi="Times New Roman"/>
              <w:u w:val="single"/>
            </w:rPr>
            <w:t>EXPLANATORY STATEMENT</w:t>
          </w:r>
        </w:p>
        <w:p w:rsidR="00DE587B" w:rsidRDefault="00DE587B">
          <w:pPr>
            <w:jc w:val="center"/>
            <w:rPr>
              <w:rFonts w:ascii="Times New Roman" w:hAnsi="Times New Roman" w:cs="Times New Roman"/>
              <w:sz w:val="24"/>
            </w:rPr>
          </w:pPr>
        </w:p>
      </w:sdtContent>
    </w:sdt>
    <w:p w:rsidR="00DE587B" w:rsidRDefault="00DE587B">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3F24F1B361AA4406A4B36253A44AD5DA"/>
          </w:placeholder>
          <w:group/>
        </w:sdtPr>
        <w:sdtContent>
          <w:r w:rsidR="00B105D8">
            <w:rPr>
              <w:rFonts w:ascii="Times New Roman" w:hAnsi="Times New Roman" w:cs="Times New Roman"/>
              <w:sz w:val="24"/>
              <w:u w:val="single"/>
            </w:rPr>
            <w:t>Issued by Authority of the</w:t>
          </w:r>
        </w:sdtContent>
      </w:sdt>
      <w:r w:rsidR="00B105D8">
        <w:rPr>
          <w:rFonts w:ascii="Times New Roman" w:hAnsi="Times New Roman" w:cs="Times New Roman"/>
          <w:sz w:val="24"/>
          <w:u w:val="single"/>
        </w:rPr>
        <w:t xml:space="preserve"> Minister for Agriculture</w:t>
      </w:r>
    </w:p>
    <w:p w:rsidR="00DE587B" w:rsidRDefault="00DE587B">
      <w:pPr>
        <w:jc w:val="center"/>
        <w:rPr>
          <w:rFonts w:ascii="Times New Roman" w:hAnsi="Times New Roman" w:cs="Times New Roman"/>
          <w:sz w:val="24"/>
        </w:rPr>
      </w:pPr>
    </w:p>
    <w:p w:rsidR="00DE587B" w:rsidRDefault="00B105D8">
      <w:pPr>
        <w:jc w:val="center"/>
        <w:rPr>
          <w:rFonts w:ascii="Times New Roman" w:hAnsi="Times New Roman" w:cs="Times New Roman"/>
          <w:snapToGrid w:val="0"/>
          <w:sz w:val="24"/>
        </w:rPr>
      </w:pPr>
      <w:r>
        <w:rPr>
          <w:rFonts w:ascii="Times New Roman" w:hAnsi="Times New Roman" w:cs="Times New Roman"/>
          <w:i/>
          <w:snapToGrid w:val="0"/>
          <w:sz w:val="24"/>
        </w:rPr>
        <w:t>Farm Household Support</w:t>
      </w:r>
      <w:r>
        <w:rPr>
          <w:rFonts w:ascii="Times New Roman" w:hAnsi="Times New Roman" w:cs="Times New Roman"/>
          <w:i/>
          <w:sz w:val="24"/>
        </w:rPr>
        <w:t xml:space="preserve"> (Consequential and Transitional Provisions) </w:t>
      </w:r>
      <w:r>
        <w:rPr>
          <w:rFonts w:ascii="Times New Roman" w:hAnsi="Times New Roman" w:cs="Times New Roman"/>
          <w:i/>
          <w:snapToGrid w:val="0"/>
          <w:sz w:val="24"/>
        </w:rPr>
        <w:t>Act 2014</w:t>
      </w:r>
    </w:p>
    <w:p w:rsidR="00DE587B" w:rsidRDefault="00DE587B">
      <w:pPr>
        <w:jc w:val="center"/>
        <w:rPr>
          <w:rFonts w:ascii="Times New Roman" w:hAnsi="Times New Roman" w:cs="Times New Roman"/>
          <w:sz w:val="24"/>
        </w:rPr>
      </w:pPr>
    </w:p>
    <w:p w:rsidR="00DE587B" w:rsidRDefault="00B105D8">
      <w:pPr>
        <w:jc w:val="center"/>
        <w:rPr>
          <w:rFonts w:ascii="Times New Roman" w:hAnsi="Times New Roman" w:cs="Times New Roman"/>
          <w:i/>
          <w:sz w:val="24"/>
        </w:rPr>
      </w:pPr>
      <w:r>
        <w:rPr>
          <w:rFonts w:ascii="Times New Roman" w:hAnsi="Times New Roman" w:cs="Times New Roman"/>
          <w:i/>
          <w:snapToGrid w:val="0"/>
          <w:sz w:val="24"/>
        </w:rPr>
        <w:t xml:space="preserve">Farm Household Support </w:t>
      </w:r>
      <w:r>
        <w:rPr>
          <w:rFonts w:ascii="Times New Roman" w:hAnsi="Times New Roman" w:cs="Times New Roman"/>
          <w:i/>
          <w:snapToGrid w:val="0"/>
          <w:sz w:val="24"/>
        </w:rPr>
        <w:t>(Consequential and Transitional Provisions)</w:t>
      </w:r>
      <w:r>
        <w:rPr>
          <w:rFonts w:ascii="Times New Roman" w:hAnsi="Times New Roman" w:cs="Times New Roman"/>
          <w:i/>
          <w:sz w:val="24"/>
        </w:rPr>
        <w:t xml:space="preserve"> Minister’s Rule 2014</w:t>
      </w:r>
    </w:p>
    <w:p w:rsidR="00DE587B" w:rsidRDefault="00DE587B">
      <w:pPr>
        <w:jc w:val="center"/>
        <w:rPr>
          <w:rFonts w:ascii="Times New Roman" w:hAnsi="Times New Roman" w:cs="Times New Roman"/>
          <w:sz w:val="24"/>
        </w:rPr>
      </w:pPr>
    </w:p>
    <w:p w:rsidR="00DE587B" w:rsidRDefault="00DE587B">
      <w:pPr>
        <w:rPr>
          <w:rFonts w:ascii="Times New Roman" w:hAnsi="Times New Roman" w:cs="Times New Roman"/>
          <w:sz w:val="24"/>
        </w:rPr>
      </w:pPr>
    </w:p>
    <w:p w:rsidR="00DE587B" w:rsidRDefault="00B105D8">
      <w:pPr>
        <w:rPr>
          <w:rFonts w:ascii="Times New Roman" w:hAnsi="Times New Roman" w:cs="Times New Roman"/>
          <w:sz w:val="24"/>
        </w:rPr>
      </w:pPr>
      <w:r>
        <w:rPr>
          <w:rFonts w:ascii="Times New Roman" w:hAnsi="Times New Roman" w:cs="Times New Roman"/>
          <w:sz w:val="24"/>
        </w:rPr>
        <w:t xml:space="preserve">Item 2 of Schedule 3 of the </w:t>
      </w:r>
      <w:r>
        <w:rPr>
          <w:rFonts w:ascii="Times New Roman" w:hAnsi="Times New Roman" w:cs="Times New Roman"/>
          <w:i/>
          <w:sz w:val="24"/>
        </w:rPr>
        <w:t>Farm Household Support (Consequential and Transitional Provisions) Act 2014</w:t>
      </w:r>
      <w:r>
        <w:rPr>
          <w:rFonts w:ascii="Times New Roman" w:hAnsi="Times New Roman" w:cs="Times New Roman"/>
          <w:sz w:val="24"/>
        </w:rPr>
        <w:t xml:space="preserve"> (Transition Act) provides that the Minister for Agriculture can make rules prescribin</w:t>
      </w:r>
      <w:r>
        <w:rPr>
          <w:rFonts w:ascii="Times New Roman" w:hAnsi="Times New Roman" w:cs="Times New Roman"/>
          <w:sz w:val="24"/>
        </w:rPr>
        <w:t xml:space="preserve">g matters of a transitional nature relating to the Transition Act or the </w:t>
      </w:r>
      <w:r>
        <w:rPr>
          <w:rFonts w:ascii="Times New Roman" w:hAnsi="Times New Roman" w:cs="Times New Roman"/>
          <w:i/>
          <w:sz w:val="24"/>
        </w:rPr>
        <w:t xml:space="preserve">Farm Household Support Act 2014 </w:t>
      </w:r>
      <w:r>
        <w:rPr>
          <w:rFonts w:ascii="Times New Roman" w:hAnsi="Times New Roman" w:cs="Times New Roman"/>
          <w:sz w:val="24"/>
        </w:rPr>
        <w:t xml:space="preserve">(the Act). This clause provides for rules which, among other things, deal with the transition of a person from a payment made under an executive power </w:t>
      </w:r>
      <w:r>
        <w:rPr>
          <w:rFonts w:ascii="Times New Roman" w:hAnsi="Times New Roman" w:cs="Times New Roman"/>
          <w:sz w:val="24"/>
        </w:rPr>
        <w:t xml:space="preserve">of </w:t>
      </w:r>
      <w:proofErr w:type="gramStart"/>
      <w:r>
        <w:rPr>
          <w:rFonts w:ascii="Times New Roman" w:hAnsi="Times New Roman" w:cs="Times New Roman"/>
          <w:sz w:val="24"/>
        </w:rPr>
        <w:t>the</w:t>
      </w:r>
      <w:proofErr w:type="gramEnd"/>
      <w:r>
        <w:rPr>
          <w:rFonts w:ascii="Times New Roman" w:hAnsi="Times New Roman" w:cs="Times New Roman"/>
          <w:sz w:val="24"/>
        </w:rPr>
        <w:t xml:space="preserve"> Commonwealth, such as the Interim Farm Household Allowance (Interim FHA), to the legislated Farm Household Allowance (FHA). </w:t>
      </w:r>
    </w:p>
    <w:p w:rsidR="00DE587B" w:rsidRDefault="00B105D8">
      <w:pPr>
        <w:pStyle w:val="NormalWeb"/>
        <w:shd w:val="clear" w:color="auto" w:fill="FFFFFF"/>
        <w:rPr>
          <w:rFonts w:eastAsiaTheme="minorEastAsia"/>
          <w:lang w:eastAsia="en-US"/>
        </w:rPr>
      </w:pPr>
      <w:r>
        <w:rPr>
          <w:rFonts w:eastAsiaTheme="minorEastAsia"/>
          <w:lang w:eastAsia="en-US"/>
        </w:rPr>
        <w:t xml:space="preserve">Interim FHA is an income support payment that helps farm families with their daily living expenses and is available to </w:t>
      </w:r>
      <w:r>
        <w:rPr>
          <w:rFonts w:eastAsiaTheme="minorEastAsia"/>
          <w:lang w:eastAsia="en-US"/>
        </w:rPr>
        <w:t>eligible farmers and their partners Australia-wide, without the need for a drought declaration.</w:t>
      </w:r>
    </w:p>
    <w:p w:rsidR="00DE587B" w:rsidRDefault="00B105D8">
      <w:pPr>
        <w:pStyle w:val="NormalWeb"/>
        <w:shd w:val="clear" w:color="auto" w:fill="FFFFFF"/>
        <w:rPr>
          <w:rFonts w:eastAsiaTheme="minorEastAsia"/>
          <w:lang w:eastAsia="en-US"/>
        </w:rPr>
      </w:pPr>
      <w:r>
        <w:rPr>
          <w:rFonts w:eastAsiaTheme="minorEastAsia"/>
          <w:lang w:eastAsia="en-US"/>
        </w:rPr>
        <w:t>Available from 1 March 2014 to 30 June 2014, the Interim FHA replaced previous income support payments such as the Transitional Farm Family Payment. The Interim</w:t>
      </w:r>
      <w:r>
        <w:rPr>
          <w:rFonts w:eastAsiaTheme="minorEastAsia"/>
          <w:lang w:eastAsia="en-US"/>
        </w:rPr>
        <w:t xml:space="preserve"> FHA, as the name suggests, is a temporary support measure implemented to ensure income support was available for farmers who were in need until the commencement of the FHA which commenced on 1 July 2014. Applications for Interim FHA closed on 30 June 2014</w:t>
      </w:r>
      <w:r>
        <w:rPr>
          <w:rFonts w:eastAsiaTheme="minorEastAsia"/>
          <w:lang w:eastAsia="en-US"/>
        </w:rPr>
        <w:t>.</w:t>
      </w:r>
    </w:p>
    <w:p w:rsidR="00DE587B" w:rsidRDefault="00B105D8">
      <w:pPr>
        <w:pStyle w:val="NormalWeb"/>
        <w:shd w:val="clear" w:color="auto" w:fill="FFFFFF"/>
        <w:rPr>
          <w:rFonts w:eastAsiaTheme="minorEastAsia"/>
          <w:lang w:eastAsia="en-US"/>
        </w:rPr>
      </w:pPr>
      <w:r>
        <w:rPr>
          <w:rFonts w:eastAsiaTheme="minorEastAsia"/>
          <w:lang w:eastAsia="en-US"/>
        </w:rPr>
        <w:t xml:space="preserve">To allow time for applications for FHA to be processed and to avoid disadvantaging people while they are waiting, transitional arrangements were developed that allow those people who were entitled to receive Interim FHA prior to 30 June 2014 to continue </w:t>
      </w:r>
      <w:r>
        <w:rPr>
          <w:rFonts w:eastAsiaTheme="minorEastAsia"/>
          <w:lang w:eastAsia="en-US"/>
        </w:rPr>
        <w:t>to receive that payment until 30 September 2014, or until a decision has been made on their FHA claim, whichever is sooner. If FHA is granted, it takes effect from 1 July 2014 (although entitlements are reconciled against the Interim FHA already paid and n</w:t>
      </w:r>
      <w:r>
        <w:rPr>
          <w:rFonts w:eastAsiaTheme="minorEastAsia"/>
          <w:lang w:eastAsia="en-US"/>
        </w:rPr>
        <w:t xml:space="preserve">o further amounts will be disbursed if the person’s maximum amount for the period has already been paid). </w:t>
      </w:r>
    </w:p>
    <w:p w:rsidR="00DE587B" w:rsidRDefault="00B105D8">
      <w:pPr>
        <w:pStyle w:val="NormalWeb"/>
        <w:shd w:val="clear" w:color="auto" w:fill="FFFFFF"/>
        <w:rPr>
          <w:rFonts w:eastAsiaTheme="minorEastAsia"/>
          <w:lang w:eastAsia="en-US"/>
        </w:rPr>
      </w:pPr>
      <w:r>
        <w:rPr>
          <w:rFonts w:eastAsiaTheme="minorEastAsia"/>
          <w:lang w:eastAsia="en-US"/>
        </w:rPr>
        <w:t>In addition to providing income support, the design of the Interim FHA reflects the settings of the FHA, facilitating the transition for recipients f</w:t>
      </w:r>
      <w:r>
        <w:rPr>
          <w:rFonts w:eastAsiaTheme="minorEastAsia"/>
          <w:lang w:eastAsia="en-US"/>
        </w:rPr>
        <w:t xml:space="preserve">rom one payment to another where a person elects to do so. Measures were put in place to avoid a break in support for a person receiving Interim FHA transitioning to the FHA. </w:t>
      </w:r>
    </w:p>
    <w:p w:rsidR="00DE587B" w:rsidRDefault="00B105D8">
      <w:pPr>
        <w:tabs>
          <w:tab w:val="right" w:pos="9072"/>
        </w:tabs>
        <w:rPr>
          <w:rFonts w:ascii="Times New Roman" w:hAnsi="Times New Roman" w:cs="Times New Roman"/>
          <w:sz w:val="24"/>
        </w:rPr>
      </w:pPr>
      <w:r>
        <w:rPr>
          <w:rFonts w:ascii="Times New Roman" w:hAnsi="Times New Roman" w:cs="Times New Roman"/>
          <w:sz w:val="24"/>
        </w:rPr>
        <w:t>The Act provides the mechanism to implement the FHA, an income support payment f</w:t>
      </w:r>
      <w:r>
        <w:rPr>
          <w:rFonts w:ascii="Times New Roman" w:hAnsi="Times New Roman" w:cs="Times New Roman"/>
          <w:sz w:val="24"/>
        </w:rPr>
        <w:t>or farmers and their partners who are experiencing financial hardship. The Act provides for:</w:t>
      </w:r>
    </w:p>
    <w:p w:rsidR="00DE587B" w:rsidRDefault="00DE587B">
      <w:pPr>
        <w:tabs>
          <w:tab w:val="right" w:pos="9072"/>
        </w:tabs>
        <w:rPr>
          <w:rFonts w:ascii="Times New Roman" w:hAnsi="Times New Roman" w:cs="Times New Roman"/>
          <w:sz w:val="24"/>
        </w:rPr>
      </w:pPr>
    </w:p>
    <w:p w:rsidR="00DE587B" w:rsidRDefault="00B105D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Pr>
          <w:rFonts w:ascii="Times New Roman" w:hAnsi="Times New Roman" w:cs="Times New Roman"/>
          <w:sz w:val="24"/>
        </w:rPr>
        <w:t xml:space="preserve">up to three cumulative years of income support for farmers and their partners in hardship without the need for a climatic trigger </w:t>
      </w:r>
    </w:p>
    <w:p w:rsidR="00DE587B" w:rsidRDefault="00B105D8">
      <w:pPr>
        <w:pStyle w:val="ListParagraph"/>
        <w:numPr>
          <w:ilvl w:val="0"/>
          <w:numId w:val="17"/>
        </w:numPr>
        <w:tabs>
          <w:tab w:val="right" w:pos="9072"/>
        </w:tabs>
        <w:spacing w:after="240"/>
        <w:ind w:left="714" w:hanging="357"/>
        <w:contextualSpacing w:val="0"/>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xml:space="preserve"> requirement for a person to m</w:t>
      </w:r>
      <w:r>
        <w:rPr>
          <w:rFonts w:ascii="Times New Roman" w:hAnsi="Times New Roman" w:cs="Times New Roman"/>
          <w:sz w:val="24"/>
        </w:rPr>
        <w:t>eet a means test, comprised of an assets and income test, to qualify for payment. The means test restricts payment to those individuals who lack sufficient means to support themselves and ensures FHA is paid at a rate that provides equitable treatment of p</w:t>
      </w:r>
      <w:r>
        <w:rPr>
          <w:rFonts w:ascii="Times New Roman" w:hAnsi="Times New Roman" w:cs="Times New Roman"/>
          <w:sz w:val="24"/>
        </w:rPr>
        <w:t>eople in like circumstances</w:t>
      </w:r>
    </w:p>
    <w:p w:rsidR="00DE587B" w:rsidRDefault="00B105D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Pr>
          <w:rFonts w:ascii="Times New Roman" w:hAnsi="Times New Roman" w:cs="Times New Roman"/>
          <w:sz w:val="24"/>
        </w:rPr>
        <w:lastRenderedPageBreak/>
        <w:t>an assets test that is higher than mainstream social security asset limits in recognition that farm assets are relatively illiquid compared with other types of business assets and therefore cannot readily be drawn on for self-su</w:t>
      </w:r>
      <w:r>
        <w:rPr>
          <w:rFonts w:ascii="Times New Roman" w:hAnsi="Times New Roman" w:cs="Times New Roman"/>
          <w:sz w:val="24"/>
        </w:rPr>
        <w:t>pport</w:t>
      </w:r>
    </w:p>
    <w:p w:rsidR="00DE587B" w:rsidRDefault="00B105D8">
      <w:pPr>
        <w:pStyle w:val="ListParagraph"/>
        <w:numPr>
          <w:ilvl w:val="0"/>
          <w:numId w:val="17"/>
        </w:numPr>
        <w:tabs>
          <w:tab w:val="right" w:pos="9072"/>
        </w:tabs>
        <w:spacing w:after="240"/>
        <w:ind w:left="714" w:hanging="357"/>
        <w:contextualSpacing w:val="0"/>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xml:space="preserve"> requirement for a person to enter into, and comply with, a financial improvement agreement to qualify for payment. The agreement requires the person to undertake approved activities such as education, training or off-farm employment, designed to im</w:t>
      </w:r>
      <w:r>
        <w:rPr>
          <w:rFonts w:ascii="Times New Roman" w:hAnsi="Times New Roman" w:cs="Times New Roman"/>
          <w:sz w:val="24"/>
        </w:rPr>
        <w:t xml:space="preserve">prove their capacity for self-reliance and takes into account the special circumstances of farmers and their partners </w:t>
      </w:r>
    </w:p>
    <w:p w:rsidR="00DE587B" w:rsidRDefault="00B105D8">
      <w:pPr>
        <w:pStyle w:val="ListParagraph"/>
        <w:numPr>
          <w:ilvl w:val="0"/>
          <w:numId w:val="17"/>
        </w:numPr>
        <w:tabs>
          <w:tab w:val="right" w:pos="9072"/>
        </w:tabs>
        <w:spacing w:after="240"/>
        <w:ind w:left="714" w:hanging="357"/>
        <w:contextualSpacing w:val="0"/>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xml:space="preserve"> requirement for a person to have a farm financial assessment conducted. The purpose of the farm financial assessment is to evaluate </w:t>
      </w:r>
      <w:r>
        <w:rPr>
          <w:rFonts w:ascii="Times New Roman" w:hAnsi="Times New Roman" w:cs="Times New Roman"/>
          <w:sz w:val="24"/>
        </w:rPr>
        <w:t>options to improve the person’s financial situation and inform the development of the financial improvement agreement</w:t>
      </w:r>
    </w:p>
    <w:p w:rsidR="00DE587B" w:rsidRDefault="00B105D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Pr>
          <w:rFonts w:ascii="Times New Roman" w:hAnsi="Times New Roman" w:cs="Times New Roman"/>
          <w:sz w:val="24"/>
        </w:rPr>
        <w:t>a farm financial assessment supplement and an activity supplement for the purpose of partially or wholly funding the farm financial assess</w:t>
      </w:r>
      <w:r>
        <w:rPr>
          <w:rFonts w:ascii="Times New Roman" w:hAnsi="Times New Roman" w:cs="Times New Roman"/>
          <w:sz w:val="24"/>
        </w:rPr>
        <w:t xml:space="preserve">ment and compulsory activities, respectively </w:t>
      </w:r>
    </w:p>
    <w:p w:rsidR="00DE587B" w:rsidRDefault="00B105D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Pr>
          <w:rFonts w:ascii="Times New Roman" w:hAnsi="Times New Roman" w:cs="Times New Roman"/>
          <w:sz w:val="24"/>
        </w:rPr>
        <w:t>ancillary benefits such as a health care card, telephone allowance, remote area allowance, clean energy supplement, pharmaceutical allowance and rent assistance, subject to a recipient meeting certain requireme</w:t>
      </w:r>
      <w:r>
        <w:rPr>
          <w:rFonts w:ascii="Times New Roman" w:hAnsi="Times New Roman" w:cs="Times New Roman"/>
          <w:sz w:val="24"/>
        </w:rPr>
        <w:t>nts</w:t>
      </w:r>
    </w:p>
    <w:p w:rsidR="00DE587B" w:rsidRDefault="00B105D8">
      <w:pPr>
        <w:pStyle w:val="ListParagraph"/>
        <w:numPr>
          <w:ilvl w:val="0"/>
          <w:numId w:val="17"/>
        </w:numPr>
        <w:tabs>
          <w:tab w:val="right" w:pos="9072"/>
        </w:tabs>
        <w:spacing w:after="240"/>
        <w:ind w:left="714" w:hanging="357"/>
        <w:contextualSpacing w:val="0"/>
        <w:rPr>
          <w:rFonts w:ascii="Times New Roman" w:hAnsi="Times New Roman" w:cs="Times New Roman"/>
          <w:sz w:val="24"/>
        </w:rPr>
      </w:pPr>
      <w:proofErr w:type="gramStart"/>
      <w:r>
        <w:rPr>
          <w:rFonts w:ascii="Times New Roman" w:hAnsi="Times New Roman" w:cs="Times New Roman"/>
          <w:sz w:val="24"/>
        </w:rPr>
        <w:t>an</w:t>
      </w:r>
      <w:proofErr w:type="gramEnd"/>
      <w:r>
        <w:rPr>
          <w:rFonts w:ascii="Times New Roman" w:hAnsi="Times New Roman" w:cs="Times New Roman"/>
          <w:sz w:val="24"/>
        </w:rPr>
        <w:t xml:space="preserve"> income support payment for farmers and their partners that aligns with social security law (that is, the </w:t>
      </w:r>
      <w:r>
        <w:rPr>
          <w:rFonts w:ascii="Times New Roman" w:hAnsi="Times New Roman" w:cs="Times New Roman"/>
          <w:i/>
          <w:sz w:val="24"/>
        </w:rPr>
        <w:t>Social Security Act 1991</w:t>
      </w:r>
      <w:r>
        <w:rPr>
          <w:rFonts w:ascii="Times New Roman" w:hAnsi="Times New Roman" w:cs="Times New Roman"/>
          <w:sz w:val="24"/>
        </w:rPr>
        <w:t xml:space="preserve"> and the </w:t>
      </w:r>
      <w:r>
        <w:rPr>
          <w:rFonts w:ascii="Times New Roman" w:hAnsi="Times New Roman" w:cs="Times New Roman"/>
          <w:i/>
          <w:sz w:val="24"/>
        </w:rPr>
        <w:t>Social Security (Administration) Act 1999</w:t>
      </w:r>
      <w:r>
        <w:rPr>
          <w:rFonts w:ascii="Times New Roman" w:hAnsi="Times New Roman" w:cs="Times New Roman"/>
          <w:sz w:val="24"/>
        </w:rPr>
        <w:t>) where appropriate.</w:t>
      </w:r>
    </w:p>
    <w:p w:rsidR="00DE587B" w:rsidRDefault="00B105D8">
      <w:pPr>
        <w:tabs>
          <w:tab w:val="left" w:pos="1701"/>
          <w:tab w:val="right" w:pos="9072"/>
        </w:tabs>
        <w:spacing w:after="240"/>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i/>
          <w:sz w:val="24"/>
        </w:rPr>
        <w:t>Farm Household Support (Consequential and Tra</w:t>
      </w:r>
      <w:r>
        <w:rPr>
          <w:rFonts w:ascii="Times New Roman" w:hAnsi="Times New Roman" w:cs="Times New Roman"/>
          <w:i/>
          <w:sz w:val="24"/>
        </w:rPr>
        <w:t>nsitional Provisions) 2014 Minister’s Rule 2014</w:t>
      </w:r>
      <w:r>
        <w:rPr>
          <w:rFonts w:ascii="Times New Roman" w:hAnsi="Times New Roman" w:cs="Times New Roman"/>
          <w:sz w:val="24"/>
        </w:rPr>
        <w:t xml:space="preserve"> (the rule) addresses two discrete policy issues. It prescribes that:</w:t>
      </w:r>
    </w:p>
    <w:p w:rsidR="00DE587B" w:rsidRDefault="00B105D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Pr>
          <w:rFonts w:ascii="Times New Roman" w:hAnsi="Times New Roman" w:cs="Times New Roman"/>
          <w:sz w:val="24"/>
        </w:rPr>
        <w:t>An Interim FHA applicant, recipient or their partner has additional time to lodge their FHA claim and have their FHA payment backdated to 1</w:t>
      </w:r>
      <w:r>
        <w:rPr>
          <w:rFonts w:ascii="Times New Roman" w:hAnsi="Times New Roman" w:cs="Times New Roman"/>
          <w:sz w:val="24"/>
        </w:rPr>
        <w:t xml:space="preserve"> July 2014. Under the Minister’s Rule, this period cannot extend beyond 30 September 2014. The Minister’s Rule gives better effect to the intention of a transitional period between the two payments. It also ensures no-one receives more than their 1095 day </w:t>
      </w:r>
      <w:r>
        <w:rPr>
          <w:rFonts w:ascii="Times New Roman" w:hAnsi="Times New Roman" w:cs="Times New Roman"/>
          <w:sz w:val="24"/>
        </w:rPr>
        <w:t xml:space="preserve">entitlement of FHA post 1 July 2014. </w:t>
      </w:r>
    </w:p>
    <w:p w:rsidR="00DE587B" w:rsidRDefault="00B105D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Pr>
          <w:rFonts w:ascii="Times New Roman" w:hAnsi="Times New Roman" w:cs="Times New Roman"/>
          <w:sz w:val="24"/>
        </w:rPr>
        <w:t xml:space="preserve">Applicants who hold liquid assets above certain thresholds are required to serve </w:t>
      </w:r>
      <w:proofErr w:type="gramStart"/>
      <w:r>
        <w:rPr>
          <w:rFonts w:ascii="Times New Roman" w:hAnsi="Times New Roman" w:cs="Times New Roman"/>
          <w:sz w:val="24"/>
        </w:rPr>
        <w:t>a liquid assets</w:t>
      </w:r>
      <w:proofErr w:type="gramEnd"/>
      <w:r>
        <w:rPr>
          <w:rFonts w:ascii="Times New Roman" w:hAnsi="Times New Roman" w:cs="Times New Roman"/>
          <w:sz w:val="24"/>
        </w:rPr>
        <w:t xml:space="preserve"> waiting period before their FHA payments commences. The Minister’s Rule will ensure that applicants who have already serv</w:t>
      </w:r>
      <w:r>
        <w:rPr>
          <w:rFonts w:ascii="Times New Roman" w:hAnsi="Times New Roman" w:cs="Times New Roman"/>
          <w:sz w:val="24"/>
        </w:rPr>
        <w:t xml:space="preserve">ed the waiting period within 12 months prior to their application of FHA under Interim FHA (or its predecessor, Transitional Farm Family Payment) will not be required to also serve the waiting period for FHA (consistent with mainstream social security). </w:t>
      </w:r>
    </w:p>
    <w:p w:rsidR="00DE587B" w:rsidRDefault="00B105D8">
      <w:pPr>
        <w:tabs>
          <w:tab w:val="right" w:pos="9072"/>
        </w:tabs>
        <w:spacing w:after="240"/>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etails of the rule are set out in Attachment A.</w:t>
      </w:r>
    </w:p>
    <w:p w:rsidR="00DE587B" w:rsidRDefault="00B105D8">
      <w:pPr>
        <w:spacing w:before="100" w:beforeAutospacing="1" w:after="100" w:afterAutospacing="1"/>
        <w:rPr>
          <w:rFonts w:ascii="Times New Roman" w:hAnsi="Times New Roman" w:cs="Times New Roman"/>
          <w:sz w:val="24"/>
        </w:rPr>
      </w:pPr>
      <w:r>
        <w:rPr>
          <w:rFonts w:ascii="Times New Roman" w:hAnsi="Times New Roman" w:cs="Times New Roman"/>
          <w:sz w:val="24"/>
        </w:rPr>
        <w:t xml:space="preserve">The Department of Agriculture consulted industry stakeholders and Australian Government agencies in developing the policy supporting FHA. </w:t>
      </w:r>
    </w:p>
    <w:p w:rsidR="00DE587B" w:rsidRDefault="00B105D8">
      <w:pPr>
        <w:spacing w:before="100" w:beforeAutospacing="1" w:after="100" w:afterAutospacing="1"/>
        <w:rPr>
          <w:rFonts w:ascii="Times New Roman" w:hAnsi="Times New Roman" w:cs="Times New Roman"/>
          <w:sz w:val="24"/>
        </w:rPr>
      </w:pPr>
      <w:r>
        <w:rPr>
          <w:rFonts w:ascii="Times New Roman" w:hAnsi="Times New Roman" w:cs="Times New Roman"/>
          <w:sz w:val="24"/>
        </w:rPr>
        <w:t>The Office of Best Practice Regulation (OBPR) was consulted on this r</w:t>
      </w:r>
      <w:r>
        <w:rPr>
          <w:rFonts w:ascii="Times New Roman" w:hAnsi="Times New Roman" w:cs="Times New Roman"/>
          <w:sz w:val="24"/>
        </w:rPr>
        <w:t xml:space="preserve">ule. The </w:t>
      </w:r>
      <w:r>
        <w:rPr>
          <w:rFonts w:ascii="Times New Roman" w:hAnsi="Times New Roman" w:cs="Times New Roman"/>
          <w:sz w:val="24"/>
        </w:rPr>
        <w:t>changes do not trigger a Regulation Impact Statement (OBPR Reference Number: 16411).</w:t>
      </w:r>
    </w:p>
    <w:p w:rsidR="00DE587B" w:rsidRDefault="00B105D8">
      <w:pPr>
        <w:rPr>
          <w:rFonts w:ascii="Times New Roman" w:hAnsi="Times New Roman" w:cs="Times New Roman"/>
          <w:sz w:val="24"/>
        </w:rPr>
      </w:pPr>
      <w:r>
        <w:rPr>
          <w:rFonts w:ascii="Times New Roman" w:hAnsi="Times New Roman" w:cs="Times New Roman"/>
          <w:sz w:val="24"/>
        </w:rPr>
        <w:lastRenderedPageBreak/>
        <w:t xml:space="preserve">The Department of Human Services and the Australian Government Solicitor were consulted in the development of the rule. </w:t>
      </w:r>
    </w:p>
    <w:p w:rsidR="00DE587B" w:rsidRDefault="00DE587B">
      <w:pPr>
        <w:rPr>
          <w:rFonts w:ascii="Times New Roman" w:hAnsi="Times New Roman" w:cs="Times New Roman"/>
          <w:sz w:val="24"/>
        </w:rPr>
      </w:pPr>
    </w:p>
    <w:p w:rsidR="00DE587B" w:rsidRDefault="00B105D8">
      <w:pPr>
        <w:rPr>
          <w:rFonts w:ascii="Times New Roman" w:hAnsi="Times New Roman" w:cs="Times New Roman"/>
          <w:sz w:val="24"/>
        </w:rPr>
      </w:pPr>
      <w:r>
        <w:rPr>
          <w:rFonts w:ascii="Times New Roman" w:hAnsi="Times New Roman" w:cs="Times New Roman"/>
          <w:sz w:val="24"/>
        </w:rPr>
        <w:t>This rule is compatible with th</w:t>
      </w:r>
      <w:r>
        <w:rPr>
          <w:rFonts w:ascii="Times New Roman" w:hAnsi="Times New Roman" w:cs="Times New Roman"/>
          <w:sz w:val="24"/>
        </w:rPr>
        <w:t xml:space="preserve">e human rights and freedoms recognised or declared under section 3 of the </w:t>
      </w:r>
      <w:r>
        <w:rPr>
          <w:rFonts w:ascii="Times New Roman" w:hAnsi="Times New Roman" w:cs="Times New Roman"/>
          <w:i/>
          <w:sz w:val="24"/>
        </w:rPr>
        <w:t>Human Rights (Parliamentary Scrutiny) Act 2011</w:t>
      </w:r>
      <w:r>
        <w:rPr>
          <w:rFonts w:ascii="Times New Roman" w:hAnsi="Times New Roman" w:cs="Times New Roman"/>
          <w:sz w:val="24"/>
        </w:rPr>
        <w:t>. A full statement of compatibility is set out in Attachment B.  </w:t>
      </w:r>
    </w:p>
    <w:p w:rsidR="00DE587B" w:rsidRDefault="00B105D8">
      <w:pPr>
        <w:rPr>
          <w:rFonts w:ascii="Times New Roman" w:hAnsi="Times New Roman" w:cs="Times New Roman"/>
          <w:sz w:val="24"/>
        </w:rPr>
      </w:pPr>
      <w:r>
        <w:rPr>
          <w:rFonts w:ascii="Times New Roman" w:hAnsi="Times New Roman" w:cs="Times New Roman"/>
          <w:sz w:val="24"/>
        </w:rPr>
        <w:br w:type="page"/>
      </w:r>
    </w:p>
    <w:p w:rsidR="00DE587B" w:rsidRDefault="00B105D8">
      <w:pPr>
        <w:pStyle w:val="Normal-em"/>
        <w:jc w:val="right"/>
        <w:rPr>
          <w:rFonts w:ascii="Times" w:hAnsi="Times"/>
          <w:b/>
          <w:caps/>
          <w:u w:val="single"/>
        </w:rPr>
      </w:pPr>
      <w:r>
        <w:rPr>
          <w:rFonts w:ascii="Times" w:hAnsi="Times"/>
          <w:b/>
          <w:caps/>
          <w:u w:val="single"/>
        </w:rPr>
        <w:lastRenderedPageBreak/>
        <w:t>Attachment A</w:t>
      </w:r>
    </w:p>
    <w:p w:rsidR="00DE587B" w:rsidRDefault="00DE587B">
      <w:pPr>
        <w:pStyle w:val="Normal-em"/>
        <w:rPr>
          <w:color w:val="auto"/>
          <w:szCs w:val="24"/>
        </w:rPr>
      </w:pPr>
    </w:p>
    <w:p w:rsidR="00DE587B" w:rsidRDefault="00B105D8">
      <w:pPr>
        <w:pStyle w:val="Normal-em"/>
        <w:rPr>
          <w:b/>
          <w:iCs/>
          <w:color w:val="auto"/>
          <w:szCs w:val="24"/>
          <w:u w:val="single"/>
        </w:rPr>
      </w:pPr>
      <w:r>
        <w:rPr>
          <w:b/>
          <w:iCs/>
          <w:color w:val="auto"/>
          <w:szCs w:val="24"/>
          <w:u w:val="single"/>
        </w:rPr>
        <w:t xml:space="preserve">Details of the </w:t>
      </w:r>
      <w:r>
        <w:rPr>
          <w:b/>
          <w:i/>
          <w:iCs/>
          <w:color w:val="auto"/>
          <w:szCs w:val="24"/>
          <w:u w:val="single"/>
        </w:rPr>
        <w:t>Farm Household Support (Consequential a</w:t>
      </w:r>
      <w:r>
        <w:rPr>
          <w:b/>
          <w:i/>
          <w:iCs/>
          <w:color w:val="auto"/>
          <w:szCs w:val="24"/>
          <w:u w:val="single"/>
        </w:rPr>
        <w:t>nd Transitional Provisions) Minister’s Rule 2014</w:t>
      </w:r>
    </w:p>
    <w:p w:rsidR="00DE587B" w:rsidRDefault="00DE587B">
      <w:pPr>
        <w:pStyle w:val="Normal-em"/>
        <w:rPr>
          <w:color w:val="auto"/>
          <w:szCs w:val="24"/>
        </w:rPr>
      </w:pPr>
    </w:p>
    <w:p w:rsidR="00DE587B" w:rsidRDefault="00B105D8">
      <w:pPr>
        <w:pStyle w:val="Normal-em"/>
        <w:ind w:left="1440" w:hanging="1440"/>
        <w:rPr>
          <w:b/>
          <w:color w:val="auto"/>
          <w:szCs w:val="24"/>
        </w:rPr>
      </w:pPr>
      <w:r>
        <w:rPr>
          <w:b/>
          <w:color w:val="auto"/>
          <w:szCs w:val="24"/>
        </w:rPr>
        <w:t>Part 1 – Preliminary</w:t>
      </w:r>
    </w:p>
    <w:p w:rsidR="00DE587B" w:rsidRDefault="00DE587B">
      <w:pPr>
        <w:pStyle w:val="Normal-em"/>
        <w:ind w:left="1440" w:hanging="1440"/>
        <w:rPr>
          <w:color w:val="auto"/>
          <w:szCs w:val="24"/>
          <w:u w:val="single"/>
        </w:rPr>
      </w:pPr>
    </w:p>
    <w:p w:rsidR="00DE587B" w:rsidRDefault="00B105D8">
      <w:pPr>
        <w:pStyle w:val="Normal-em"/>
        <w:ind w:left="1440" w:hanging="1440"/>
        <w:rPr>
          <w:color w:val="auto"/>
          <w:szCs w:val="24"/>
          <w:u w:val="single"/>
        </w:rPr>
      </w:pPr>
      <w:r>
        <w:rPr>
          <w:color w:val="auto"/>
          <w:szCs w:val="24"/>
          <w:u w:val="single"/>
        </w:rPr>
        <w:t>Section 1 – Name of rule</w:t>
      </w:r>
    </w:p>
    <w:p w:rsidR="00DE587B" w:rsidRDefault="00DE587B">
      <w:pPr>
        <w:pStyle w:val="Normal-em"/>
        <w:ind w:left="1440" w:hanging="1440"/>
        <w:rPr>
          <w:b/>
          <w:color w:val="auto"/>
          <w:szCs w:val="24"/>
        </w:rPr>
      </w:pPr>
    </w:p>
    <w:p w:rsidR="00DE587B" w:rsidRDefault="00B105D8">
      <w:pPr>
        <w:pStyle w:val="Normal-em"/>
        <w:rPr>
          <w:color w:val="auto"/>
          <w:szCs w:val="24"/>
        </w:rPr>
      </w:pPr>
      <w:r>
        <w:rPr>
          <w:color w:val="auto"/>
          <w:szCs w:val="24"/>
        </w:rPr>
        <w:t xml:space="preserve">This section provides that the title of the rule is the </w:t>
      </w:r>
      <w:r>
        <w:rPr>
          <w:i/>
        </w:rPr>
        <w:t>Farm Household Support (Consequential and Transitional Provisions) Minister’s Rule 2014</w:t>
      </w:r>
      <w:r>
        <w:t>.</w:t>
      </w:r>
    </w:p>
    <w:p w:rsidR="00DE587B" w:rsidRDefault="00DE587B">
      <w:pPr>
        <w:pStyle w:val="Normal-em"/>
        <w:rPr>
          <w:color w:val="auto"/>
          <w:szCs w:val="24"/>
        </w:rPr>
      </w:pPr>
    </w:p>
    <w:p w:rsidR="00DE587B" w:rsidRDefault="00B105D8">
      <w:pPr>
        <w:pStyle w:val="Normal-em"/>
        <w:rPr>
          <w:color w:val="auto"/>
          <w:szCs w:val="24"/>
          <w:u w:val="single"/>
        </w:rPr>
      </w:pPr>
      <w:r>
        <w:rPr>
          <w:color w:val="auto"/>
          <w:szCs w:val="24"/>
          <w:u w:val="single"/>
        </w:rPr>
        <w:t xml:space="preserve">Section 2 – </w:t>
      </w:r>
      <w:r>
        <w:rPr>
          <w:color w:val="auto"/>
          <w:szCs w:val="24"/>
          <w:u w:val="single"/>
        </w:rPr>
        <w:t>Commencement</w:t>
      </w:r>
    </w:p>
    <w:p w:rsidR="00DE587B" w:rsidRDefault="00DE587B">
      <w:pPr>
        <w:pStyle w:val="Normal-em"/>
        <w:rPr>
          <w:color w:val="auto"/>
          <w:szCs w:val="24"/>
        </w:rPr>
      </w:pPr>
    </w:p>
    <w:p w:rsidR="00DE587B" w:rsidRDefault="00B105D8">
      <w:pPr>
        <w:pStyle w:val="Normal-em"/>
        <w:rPr>
          <w:color w:val="auto"/>
          <w:szCs w:val="24"/>
        </w:rPr>
      </w:pPr>
      <w:r>
        <w:rPr>
          <w:color w:val="auto"/>
          <w:szCs w:val="24"/>
        </w:rPr>
        <w:t>This section provides that the rule commences on the day after it is registered.</w:t>
      </w:r>
    </w:p>
    <w:p w:rsidR="00DE587B" w:rsidRDefault="00DE587B">
      <w:pPr>
        <w:pStyle w:val="Normal-em"/>
        <w:rPr>
          <w:color w:val="auto"/>
          <w:szCs w:val="24"/>
        </w:rPr>
      </w:pPr>
    </w:p>
    <w:p w:rsidR="00DE587B" w:rsidRDefault="00B105D8">
      <w:pPr>
        <w:pStyle w:val="Normal-em"/>
        <w:ind w:left="1440" w:hanging="1440"/>
        <w:rPr>
          <w:color w:val="auto"/>
          <w:szCs w:val="24"/>
          <w:u w:val="single"/>
        </w:rPr>
      </w:pPr>
      <w:r>
        <w:rPr>
          <w:color w:val="auto"/>
          <w:szCs w:val="24"/>
          <w:u w:val="single"/>
        </w:rPr>
        <w:t>Section 3 – Authority</w:t>
      </w:r>
    </w:p>
    <w:p w:rsidR="00DE587B" w:rsidRDefault="00DE587B">
      <w:pPr>
        <w:pStyle w:val="Normal-em"/>
        <w:rPr>
          <w:color w:val="auto"/>
          <w:szCs w:val="24"/>
        </w:rPr>
      </w:pPr>
    </w:p>
    <w:p w:rsidR="00DE587B" w:rsidRDefault="00B105D8">
      <w:pPr>
        <w:pStyle w:val="Normal-em"/>
        <w:rPr>
          <w:i/>
          <w:iCs/>
          <w:color w:val="auto"/>
          <w:szCs w:val="24"/>
          <w:u w:val="single"/>
        </w:rPr>
      </w:pPr>
      <w:r>
        <w:rPr>
          <w:color w:val="auto"/>
          <w:szCs w:val="24"/>
        </w:rPr>
        <w:t xml:space="preserve">This section provides that the rule is made under item 2 of schedule 3 to </w:t>
      </w:r>
      <w:r>
        <w:rPr>
          <w:i/>
          <w:iCs/>
          <w:color w:val="auto"/>
          <w:szCs w:val="24"/>
        </w:rPr>
        <w:t>Farm Household Support (Consequential and Transitional Provisio</w:t>
      </w:r>
      <w:r>
        <w:rPr>
          <w:i/>
          <w:iCs/>
          <w:color w:val="auto"/>
          <w:szCs w:val="24"/>
        </w:rPr>
        <w:t xml:space="preserve">ns) Act 2014. </w:t>
      </w:r>
    </w:p>
    <w:p w:rsidR="00DE587B" w:rsidRDefault="00DE587B">
      <w:pPr>
        <w:pStyle w:val="Normal-em"/>
        <w:rPr>
          <w:iCs/>
          <w:color w:val="auto"/>
          <w:szCs w:val="24"/>
          <w:highlight w:val="yellow"/>
        </w:rPr>
      </w:pPr>
    </w:p>
    <w:p w:rsidR="00DE587B" w:rsidRDefault="00B105D8">
      <w:pPr>
        <w:pStyle w:val="Normal-em"/>
        <w:ind w:left="1440" w:hanging="1440"/>
        <w:rPr>
          <w:color w:val="auto"/>
          <w:szCs w:val="24"/>
          <w:u w:val="single"/>
        </w:rPr>
      </w:pPr>
      <w:r>
        <w:rPr>
          <w:color w:val="auto"/>
          <w:szCs w:val="24"/>
          <w:u w:val="single"/>
        </w:rPr>
        <w:t>Section 4 – Definitions</w:t>
      </w:r>
    </w:p>
    <w:p w:rsidR="00DE587B" w:rsidRDefault="00DE587B">
      <w:pPr>
        <w:pStyle w:val="Normal-em"/>
        <w:ind w:left="1440" w:hanging="1440"/>
        <w:rPr>
          <w:color w:val="auto"/>
          <w:szCs w:val="24"/>
          <w:u w:val="single"/>
        </w:rPr>
      </w:pPr>
    </w:p>
    <w:p w:rsidR="00DE587B" w:rsidRDefault="00B105D8">
      <w:pPr>
        <w:pStyle w:val="Normal-em"/>
        <w:rPr>
          <w:color w:val="auto"/>
          <w:szCs w:val="24"/>
        </w:rPr>
      </w:pPr>
      <w:r>
        <w:rPr>
          <w:color w:val="auto"/>
          <w:szCs w:val="24"/>
        </w:rPr>
        <w:t>This section inserts the following definition for the purposes of the rule:</w:t>
      </w:r>
    </w:p>
    <w:p w:rsidR="00DE587B" w:rsidRDefault="00B105D8">
      <w:pPr>
        <w:pStyle w:val="Leg2Sec1"/>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i/>
          <w:sz w:val="24"/>
          <w:szCs w:val="24"/>
        </w:rPr>
        <w:t>Act</w:t>
      </w:r>
      <w:r>
        <w:rPr>
          <w:rFonts w:ascii="Times New Roman" w:hAnsi="Times New Roman" w:cs="Times New Roman"/>
          <w:i/>
          <w:sz w:val="24"/>
          <w:szCs w:val="24"/>
        </w:rPr>
        <w:t xml:space="preserve"> </w:t>
      </w:r>
      <w:r>
        <w:rPr>
          <w:rFonts w:ascii="Times New Roman" w:hAnsi="Times New Roman" w:cs="Times New Roman"/>
          <w:sz w:val="24"/>
          <w:szCs w:val="24"/>
        </w:rPr>
        <w:t xml:space="preserve">means the </w:t>
      </w:r>
      <w:r>
        <w:rPr>
          <w:rFonts w:ascii="Times New Roman" w:hAnsi="Times New Roman" w:cs="Times New Roman"/>
          <w:i/>
          <w:sz w:val="24"/>
          <w:szCs w:val="24"/>
        </w:rPr>
        <w:t>Farm Household Support Act 2014</w:t>
      </w:r>
      <w:r>
        <w:rPr>
          <w:rFonts w:ascii="Times New Roman" w:hAnsi="Times New Roman" w:cs="Times New Roman"/>
          <w:sz w:val="24"/>
          <w:szCs w:val="24"/>
        </w:rPr>
        <w:t>.</w:t>
      </w:r>
    </w:p>
    <w:p w:rsidR="00DE587B" w:rsidRDefault="00B105D8">
      <w:pPr>
        <w:pStyle w:val="Leg2Sec1"/>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b/>
          <w:i/>
          <w:sz w:val="24"/>
          <w:szCs w:val="24"/>
        </w:rPr>
        <w:t>farm</w:t>
      </w:r>
      <w:proofErr w:type="gramEnd"/>
      <w:r>
        <w:rPr>
          <w:rFonts w:ascii="Times New Roman" w:hAnsi="Times New Roman" w:cs="Times New Roman"/>
          <w:b/>
          <w:i/>
          <w:sz w:val="24"/>
          <w:szCs w:val="24"/>
        </w:rPr>
        <w:t xml:space="preserve"> household allowance</w:t>
      </w:r>
      <w:r>
        <w:rPr>
          <w:rFonts w:ascii="Times New Roman" w:hAnsi="Times New Roman" w:cs="Times New Roman"/>
          <w:b/>
          <w:sz w:val="24"/>
          <w:szCs w:val="24"/>
        </w:rPr>
        <w:t xml:space="preserve"> </w:t>
      </w:r>
      <w:r>
        <w:rPr>
          <w:rFonts w:ascii="Times New Roman" w:hAnsi="Times New Roman" w:cs="Times New Roman"/>
          <w:sz w:val="24"/>
          <w:szCs w:val="24"/>
        </w:rPr>
        <w:t>means the allowance payable under Part 2 of the Act.</w:t>
      </w:r>
    </w:p>
    <w:p w:rsidR="00DE587B" w:rsidRDefault="00B105D8">
      <w:pPr>
        <w:pStyle w:val="Leg2Sec1"/>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b/>
          <w:i/>
          <w:sz w:val="24"/>
          <w:szCs w:val="24"/>
        </w:rPr>
        <w:t>interim</w:t>
      </w:r>
      <w:proofErr w:type="gramEnd"/>
      <w:r>
        <w:rPr>
          <w:rFonts w:ascii="Times New Roman" w:hAnsi="Times New Roman" w:cs="Times New Roman"/>
          <w:b/>
          <w:i/>
          <w:sz w:val="24"/>
          <w:szCs w:val="24"/>
        </w:rPr>
        <w:t xml:space="preserve"> </w:t>
      </w:r>
      <w:r>
        <w:rPr>
          <w:rFonts w:ascii="Times New Roman" w:hAnsi="Times New Roman" w:cs="Times New Roman"/>
          <w:b/>
          <w:i/>
          <w:sz w:val="24"/>
          <w:szCs w:val="24"/>
        </w:rPr>
        <w:t>farm household allowance</w:t>
      </w:r>
      <w:r>
        <w:rPr>
          <w:rFonts w:ascii="Times New Roman" w:hAnsi="Times New Roman" w:cs="Times New Roman"/>
          <w:b/>
          <w:sz w:val="24"/>
          <w:szCs w:val="24"/>
        </w:rPr>
        <w:t xml:space="preserve"> </w:t>
      </w:r>
      <w:r>
        <w:rPr>
          <w:rFonts w:ascii="Times New Roman" w:hAnsi="Times New Roman" w:cs="Times New Roman"/>
          <w:sz w:val="24"/>
          <w:szCs w:val="24"/>
        </w:rPr>
        <w:t>means a payment under the program known as the Interim Farm Household Allowance program.</w:t>
      </w:r>
    </w:p>
    <w:p w:rsidR="00DE587B" w:rsidRDefault="00B105D8">
      <w:pPr>
        <w:pStyle w:val="Leg2Sec1"/>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i/>
          <w:sz w:val="24"/>
          <w:szCs w:val="24"/>
        </w:rPr>
        <w:t>Social Security Administration Act</w:t>
      </w:r>
      <w:r>
        <w:rPr>
          <w:rFonts w:ascii="Times New Roman" w:hAnsi="Times New Roman" w:cs="Times New Roman"/>
          <w:b/>
          <w:sz w:val="24"/>
          <w:szCs w:val="24"/>
        </w:rPr>
        <w:t xml:space="preserve"> </w:t>
      </w:r>
      <w:r>
        <w:rPr>
          <w:rFonts w:ascii="Times New Roman" w:hAnsi="Times New Roman" w:cs="Times New Roman"/>
          <w:sz w:val="24"/>
          <w:szCs w:val="24"/>
        </w:rPr>
        <w:t xml:space="preserve">means the </w:t>
      </w:r>
      <w:r>
        <w:rPr>
          <w:rFonts w:ascii="Times New Roman" w:hAnsi="Times New Roman" w:cs="Times New Roman"/>
          <w:i/>
          <w:sz w:val="24"/>
          <w:szCs w:val="24"/>
        </w:rPr>
        <w:t>Social Security (Administration) Act 1999</w:t>
      </w:r>
      <w:r>
        <w:rPr>
          <w:rFonts w:ascii="Times New Roman" w:hAnsi="Times New Roman" w:cs="Times New Roman"/>
          <w:sz w:val="24"/>
          <w:szCs w:val="24"/>
        </w:rPr>
        <w:t>.</w:t>
      </w:r>
    </w:p>
    <w:p w:rsidR="00DE587B" w:rsidRDefault="00B105D8">
      <w:pPr>
        <w:pStyle w:val="Leg2Sec1"/>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i/>
          <w:sz w:val="24"/>
          <w:szCs w:val="24"/>
        </w:rPr>
        <w:t>Transition Act</w:t>
      </w:r>
      <w:r>
        <w:rPr>
          <w:rFonts w:ascii="Times New Roman" w:hAnsi="Times New Roman" w:cs="Times New Roman"/>
          <w:b/>
          <w:sz w:val="24"/>
          <w:szCs w:val="24"/>
        </w:rPr>
        <w:t xml:space="preserve"> </w:t>
      </w:r>
      <w:r>
        <w:rPr>
          <w:rFonts w:ascii="Times New Roman" w:hAnsi="Times New Roman" w:cs="Times New Roman"/>
          <w:sz w:val="24"/>
          <w:szCs w:val="24"/>
        </w:rPr>
        <w:t xml:space="preserve">means the </w:t>
      </w:r>
      <w:r>
        <w:rPr>
          <w:rFonts w:ascii="Times New Roman" w:hAnsi="Times New Roman" w:cs="Times New Roman"/>
          <w:i/>
          <w:sz w:val="24"/>
          <w:szCs w:val="24"/>
        </w:rPr>
        <w:t>Farm Household Support (Con</w:t>
      </w:r>
      <w:r>
        <w:rPr>
          <w:rFonts w:ascii="Times New Roman" w:hAnsi="Times New Roman" w:cs="Times New Roman"/>
          <w:i/>
          <w:sz w:val="24"/>
          <w:szCs w:val="24"/>
        </w:rPr>
        <w:t>sequential and Transitional Provisions) Act 2014</w:t>
      </w:r>
      <w:r>
        <w:rPr>
          <w:rFonts w:ascii="Times New Roman" w:hAnsi="Times New Roman" w:cs="Times New Roman"/>
          <w:sz w:val="24"/>
          <w:szCs w:val="24"/>
        </w:rPr>
        <w:t>.</w:t>
      </w:r>
    </w:p>
    <w:p w:rsidR="00DE587B" w:rsidRDefault="00DE587B">
      <w:pPr>
        <w:pStyle w:val="Normal-em"/>
        <w:rPr>
          <w:iCs/>
          <w:color w:val="auto"/>
          <w:szCs w:val="24"/>
          <w:highlight w:val="yellow"/>
        </w:rPr>
      </w:pPr>
    </w:p>
    <w:p w:rsidR="00DE587B" w:rsidRDefault="00B105D8">
      <w:pPr>
        <w:pStyle w:val="Normal-em"/>
        <w:ind w:left="1440" w:hanging="1440"/>
        <w:rPr>
          <w:color w:val="auto"/>
          <w:szCs w:val="24"/>
          <w:u w:val="single"/>
        </w:rPr>
      </w:pPr>
      <w:r>
        <w:rPr>
          <w:color w:val="auto"/>
          <w:szCs w:val="24"/>
          <w:u w:val="single"/>
        </w:rPr>
        <w:t>Section 5 – Application</w:t>
      </w:r>
    </w:p>
    <w:p w:rsidR="00DE587B" w:rsidRDefault="00B105D8">
      <w:pPr>
        <w:pStyle w:val="Normal-em"/>
        <w:rPr>
          <w:iCs/>
          <w:color w:val="auto"/>
          <w:szCs w:val="24"/>
        </w:rPr>
      </w:pPr>
      <w:r>
        <w:rPr>
          <w:iCs/>
          <w:color w:val="auto"/>
          <w:szCs w:val="24"/>
        </w:rPr>
        <w:t xml:space="preserve">This section provides that the rule applies to applications for FHA made on or after 1 July 2014. The first day a person could apply for the FHA was 1 July 2014. </w:t>
      </w:r>
    </w:p>
    <w:p w:rsidR="00DE587B" w:rsidRDefault="00DE587B">
      <w:pPr>
        <w:pStyle w:val="Normal-em"/>
        <w:rPr>
          <w:iCs/>
          <w:color w:val="auto"/>
          <w:szCs w:val="24"/>
          <w:highlight w:val="yellow"/>
        </w:rPr>
      </w:pPr>
    </w:p>
    <w:p w:rsidR="00DE587B" w:rsidRDefault="00B105D8">
      <w:pPr>
        <w:pStyle w:val="Normal-em"/>
        <w:rPr>
          <w:b/>
          <w:color w:val="auto"/>
          <w:szCs w:val="24"/>
        </w:rPr>
      </w:pPr>
      <w:r>
        <w:rPr>
          <w:b/>
          <w:color w:val="auto"/>
          <w:szCs w:val="24"/>
        </w:rPr>
        <w:t>Part 2 – Transiti</w:t>
      </w:r>
      <w:r>
        <w:rPr>
          <w:b/>
          <w:color w:val="auto"/>
          <w:szCs w:val="24"/>
        </w:rPr>
        <w:t>onal Arrangements with respect to Interim Farm Household Allowance</w:t>
      </w:r>
    </w:p>
    <w:p w:rsidR="00DE587B" w:rsidRDefault="00B105D8">
      <w:pPr>
        <w:pStyle w:val="PlainText"/>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Schedule 3 of the Transition Act</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 xml:space="preserve">provides for the Minister to prescribe a rule for the purpose of transition from Interim FHA to FHA. FHA replaced Interim FHA on 1 July 2014. </w:t>
      </w:r>
    </w:p>
    <w:p w:rsidR="00DE587B" w:rsidRDefault="00B105D8">
      <w:pPr>
        <w:pStyle w:val="PlainText"/>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Part 2 of this rule aims to ensure that where possible, recipients of or applicants for Interim FHA can transfer to FHA without experiencing a break in support. This is consistent with mainstream social security provisions which can allow a person to trans</w:t>
      </w:r>
      <w:r>
        <w:rPr>
          <w:rFonts w:ascii="Times New Roman" w:eastAsia="Times New Roman" w:hAnsi="Times New Roman" w:cs="Times New Roman"/>
          <w:bCs/>
          <w:sz w:val="24"/>
          <w:szCs w:val="24"/>
        </w:rPr>
        <w:t xml:space="preserve">fer from one payment to another without experiencing a break in support. </w:t>
      </w:r>
    </w:p>
    <w:p w:rsidR="00DE587B" w:rsidRDefault="00B105D8">
      <w:pPr>
        <w:pStyle w:val="PlainText"/>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The operation of this provision means that a claim for FHA can be backdated to 1 July 2014 where the applicant or their partner had made a claim for Interim FHA on or before 30 June </w:t>
      </w:r>
      <w:r>
        <w:rPr>
          <w:rFonts w:ascii="Times New Roman" w:eastAsia="Times New Roman" w:hAnsi="Times New Roman" w:cs="Times New Roman"/>
          <w:bCs/>
          <w:sz w:val="24"/>
          <w:szCs w:val="24"/>
        </w:rPr>
        <w:t>2014 and meets the conditions in Section 6 of the rule.</w:t>
      </w:r>
    </w:p>
    <w:p w:rsidR="00DE587B" w:rsidRDefault="00B105D8">
      <w:pPr>
        <w:pStyle w:val="Normal-em"/>
        <w:rPr>
          <w:color w:val="auto"/>
          <w:szCs w:val="24"/>
        </w:rPr>
      </w:pPr>
      <w:r>
        <w:rPr>
          <w:color w:val="auto"/>
          <w:szCs w:val="24"/>
          <w:u w:val="single"/>
        </w:rPr>
        <w:t>Section 6(a)</w:t>
      </w:r>
    </w:p>
    <w:p w:rsidR="00DE587B" w:rsidRDefault="00B105D8">
      <w:pPr>
        <w:pStyle w:val="PlainText"/>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section provides for a claim for FHA to be backdated to 1 July 2014, where an Interim FHA applicant, recipient or their partner has made a claim for FHA on or before 14 August 2014 </w:t>
      </w:r>
      <w:r>
        <w:rPr>
          <w:rFonts w:ascii="Times New Roman" w:eastAsia="Times New Roman" w:hAnsi="Times New Roman" w:cs="Times New Roman"/>
          <w:bCs/>
          <w:sz w:val="24"/>
          <w:szCs w:val="24"/>
        </w:rPr>
        <w:t>and a determination that the person was eligible for Interim FHA was made on or before 31 July 2014. Backdating of the payment is only possible where the person is found to have been eligible for FHA from 1 July 2014.</w:t>
      </w:r>
    </w:p>
    <w:p w:rsidR="00DE587B" w:rsidRDefault="00B105D8">
      <w:pPr>
        <w:pStyle w:val="PlainText"/>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t>Section 6(b</w:t>
      </w:r>
      <w:r>
        <w:rPr>
          <w:rFonts w:ascii="Times New Roman" w:eastAsia="Times New Roman" w:hAnsi="Times New Roman" w:cs="Times New Roman"/>
          <w:bCs/>
          <w:sz w:val="24"/>
          <w:szCs w:val="24"/>
        </w:rPr>
        <w:t>)</w:t>
      </w:r>
    </w:p>
    <w:p w:rsidR="00DE587B" w:rsidRDefault="00B105D8">
      <w:pPr>
        <w:pStyle w:val="PlainText"/>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section provides for</w:t>
      </w:r>
      <w:r>
        <w:rPr>
          <w:rFonts w:ascii="Times New Roman" w:eastAsia="Times New Roman" w:hAnsi="Times New Roman" w:cs="Times New Roman"/>
          <w:bCs/>
          <w:sz w:val="24"/>
          <w:szCs w:val="24"/>
        </w:rPr>
        <w:t xml:space="preserve"> a claim for FHA to be backdated to 1 July 2014, where an Interim FHA applicant or partner’s claim for Interim FHA was determined to be eligible after 31 July 2014 and a claim for FHA is lodged within 14 days of that determination and on or before 30 Septe</w:t>
      </w:r>
      <w:r>
        <w:rPr>
          <w:rFonts w:ascii="Times New Roman" w:eastAsia="Times New Roman" w:hAnsi="Times New Roman" w:cs="Times New Roman"/>
          <w:bCs/>
          <w:sz w:val="24"/>
          <w:szCs w:val="24"/>
        </w:rPr>
        <w:t>mber 2014. Backdating of the payment is only possible where the person is found to have been eligible for FHA from 1 July 2014.</w:t>
      </w:r>
    </w:p>
    <w:p w:rsidR="00DE587B" w:rsidRDefault="00B105D8">
      <w:pPr>
        <w:pStyle w:val="Normal-em"/>
        <w:rPr>
          <w:color w:val="auto"/>
          <w:szCs w:val="24"/>
          <w:u w:val="single"/>
        </w:rPr>
      </w:pPr>
      <w:r>
        <w:rPr>
          <w:color w:val="auto"/>
          <w:szCs w:val="24"/>
          <w:u w:val="single"/>
        </w:rPr>
        <w:t>Section 6(c)</w:t>
      </w:r>
    </w:p>
    <w:p w:rsidR="00DE587B" w:rsidRDefault="00B105D8">
      <w:pPr>
        <w:pStyle w:val="PlainText"/>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section provides for a claim for FHA to be backdated to 1 July 2014 where an Interim FHA recipient or their pa</w:t>
      </w:r>
      <w:r>
        <w:rPr>
          <w:rFonts w:ascii="Times New Roman" w:eastAsia="Times New Roman" w:hAnsi="Times New Roman" w:cs="Times New Roman"/>
          <w:bCs/>
          <w:sz w:val="24"/>
          <w:szCs w:val="24"/>
        </w:rPr>
        <w:t>rtner made a claim for FHA on or before 30 September 2014 and special circumstances exist. For a circumstance to be determined as special, the Secretary must be satisfied that it was not reasonably practicable for that person to have lodged a claim for FHA</w:t>
      </w:r>
      <w:r>
        <w:rPr>
          <w:rFonts w:ascii="Times New Roman" w:eastAsia="Times New Roman" w:hAnsi="Times New Roman" w:cs="Times New Roman"/>
          <w:bCs/>
          <w:sz w:val="24"/>
          <w:szCs w:val="24"/>
        </w:rPr>
        <w:t xml:space="preserve"> earlier. </w:t>
      </w:r>
    </w:p>
    <w:p w:rsidR="00DE587B" w:rsidRDefault="00B105D8">
      <w:pPr>
        <w:pStyle w:val="PlainText"/>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Special circumstances may include (but are not limited to):</w:t>
      </w:r>
    </w:p>
    <w:p w:rsidR="00DE587B" w:rsidRDefault="00B105D8">
      <w:pPr>
        <w:pStyle w:val="PlainText"/>
        <w:numPr>
          <w:ilvl w:val="0"/>
          <w:numId w:val="20"/>
        </w:numPr>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person or their partner was not advised of their requirement to lodge a claim for FHA by 14 August 2014</w:t>
      </w:r>
    </w:p>
    <w:p w:rsidR="00DE587B" w:rsidRDefault="00B105D8">
      <w:pPr>
        <w:pStyle w:val="PlainText"/>
        <w:numPr>
          <w:ilvl w:val="0"/>
          <w:numId w:val="20"/>
        </w:numPr>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severe financial hardship which would have prevented a claim for FHA being lo</w:t>
      </w:r>
      <w:r>
        <w:rPr>
          <w:rFonts w:ascii="Times New Roman" w:eastAsia="Times New Roman" w:hAnsi="Times New Roman" w:cs="Times New Roman"/>
          <w:bCs/>
          <w:sz w:val="24"/>
          <w:szCs w:val="24"/>
        </w:rPr>
        <w:t>dged</w:t>
      </w:r>
    </w:p>
    <w:p w:rsidR="00DE587B" w:rsidRDefault="00B105D8">
      <w:pPr>
        <w:pStyle w:val="PlainText"/>
        <w:numPr>
          <w:ilvl w:val="0"/>
          <w:numId w:val="20"/>
        </w:numPr>
        <w:spacing w:before="240"/>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illness</w:t>
      </w:r>
      <w:proofErr w:type="gramEnd"/>
      <w:r>
        <w:rPr>
          <w:rFonts w:ascii="Times New Roman" w:eastAsia="Times New Roman" w:hAnsi="Times New Roman" w:cs="Times New Roman"/>
          <w:bCs/>
          <w:sz w:val="24"/>
          <w:szCs w:val="24"/>
        </w:rPr>
        <w:t xml:space="preserve"> or incapacity.</w:t>
      </w:r>
    </w:p>
    <w:p w:rsidR="00DE587B" w:rsidRDefault="00B105D8">
      <w:pPr>
        <w:pStyle w:val="PlainText"/>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Backdating of the payment is only possible where the person is found to have been eligible for FHA from 1 July 2014.</w:t>
      </w:r>
    </w:p>
    <w:p w:rsidR="00DE587B" w:rsidRDefault="00B105D8">
      <w:pPr>
        <w:pStyle w:val="Normal-em"/>
        <w:rPr>
          <w:b/>
          <w:color w:val="auto"/>
          <w:szCs w:val="24"/>
        </w:rPr>
      </w:pPr>
      <w:r>
        <w:rPr>
          <w:b/>
          <w:color w:val="auto"/>
          <w:szCs w:val="24"/>
        </w:rPr>
        <w:t>Part 3 – Transitional arrangements for Liquid Assets Waiting Period</w:t>
      </w:r>
    </w:p>
    <w:p w:rsidR="00DE587B" w:rsidRDefault="00B105D8">
      <w:pPr>
        <w:pStyle w:val="PlainText"/>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Section 44 of the Act provides that FHA app</w:t>
      </w:r>
      <w:r>
        <w:rPr>
          <w:rFonts w:ascii="Times New Roman" w:eastAsia="Times New Roman" w:hAnsi="Times New Roman" w:cs="Times New Roman"/>
          <w:bCs/>
          <w:sz w:val="24"/>
          <w:szCs w:val="24"/>
        </w:rPr>
        <w:t xml:space="preserve">licants must serve a Liquid Assets Waiting Period (LAWP) where the value of their liquid assets (that is, cash and any asset that could readily be converted into cash) exceeds the relevant threshold. The maximum reserve is as defined by the </w:t>
      </w:r>
      <w:r>
        <w:rPr>
          <w:rFonts w:ascii="Times New Roman" w:eastAsia="Times New Roman" w:hAnsi="Times New Roman" w:cs="Times New Roman"/>
          <w:bCs/>
          <w:i/>
          <w:sz w:val="24"/>
          <w:szCs w:val="24"/>
        </w:rPr>
        <w:t>Social Security</w:t>
      </w:r>
      <w:r>
        <w:rPr>
          <w:rFonts w:ascii="Times New Roman" w:eastAsia="Times New Roman" w:hAnsi="Times New Roman" w:cs="Times New Roman"/>
          <w:bCs/>
          <w:i/>
          <w:sz w:val="24"/>
          <w:szCs w:val="24"/>
        </w:rPr>
        <w:t xml:space="preserve"> Act 1991</w:t>
      </w:r>
      <w:r>
        <w:rPr>
          <w:rFonts w:ascii="Times New Roman" w:eastAsia="Times New Roman" w:hAnsi="Times New Roman" w:cs="Times New Roman"/>
          <w:bCs/>
          <w:sz w:val="24"/>
          <w:szCs w:val="24"/>
        </w:rPr>
        <w:t>.</w:t>
      </w:r>
    </w:p>
    <w:p w:rsidR="00DE587B" w:rsidRDefault="00B105D8">
      <w:pPr>
        <w:pStyle w:val="PlainText"/>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Consistent with mainstream social security, this provision exempts a person from serving a second LAWP where a person, or their partner, has served a LAWP under another income support payment in the preceding 12 months.</w:t>
      </w:r>
    </w:p>
    <w:p w:rsidR="00DE587B" w:rsidRDefault="00B105D8">
      <w:pPr>
        <w:pStyle w:val="PlainText"/>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As Interim FHA was paid u</w:t>
      </w:r>
      <w:r>
        <w:rPr>
          <w:rFonts w:ascii="Times New Roman" w:eastAsia="Times New Roman" w:hAnsi="Times New Roman" w:cs="Times New Roman"/>
          <w:bCs/>
          <w:sz w:val="24"/>
          <w:szCs w:val="24"/>
        </w:rPr>
        <w:t>nder executive scheme guidelines, section 44 of the FHS Act does not recognise a LAWP served for Interim FHA. This would result in FHA applicants being required to serve an additional LAWP where their liquid assets still exceed the maximum reserve.</w:t>
      </w:r>
    </w:p>
    <w:p w:rsidR="00DE587B" w:rsidRDefault="00B105D8">
      <w:pPr>
        <w:pStyle w:val="PlainText"/>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Part 3 </w:t>
      </w:r>
      <w:r>
        <w:rPr>
          <w:rFonts w:ascii="Times New Roman" w:eastAsia="Times New Roman" w:hAnsi="Times New Roman" w:cs="Times New Roman"/>
          <w:bCs/>
          <w:sz w:val="24"/>
          <w:szCs w:val="24"/>
        </w:rPr>
        <w:t>of this rule recognises a LAWP which has been either fully or partially served for Interim FHA for the purpose of making a determination for a claim for FHA.</w:t>
      </w:r>
    </w:p>
    <w:p w:rsidR="00DE587B" w:rsidRDefault="00B105D8">
      <w:pPr>
        <w:pStyle w:val="Normal-em"/>
        <w:rPr>
          <w:color w:val="auto"/>
          <w:szCs w:val="24"/>
        </w:rPr>
      </w:pPr>
      <w:r>
        <w:rPr>
          <w:color w:val="auto"/>
          <w:szCs w:val="24"/>
          <w:u w:val="single"/>
        </w:rPr>
        <w:t>Section 7 – Recipients of Interim Farm Household Allowance who have fully served liquid assets tes</w:t>
      </w:r>
      <w:r>
        <w:rPr>
          <w:color w:val="auto"/>
          <w:szCs w:val="24"/>
          <w:u w:val="single"/>
        </w:rPr>
        <w:t>t waiting period</w:t>
      </w:r>
    </w:p>
    <w:p w:rsidR="00DE587B" w:rsidRDefault="00B105D8">
      <w:pPr>
        <w:spacing w:before="240" w:after="240"/>
        <w:rPr>
          <w:rFonts w:ascii="Times New Roman" w:hAnsi="Times New Roman" w:cs="Times New Roman"/>
          <w:sz w:val="24"/>
        </w:rPr>
      </w:pPr>
      <w:r>
        <w:rPr>
          <w:rFonts w:ascii="Times New Roman" w:hAnsi="Times New Roman" w:cs="Times New Roman"/>
          <w:sz w:val="24"/>
        </w:rPr>
        <w:t>This section provides for a person to be exempt from serving a LAWP in respect to a claim for FHA where the person, or the person’s partner, has already served a LAWP in the preceding 12 months. The LAWP could have been in respect of a mai</w:t>
      </w:r>
      <w:r>
        <w:rPr>
          <w:rFonts w:ascii="Times New Roman" w:hAnsi="Times New Roman" w:cs="Times New Roman"/>
          <w:sz w:val="24"/>
        </w:rPr>
        <w:t>nstream social security payment, FHA or Interim FHA.</w:t>
      </w:r>
    </w:p>
    <w:p w:rsidR="00DE587B" w:rsidRDefault="00B105D8">
      <w:pPr>
        <w:pStyle w:val="Normal-em"/>
        <w:rPr>
          <w:color w:val="auto"/>
          <w:szCs w:val="24"/>
        </w:rPr>
      </w:pPr>
      <w:r>
        <w:rPr>
          <w:color w:val="auto"/>
          <w:szCs w:val="24"/>
          <w:u w:val="single"/>
        </w:rPr>
        <w:t>Section 8 – Recipients of Interim Farm Household Allowance who have partially served liquid assets waiting period</w:t>
      </w:r>
    </w:p>
    <w:p w:rsidR="00DE587B" w:rsidRDefault="00B105D8">
      <w:pPr>
        <w:spacing w:before="240" w:after="240"/>
        <w:rPr>
          <w:rFonts w:ascii="Times New Roman" w:hAnsi="Times New Roman" w:cs="Times New Roman"/>
          <w:sz w:val="24"/>
        </w:rPr>
      </w:pPr>
      <w:r>
        <w:rPr>
          <w:rFonts w:ascii="Times New Roman" w:hAnsi="Times New Roman" w:cs="Times New Roman"/>
          <w:sz w:val="24"/>
        </w:rPr>
        <w:t xml:space="preserve">This section provides for a LAWP which has been partially served in respect of a claim </w:t>
      </w:r>
      <w:r>
        <w:rPr>
          <w:rFonts w:ascii="Times New Roman" w:hAnsi="Times New Roman" w:cs="Times New Roman"/>
          <w:sz w:val="24"/>
        </w:rPr>
        <w:t>for Interim FHA to be recognised for the purpose of calculating the LAWP for a claim for FHA. This means that an FHA applicant will only be required to serve the remainder of the LAWP which was calculated for their claim for Interim FHA.</w:t>
      </w:r>
    </w:p>
    <w:p w:rsidR="00DE587B" w:rsidRDefault="00B105D8">
      <w:pPr>
        <w:pStyle w:val="Normal-em"/>
        <w:rPr>
          <w:b/>
          <w:color w:val="auto"/>
          <w:szCs w:val="24"/>
        </w:rPr>
      </w:pPr>
      <w:r>
        <w:rPr>
          <w:b/>
          <w:color w:val="auto"/>
          <w:szCs w:val="24"/>
        </w:rPr>
        <w:t>Part 4 – Transitio</w:t>
      </w:r>
      <w:r>
        <w:rPr>
          <w:b/>
          <w:color w:val="auto"/>
          <w:szCs w:val="24"/>
        </w:rPr>
        <w:t xml:space="preserve">nal arrangements with respect to </w:t>
      </w:r>
      <w:proofErr w:type="spellStart"/>
      <w:r>
        <w:rPr>
          <w:b/>
          <w:color w:val="auto"/>
          <w:szCs w:val="24"/>
        </w:rPr>
        <w:t>payability</w:t>
      </w:r>
      <w:proofErr w:type="spellEnd"/>
      <w:r>
        <w:rPr>
          <w:b/>
          <w:color w:val="auto"/>
          <w:szCs w:val="24"/>
        </w:rPr>
        <w:t xml:space="preserve"> of Farm Household Allowance</w:t>
      </w:r>
    </w:p>
    <w:p w:rsidR="00DE587B" w:rsidRDefault="00B105D8">
      <w:pPr>
        <w:spacing w:before="240"/>
        <w:rPr>
          <w:rFonts w:ascii="Times New Roman" w:hAnsi="Times New Roman" w:cs="Times New Roman"/>
          <w:sz w:val="24"/>
        </w:rPr>
      </w:pPr>
      <w:r>
        <w:rPr>
          <w:rFonts w:ascii="Times New Roman" w:hAnsi="Times New Roman" w:cs="Times New Roman"/>
          <w:sz w:val="24"/>
        </w:rPr>
        <w:t>Section 38 of the Act sets out the circumstances where a person cannot receive FHA because they are receiving another pension, benefit, supplement or allowance. Where a person is eligi</w:t>
      </w:r>
      <w:r>
        <w:rPr>
          <w:rFonts w:ascii="Times New Roman" w:hAnsi="Times New Roman" w:cs="Times New Roman"/>
          <w:sz w:val="24"/>
        </w:rPr>
        <w:t>ble for more than one payment they must elect to receive the payment most appropriate for their circumstances.</w:t>
      </w:r>
    </w:p>
    <w:p w:rsidR="00DE587B" w:rsidRDefault="00B105D8">
      <w:pPr>
        <w:spacing w:before="240" w:after="240"/>
        <w:rPr>
          <w:rFonts w:ascii="Times New Roman" w:hAnsi="Times New Roman" w:cs="Times New Roman"/>
          <w:sz w:val="24"/>
        </w:rPr>
      </w:pPr>
      <w:r>
        <w:rPr>
          <w:rFonts w:ascii="Times New Roman" w:hAnsi="Times New Roman" w:cs="Times New Roman"/>
          <w:sz w:val="24"/>
        </w:rPr>
        <w:t>In mainstream social security, this means that where they wish to transfer to another, more appropriate payment, an adjustment of entitlement can</w:t>
      </w:r>
      <w:r>
        <w:rPr>
          <w:rFonts w:ascii="Times New Roman" w:hAnsi="Times New Roman" w:cs="Times New Roman"/>
          <w:sz w:val="24"/>
        </w:rPr>
        <w:t xml:space="preserve"> be done prior to their new payment being granted to ensure that they do not receive more than they are entitled to.</w:t>
      </w:r>
    </w:p>
    <w:p w:rsidR="00DE587B" w:rsidRDefault="00B105D8">
      <w:pPr>
        <w:spacing w:before="240" w:after="240"/>
        <w:rPr>
          <w:rFonts w:ascii="Times New Roman" w:eastAsia="Times New Roman" w:hAnsi="Times New Roman" w:cs="Times New Roman"/>
          <w:bCs/>
          <w:sz w:val="24"/>
        </w:rPr>
      </w:pPr>
      <w:r>
        <w:rPr>
          <w:rFonts w:ascii="Times New Roman" w:hAnsi="Times New Roman" w:cs="Times New Roman"/>
          <w:sz w:val="24"/>
        </w:rPr>
        <w:t xml:space="preserve">Section 38 of the Act uses the same provisions as those in mainstream social security to allow a person to transfer between income </w:t>
      </w:r>
      <w:proofErr w:type="gramStart"/>
      <w:r>
        <w:rPr>
          <w:rFonts w:ascii="Times New Roman" w:hAnsi="Times New Roman" w:cs="Times New Roman"/>
          <w:sz w:val="24"/>
        </w:rPr>
        <w:t>support</w:t>
      </w:r>
      <w:proofErr w:type="gramEnd"/>
      <w:r>
        <w:rPr>
          <w:rFonts w:ascii="Times New Roman" w:hAnsi="Times New Roman" w:cs="Times New Roman"/>
          <w:sz w:val="24"/>
        </w:rPr>
        <w:t xml:space="preserve"> </w:t>
      </w:r>
      <w:r>
        <w:rPr>
          <w:rFonts w:ascii="Times New Roman" w:hAnsi="Times New Roman" w:cs="Times New Roman"/>
          <w:sz w:val="24"/>
        </w:rPr>
        <w:t>payments and ensure they receive the correct entitlement.</w:t>
      </w:r>
      <w:r>
        <w:rPr>
          <w:rFonts w:ascii="Times New Roman" w:eastAsia="Times New Roman" w:hAnsi="Times New Roman" w:cs="Times New Roman"/>
          <w:bCs/>
          <w:sz w:val="24"/>
        </w:rPr>
        <w:t xml:space="preserve"> Interim FHA is not captured in these provisions as it is paid under executive scheme guidelines.</w:t>
      </w:r>
    </w:p>
    <w:p w:rsidR="00DE587B" w:rsidRDefault="00B105D8">
      <w:pPr>
        <w:pStyle w:val="Normal-em"/>
        <w:rPr>
          <w:color w:val="auto"/>
          <w:szCs w:val="24"/>
        </w:rPr>
      </w:pPr>
      <w:r>
        <w:rPr>
          <w:color w:val="auto"/>
          <w:szCs w:val="24"/>
          <w:u w:val="single"/>
        </w:rPr>
        <w:t>Section 9 – Modification of multiple entitlement exclusion with respect to recipients of Interim Farm</w:t>
      </w:r>
      <w:r>
        <w:rPr>
          <w:color w:val="auto"/>
          <w:szCs w:val="24"/>
          <w:u w:val="single"/>
        </w:rPr>
        <w:t xml:space="preserve"> Household Allowance</w:t>
      </w:r>
    </w:p>
    <w:p w:rsidR="00DE587B" w:rsidRDefault="00B105D8">
      <w:pPr>
        <w:spacing w:before="240" w:after="240"/>
        <w:rPr>
          <w:rFonts w:ascii="Times New Roman" w:hAnsi="Times New Roman" w:cs="Times New Roman"/>
          <w:sz w:val="24"/>
        </w:rPr>
      </w:pPr>
      <w:r>
        <w:rPr>
          <w:rFonts w:ascii="Times New Roman" w:hAnsi="Times New Roman" w:cs="Times New Roman"/>
          <w:sz w:val="24"/>
        </w:rPr>
        <w:t>This section provides for Interim FHA to be included in the list of payments which cannot be paid concurrently. This ensures that the correct entitlement can be assessed when a recipient is transferred from Interim FHA to FHA.</w:t>
      </w:r>
    </w:p>
    <w:p w:rsidR="00DE587B" w:rsidRDefault="00B105D8">
      <w:pPr>
        <w:rPr>
          <w:rFonts w:ascii="Times" w:eastAsia="Times New Roman" w:hAnsi="Times" w:cs="Times New Roman"/>
          <w:b/>
          <w:caps/>
          <w:color w:val="000000"/>
          <w:sz w:val="24"/>
          <w:szCs w:val="20"/>
          <w:u w:val="single"/>
        </w:rPr>
      </w:pPr>
      <w:r>
        <w:rPr>
          <w:rFonts w:ascii="Times" w:hAnsi="Times"/>
          <w:b/>
          <w:caps/>
          <w:u w:val="single"/>
        </w:rPr>
        <w:br w:type="page"/>
      </w:r>
    </w:p>
    <w:p w:rsidR="00DE587B" w:rsidRDefault="00B105D8">
      <w:pPr>
        <w:pStyle w:val="Normal-em"/>
        <w:jc w:val="right"/>
        <w:rPr>
          <w:rFonts w:ascii="Times" w:hAnsi="Times"/>
          <w:b/>
          <w:caps/>
          <w:u w:val="single"/>
        </w:rPr>
      </w:pPr>
      <w:r>
        <w:rPr>
          <w:rFonts w:ascii="Times" w:hAnsi="Times"/>
          <w:b/>
          <w:caps/>
          <w:u w:val="single"/>
        </w:rPr>
        <w:lastRenderedPageBreak/>
        <w:t>Attachment B</w:t>
      </w:r>
    </w:p>
    <w:p w:rsidR="00DE587B" w:rsidRDefault="00DE587B">
      <w:pPr>
        <w:rPr>
          <w:rFonts w:ascii="Times New Roman" w:hAnsi="Times New Roman" w:cs="Times New Roman"/>
          <w:vanish/>
          <w:sz w:val="24"/>
        </w:rPr>
      </w:pPr>
    </w:p>
    <w:p w:rsidR="00DE587B" w:rsidRDefault="00B105D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E587B" w:rsidRDefault="00DE587B">
      <w:pPr>
        <w:jc w:val="center"/>
        <w:rPr>
          <w:rFonts w:ascii="Times New Roman" w:hAnsi="Times New Roman"/>
          <w:sz w:val="24"/>
        </w:rPr>
      </w:pPr>
    </w:p>
    <w:p w:rsidR="00DE587B" w:rsidRDefault="00B105D8">
      <w:pPr>
        <w:jc w:val="center"/>
        <w:rPr>
          <w:rFonts w:ascii="Times New Roman" w:hAnsi="Times New Roman"/>
          <w:sz w:val="24"/>
        </w:rPr>
      </w:pPr>
      <w:r>
        <w:rPr>
          <w:rFonts w:ascii="Times New Roman" w:hAnsi="Times New Roman"/>
          <w:i/>
          <w:sz w:val="24"/>
        </w:rPr>
        <w:t>Prepared in accordance with section 3 of the Human Rights (Parliamentary Scrutiny) Act 2011</w:t>
      </w:r>
    </w:p>
    <w:p w:rsidR="00DE587B" w:rsidRDefault="00DE587B">
      <w:pPr>
        <w:jc w:val="center"/>
        <w:rPr>
          <w:rFonts w:ascii="Times New Roman" w:hAnsi="Times New Roman"/>
          <w:sz w:val="24"/>
        </w:rPr>
      </w:pPr>
    </w:p>
    <w:p w:rsidR="00DE587B" w:rsidRDefault="00B105D8">
      <w:pPr>
        <w:jc w:val="center"/>
        <w:rPr>
          <w:b/>
          <w:iCs/>
          <w:u w:val="single"/>
        </w:rPr>
      </w:pPr>
      <w:r>
        <w:rPr>
          <w:b/>
          <w:i/>
          <w:iCs/>
          <w:u w:val="single"/>
        </w:rPr>
        <w:t>Farm Household Support (Consequential and Transitional Provisions) Act 2014</w:t>
      </w:r>
      <w:r>
        <w:rPr>
          <w:b/>
          <w:iCs/>
          <w:u w:val="single"/>
        </w:rPr>
        <w:t xml:space="preserve"> </w:t>
      </w:r>
      <w:r>
        <w:rPr>
          <w:b/>
          <w:i/>
          <w:iCs/>
          <w:u w:val="single"/>
        </w:rPr>
        <w:t xml:space="preserve">Minister’s Rule </w:t>
      </w:r>
    </w:p>
    <w:sdt>
      <w:sdtPr>
        <w:rPr>
          <w:rFonts w:ascii="Times New Roman" w:hAnsi="Times New Roman"/>
          <w:sz w:val="24"/>
        </w:rPr>
        <w:id w:val="962787082"/>
        <w:lock w:val="contentLocked"/>
        <w:placeholder>
          <w:docPart w:val="3F24F1B361AA4406A4B36253A44AD5DA"/>
        </w:placeholder>
        <w:group/>
      </w:sdtPr>
      <w:sdtEndPr>
        <w:rPr>
          <w:b/>
        </w:rPr>
      </w:sdtEndPr>
      <w:sdtContent>
        <w:p w:rsidR="00DE587B" w:rsidRDefault="00DE587B">
          <w:pPr>
            <w:jc w:val="center"/>
            <w:rPr>
              <w:rFonts w:ascii="Times New Roman" w:hAnsi="Times New Roman"/>
              <w:sz w:val="24"/>
            </w:rPr>
          </w:pPr>
        </w:p>
        <w:p w:rsidR="00DE587B" w:rsidRDefault="00B105D8">
          <w:pPr>
            <w:spacing w:before="120" w:after="120"/>
            <w:jc w:val="center"/>
            <w:rPr>
              <w:rFonts w:ascii="Times New Roman" w:hAnsi="Times New Roman"/>
              <w:sz w:val="24"/>
            </w:rPr>
          </w:pPr>
          <w:r>
            <w:rPr>
              <w:rFonts w:ascii="Times New Roman" w:hAnsi="Times New Roman"/>
              <w:sz w:val="24"/>
            </w:rPr>
            <w:t xml:space="preserve">This Legislative Instrument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rsidR="00DE587B" w:rsidRDefault="00DE587B">
          <w:pPr>
            <w:rPr>
              <w:rFonts w:ascii="Times New Roman" w:hAnsi="Times New Roman"/>
              <w:sz w:val="24"/>
            </w:rPr>
          </w:pPr>
        </w:p>
        <w:p w:rsidR="00DE587B" w:rsidRDefault="00B105D8">
          <w:pPr>
            <w:spacing w:after="120"/>
            <w:jc w:val="both"/>
            <w:rPr>
              <w:rFonts w:ascii="Times New Roman" w:hAnsi="Times New Roman"/>
              <w:b/>
              <w:sz w:val="24"/>
            </w:rPr>
          </w:pPr>
          <w:r>
            <w:rPr>
              <w:rFonts w:ascii="Times New Roman" w:hAnsi="Times New Roman"/>
              <w:b/>
              <w:sz w:val="24"/>
            </w:rPr>
            <w:t>Overview of the Legislative Instrument</w:t>
          </w:r>
        </w:p>
      </w:sdtContent>
    </w:sdt>
    <w:p w:rsidR="00DE587B" w:rsidRDefault="00B105D8">
      <w:pPr>
        <w:spacing w:before="100" w:beforeAutospacing="1" w:after="100" w:afterAutospacing="1"/>
        <w:rPr>
          <w:rFonts w:ascii="Times New Roman" w:hAnsi="Times New Roman" w:cs="Times New Roman"/>
          <w:sz w:val="24"/>
        </w:rPr>
      </w:pPr>
      <w:r>
        <w:rPr>
          <w:rFonts w:ascii="Times New Roman" w:hAnsi="Times New Roman" w:cs="Times New Roman"/>
          <w:sz w:val="24"/>
        </w:rPr>
        <w:t>Item 2</w:t>
      </w:r>
      <w:r>
        <w:rPr>
          <w:rFonts w:ascii="Times New Roman" w:hAnsi="Times New Roman" w:cs="Times New Roman"/>
          <w:sz w:val="24"/>
        </w:rPr>
        <w:t xml:space="preserve"> of Schedule 3 of the </w:t>
      </w:r>
      <w:r>
        <w:rPr>
          <w:rFonts w:ascii="Times New Roman" w:hAnsi="Times New Roman" w:cs="Times New Roman"/>
          <w:i/>
          <w:sz w:val="24"/>
        </w:rPr>
        <w:t>Farm Household Support (Consequential and Transitional Provisions) Act 2014</w:t>
      </w:r>
      <w:r>
        <w:rPr>
          <w:rFonts w:ascii="Times New Roman" w:hAnsi="Times New Roman" w:cs="Times New Roman"/>
          <w:sz w:val="24"/>
        </w:rPr>
        <w:t xml:space="preserve"> (Transition Act) provides that the Minister for Agriculture can make rules prescribing matters of a transitional nature relating to the Transition Act or the </w:t>
      </w:r>
      <w:r>
        <w:rPr>
          <w:rFonts w:ascii="Times New Roman" w:hAnsi="Times New Roman" w:cs="Times New Roman"/>
          <w:i/>
          <w:sz w:val="24"/>
        </w:rPr>
        <w:t xml:space="preserve">Farm Household Support Act 2014 </w:t>
      </w:r>
      <w:r>
        <w:rPr>
          <w:rFonts w:ascii="Times New Roman" w:hAnsi="Times New Roman" w:cs="Times New Roman"/>
          <w:sz w:val="24"/>
        </w:rPr>
        <w:t xml:space="preserve">(the Act). This clause provides for rules which, amongst other things, deal with the transition of a person from a payment made under an executive power of the Commonwealth to the legislated Farm Household Allowance (FHA). </w:t>
      </w:r>
    </w:p>
    <w:p w:rsidR="00DE587B" w:rsidRDefault="00B105D8">
      <w:pPr>
        <w:spacing w:before="100" w:beforeAutospacing="1" w:after="100" w:afterAutospacing="1"/>
        <w:rPr>
          <w:rFonts w:ascii="Times New Roman" w:hAnsi="Times New Roman"/>
          <w:sz w:val="24"/>
        </w:rPr>
      </w:pPr>
      <w:r>
        <w:rPr>
          <w:rFonts w:ascii="Times New Roman" w:hAnsi="Times New Roman"/>
          <w:sz w:val="24"/>
        </w:rPr>
        <w:t>The FHA, which commenced on 1 July 2014, provides financial assistance to farmers and their partners who are in financial hardship, in the form of time-limited income support and funding to obtain relevant advice and/or training, while they undertake actio</w:t>
      </w:r>
      <w:r>
        <w:rPr>
          <w:rFonts w:ascii="Times New Roman" w:hAnsi="Times New Roman"/>
          <w:sz w:val="24"/>
        </w:rPr>
        <w:t xml:space="preserve">ns to improve their situation. The FHA is aligned where possible with social security payments under social security law (that is the </w:t>
      </w:r>
      <w:r>
        <w:rPr>
          <w:rFonts w:ascii="Times New Roman" w:hAnsi="Times New Roman"/>
          <w:i/>
          <w:sz w:val="24"/>
        </w:rPr>
        <w:t>Social Security Act 1991</w:t>
      </w:r>
      <w:r>
        <w:rPr>
          <w:rFonts w:ascii="Times New Roman" w:hAnsi="Times New Roman"/>
          <w:sz w:val="24"/>
        </w:rPr>
        <w:t xml:space="preserve"> and the </w:t>
      </w:r>
      <w:r>
        <w:rPr>
          <w:rFonts w:ascii="Times New Roman" w:hAnsi="Times New Roman"/>
          <w:i/>
          <w:sz w:val="24"/>
        </w:rPr>
        <w:t>Social Security (Administration) Act 1999</w:t>
      </w:r>
      <w:r>
        <w:rPr>
          <w:rFonts w:ascii="Times New Roman" w:hAnsi="Times New Roman"/>
          <w:sz w:val="24"/>
        </w:rPr>
        <w:t>) and seeks to achieve the legitimate purpose of</w:t>
      </w:r>
      <w:r>
        <w:rPr>
          <w:rFonts w:ascii="Times New Roman" w:hAnsi="Times New Roman"/>
          <w:sz w:val="24"/>
        </w:rPr>
        <w:t xml:space="preserve"> providing financial assistance to farmers who are in financial difficulty if they undertake actions to improve their situation.</w:t>
      </w:r>
    </w:p>
    <w:p w:rsidR="00DE587B" w:rsidRDefault="00B105D8">
      <w:pPr>
        <w:spacing w:before="100" w:beforeAutospacing="1" w:after="100" w:afterAutospacing="1"/>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i/>
          <w:sz w:val="24"/>
        </w:rPr>
        <w:t xml:space="preserve">Farm Household Support (Consequential and Transitional Provisions) Minister’s Rule 2014 </w:t>
      </w:r>
      <w:r>
        <w:rPr>
          <w:rFonts w:ascii="Times New Roman" w:hAnsi="Times New Roman" w:cs="Times New Roman"/>
          <w:sz w:val="24"/>
        </w:rPr>
        <w:t xml:space="preserve">(the rule) prescribes transitional </w:t>
      </w:r>
      <w:r>
        <w:rPr>
          <w:rFonts w:ascii="Times New Roman" w:hAnsi="Times New Roman" w:cs="Times New Roman"/>
          <w:sz w:val="24"/>
        </w:rPr>
        <w:t>arrangements to facilitate the transfer of claimants for and recipients of a payment made under the executive power of the Commonwealth to the FHA. This rule will assist in the transition of a person from Interim FHA to FHA. The rule also aligns the treatm</w:t>
      </w:r>
      <w:r>
        <w:rPr>
          <w:rFonts w:ascii="Times New Roman" w:hAnsi="Times New Roman" w:cs="Times New Roman"/>
          <w:sz w:val="24"/>
        </w:rPr>
        <w:t xml:space="preserve">ent of the liquid assets waiting period applicable to payments made under the executive power with the FHA and social security payments. </w:t>
      </w:r>
    </w:p>
    <w:p w:rsidR="00DE587B" w:rsidRDefault="00B105D8">
      <w:pPr>
        <w:pStyle w:val="NormalWeb"/>
        <w:shd w:val="clear" w:color="auto" w:fill="FFFFFF"/>
        <w:rPr>
          <w:rFonts w:eastAsiaTheme="minorEastAsia"/>
          <w:lang w:eastAsia="en-US"/>
        </w:rPr>
      </w:pPr>
      <w:r>
        <w:rPr>
          <w:rFonts w:eastAsiaTheme="minorEastAsia"/>
          <w:lang w:eastAsia="en-US"/>
        </w:rPr>
        <w:t>Interim FHA is an income support payment that helps farm families with their daily living expenses and is available to</w:t>
      </w:r>
      <w:r>
        <w:rPr>
          <w:rFonts w:eastAsiaTheme="minorEastAsia"/>
          <w:lang w:eastAsia="en-US"/>
        </w:rPr>
        <w:t xml:space="preserve"> eligible farmers Australia-wide, without the need for a drought declaration.</w:t>
      </w:r>
    </w:p>
    <w:p w:rsidR="00DE587B" w:rsidRDefault="00B105D8">
      <w:pPr>
        <w:rPr>
          <w:rFonts w:ascii="Times New Roman" w:hAnsi="Times New Roman"/>
          <w:b/>
          <w:sz w:val="24"/>
        </w:rPr>
      </w:pPr>
      <w:r>
        <w:rPr>
          <w:rFonts w:ascii="Times New Roman" w:hAnsi="Times New Roman"/>
          <w:b/>
          <w:sz w:val="24"/>
        </w:rPr>
        <w:t>Human rights implications</w:t>
      </w:r>
    </w:p>
    <w:p w:rsidR="00DE587B" w:rsidRDefault="00B105D8">
      <w:pPr>
        <w:spacing w:before="100" w:beforeAutospacing="1" w:after="100" w:afterAutospacing="1"/>
        <w:rPr>
          <w:rFonts w:ascii="Times New Roman" w:hAnsi="Times New Roman"/>
          <w:sz w:val="24"/>
        </w:rPr>
      </w:pPr>
      <w:r>
        <w:rPr>
          <w:rFonts w:ascii="Times New Roman" w:hAnsi="Times New Roman"/>
          <w:sz w:val="24"/>
        </w:rPr>
        <w:t xml:space="preserve">The </w:t>
      </w:r>
      <w:r>
        <w:rPr>
          <w:rFonts w:ascii="Times New Roman" w:hAnsi="Times New Roman" w:cs="Times New Roman"/>
          <w:sz w:val="24"/>
        </w:rPr>
        <w:t xml:space="preserve">Transition Act and the Act </w:t>
      </w:r>
      <w:r>
        <w:rPr>
          <w:rFonts w:ascii="Times New Roman" w:hAnsi="Times New Roman"/>
          <w:sz w:val="24"/>
        </w:rPr>
        <w:t>were assessed as engaging human rights and freedoms recognised or declared in the international instruments listed in the</w:t>
      </w:r>
      <w:r>
        <w:rPr>
          <w:rFonts w:ascii="Times New Roman" w:hAnsi="Times New Roman"/>
          <w:sz w:val="24"/>
        </w:rPr>
        <w:t xml:space="preserve"> definition of human rights at section 3 of the </w:t>
      </w:r>
      <w:r>
        <w:rPr>
          <w:rFonts w:ascii="Times New Roman" w:hAnsi="Times New Roman"/>
          <w:i/>
          <w:sz w:val="24"/>
        </w:rPr>
        <w:t>Human Rights (Parliamentary Scrutiny) Act 2011</w:t>
      </w:r>
      <w:r>
        <w:rPr>
          <w:rFonts w:ascii="Times New Roman" w:hAnsi="Times New Roman"/>
          <w:sz w:val="24"/>
        </w:rPr>
        <w:t>. The full analysis of those provisions is set out in the Explanatory Memorandum to each Bill.</w:t>
      </w:r>
    </w:p>
    <w:p w:rsidR="00DE587B" w:rsidRDefault="00B105D8">
      <w:pPr>
        <w:spacing w:before="100" w:beforeAutospacing="1" w:after="100" w:afterAutospacing="1"/>
        <w:rPr>
          <w:rFonts w:ascii="Times New Roman" w:hAnsi="Times New Roman"/>
          <w:sz w:val="24"/>
        </w:rPr>
      </w:pPr>
      <w:r>
        <w:rPr>
          <w:rFonts w:ascii="Times New Roman" w:hAnsi="Times New Roman" w:cs="Times New Roman"/>
          <w:sz w:val="24"/>
        </w:rPr>
        <w:lastRenderedPageBreak/>
        <w:t>Schedule 3 of the Transition Act</w:t>
      </w:r>
      <w:r>
        <w:rPr>
          <w:rFonts w:ascii="Times New Roman" w:hAnsi="Times New Roman"/>
          <w:sz w:val="24"/>
        </w:rPr>
        <w:t xml:space="preserve"> provides for transitional provisio</w:t>
      </w:r>
      <w:r>
        <w:rPr>
          <w:rFonts w:ascii="Times New Roman" w:hAnsi="Times New Roman"/>
          <w:sz w:val="24"/>
        </w:rPr>
        <w:t xml:space="preserve">ns to facilitate the transition for recipients of existing or former farmer income support payments to the FHA following passage. </w:t>
      </w:r>
    </w:p>
    <w:p w:rsidR="00DE587B" w:rsidRDefault="00B105D8">
      <w:pPr>
        <w:spacing w:before="100" w:beforeAutospacing="1" w:after="100" w:afterAutospacing="1"/>
        <w:rPr>
          <w:rFonts w:ascii="Times New Roman" w:hAnsi="Times New Roman"/>
          <w:sz w:val="24"/>
        </w:rPr>
      </w:pPr>
      <w:r>
        <w:rPr>
          <w:rFonts w:ascii="Times New Roman" w:hAnsi="Times New Roman"/>
          <w:sz w:val="24"/>
        </w:rPr>
        <w:t>Matters prescribed in the rule are being prescribed for the purpose of Schedule 3 of the FHSCT Act and engage Article 11(1) a</w:t>
      </w:r>
      <w:r>
        <w:rPr>
          <w:rFonts w:ascii="Times New Roman" w:hAnsi="Times New Roman"/>
          <w:sz w:val="24"/>
        </w:rPr>
        <w:t>nd Article 12(1) of the International Covenant on Economic, Social and Cultural Rights (ICESCR).</w:t>
      </w:r>
    </w:p>
    <w:p w:rsidR="00DE587B" w:rsidRDefault="00B105D8">
      <w:pPr>
        <w:spacing w:before="240"/>
        <w:rPr>
          <w:rFonts w:ascii="Times New Roman" w:hAnsi="Times New Roman"/>
          <w:sz w:val="24"/>
        </w:rPr>
      </w:pPr>
      <w:r>
        <w:rPr>
          <w:rFonts w:ascii="Times New Roman" w:hAnsi="Times New Roman"/>
          <w:sz w:val="24"/>
        </w:rPr>
        <w:t xml:space="preserve">Article 11(1) of the ICESCR protects the right to an adequate standard of living, including food, water and housing. States have an obligation to ensure the </w:t>
      </w:r>
      <w:r>
        <w:rPr>
          <w:rFonts w:ascii="Times New Roman" w:hAnsi="Times New Roman"/>
          <w:sz w:val="24"/>
        </w:rPr>
        <w:t>availability and accessibility of the resources necessary for the progressive realisation of this right. Article 12(1) of the ICESCR recognises the right of all individuals to enjoy the highest attainable standard of physical and mental health. The Committ</w:t>
      </w:r>
      <w:r>
        <w:rPr>
          <w:rFonts w:ascii="Times New Roman" w:hAnsi="Times New Roman"/>
          <w:sz w:val="24"/>
        </w:rPr>
        <w:t>ee on Economic, Social and Cultural Rights (CESCR) has stated that this right is not confined to the right to health care</w:t>
      </w:r>
      <w:r>
        <w:rPr>
          <w:rFonts w:ascii="Times New Roman" w:hAnsi="Times New Roman"/>
          <w:sz w:val="24"/>
          <w:vertAlign w:val="superscript"/>
        </w:rPr>
        <w:footnoteReference w:id="1"/>
      </w:r>
      <w:r>
        <w:rPr>
          <w:rFonts w:ascii="Times New Roman" w:hAnsi="Times New Roman"/>
          <w:sz w:val="24"/>
        </w:rPr>
        <w:t>. The CESCR considers that article 12 more broadly acknowledges that the right to health embraces a wide range of socio economic facto</w:t>
      </w:r>
      <w:r>
        <w:rPr>
          <w:rFonts w:ascii="Times New Roman" w:hAnsi="Times New Roman"/>
          <w:sz w:val="24"/>
        </w:rPr>
        <w:t>rs that promote conditions in which people can lead a healthy life, and extends to the underlying determinants of health, such as food and nutrition, housing, access to safe and potable water and adequate sanitation, safe and healthy working conditions, an</w:t>
      </w:r>
      <w:r>
        <w:rPr>
          <w:rFonts w:ascii="Times New Roman" w:hAnsi="Times New Roman"/>
          <w:sz w:val="24"/>
        </w:rPr>
        <w:t>d a healthy environment.</w:t>
      </w:r>
    </w:p>
    <w:p w:rsidR="00DE587B" w:rsidRDefault="00B105D8">
      <w:pPr>
        <w:spacing w:before="100" w:beforeAutospacing="1" w:after="100" w:afterAutospacing="1"/>
        <w:rPr>
          <w:rFonts w:ascii="Times New Roman" w:hAnsi="Times New Roman" w:cs="Times New Roman"/>
          <w:sz w:val="24"/>
        </w:rPr>
      </w:pPr>
      <w:r>
        <w:rPr>
          <w:rFonts w:ascii="Times New Roman" w:hAnsi="Times New Roman"/>
          <w:sz w:val="24"/>
        </w:rPr>
        <w:t xml:space="preserve">The rule promotes the right to an adequate standard of living, including food, water and housing; and the right to the highest attainable standard of health by supporting the implementation of the FHA. They do this by facilitating </w:t>
      </w:r>
      <w:r>
        <w:rPr>
          <w:rFonts w:ascii="Times New Roman" w:hAnsi="Times New Roman"/>
          <w:sz w:val="24"/>
        </w:rPr>
        <w:t xml:space="preserve">the transition of farmers from a terminating payment to a payment that will provide financial assistance at times of hardship and where they demonstrate limited capacity to support themselves. </w:t>
      </w:r>
    </w:p>
    <w:p w:rsidR="00DE587B" w:rsidRDefault="00B105D8">
      <w:pPr>
        <w:rPr>
          <w:rFonts w:ascii="Times New Roman" w:hAnsi="Times New Roman"/>
          <w:b/>
          <w:sz w:val="24"/>
        </w:rPr>
      </w:pPr>
      <w:r>
        <w:rPr>
          <w:rFonts w:ascii="Times New Roman" w:hAnsi="Times New Roman"/>
          <w:b/>
          <w:sz w:val="24"/>
        </w:rPr>
        <w:t>Conclusion</w:t>
      </w:r>
    </w:p>
    <w:p w:rsidR="00DE587B" w:rsidRDefault="00B105D8">
      <w:pPr>
        <w:spacing w:before="240"/>
        <w:rPr>
          <w:rFonts w:ascii="Times New Roman" w:hAnsi="Times New Roman"/>
          <w:sz w:val="24"/>
        </w:rPr>
      </w:pPr>
      <w:r>
        <w:rPr>
          <w:rFonts w:ascii="Times New Roman" w:hAnsi="Times New Roman"/>
          <w:sz w:val="24"/>
        </w:rPr>
        <w:t xml:space="preserve">This rule is compatible with the human rights and freedoms recognised or declared under section 3 of the </w:t>
      </w:r>
      <w:r>
        <w:rPr>
          <w:rFonts w:ascii="Times New Roman" w:hAnsi="Times New Roman"/>
          <w:i/>
          <w:iCs/>
          <w:sz w:val="24"/>
        </w:rPr>
        <w:t>Human Rights (Parliamentary Scrutiny) Act 2011</w:t>
      </w:r>
      <w:r>
        <w:rPr>
          <w:rFonts w:ascii="Times New Roman" w:hAnsi="Times New Roman"/>
          <w:sz w:val="24"/>
        </w:rPr>
        <w:t xml:space="preserve">. </w:t>
      </w:r>
    </w:p>
    <w:p w:rsidR="00DE587B" w:rsidRDefault="00DE587B">
      <w:pPr>
        <w:rPr>
          <w:rFonts w:ascii="Times New Roman" w:hAnsi="Times New Roman"/>
          <w:sz w:val="24"/>
        </w:rPr>
      </w:pPr>
    </w:p>
    <w:p w:rsidR="00DE587B" w:rsidRDefault="00B105D8">
      <w:pPr>
        <w:jc w:val="center"/>
        <w:rPr>
          <w:rFonts w:ascii="Times New Roman" w:hAnsi="Times New Roman"/>
          <w:b/>
          <w:bCs/>
          <w:sz w:val="24"/>
        </w:rPr>
      </w:pPr>
      <w:r>
        <w:rPr>
          <w:rFonts w:ascii="Times New Roman" w:hAnsi="Times New Roman"/>
          <w:b/>
          <w:bCs/>
          <w:sz w:val="24"/>
        </w:rPr>
        <w:t>The Hon. Barnaby Joyce MP</w:t>
      </w:r>
    </w:p>
    <w:p w:rsidR="00DE587B" w:rsidRDefault="00B105D8">
      <w:pPr>
        <w:jc w:val="center"/>
        <w:rPr>
          <w:rFonts w:ascii="Times New Roman" w:hAnsi="Times New Roman"/>
          <w:b/>
          <w:bCs/>
          <w:sz w:val="24"/>
        </w:rPr>
      </w:pPr>
      <w:r>
        <w:rPr>
          <w:rFonts w:ascii="Times New Roman" w:hAnsi="Times New Roman"/>
          <w:b/>
          <w:bCs/>
          <w:sz w:val="24"/>
        </w:rPr>
        <w:t>Minister for Agriculture</w:t>
      </w:r>
    </w:p>
    <w:sectPr w:rsidR="00DE587B" w:rsidSect="00DE587B">
      <w:headerReference w:type="default" r:id="rId8"/>
      <w:footerReference w:type="default" r:id="rId9"/>
      <w:headerReference w:type="first" r:id="rId10"/>
      <w:footerReference w:type="first" r:id="rId11"/>
      <w:pgSz w:w="11907" w:h="16840" w:code="9"/>
      <w:pgMar w:top="1418" w:right="1418" w:bottom="1418"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87B" w:rsidRDefault="00B105D8">
      <w:r>
        <w:separator/>
      </w:r>
    </w:p>
  </w:endnote>
  <w:endnote w:type="continuationSeparator" w:id="0">
    <w:p w:rsidR="00DE587B" w:rsidRDefault="00B105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368214"/>
      <w:docPartObj>
        <w:docPartGallery w:val="Page Numbers (Bottom of Page)"/>
        <w:docPartUnique/>
      </w:docPartObj>
    </w:sdtPr>
    <w:sdtEndPr>
      <w:rPr>
        <w:rFonts w:ascii="Times New Roman" w:hAnsi="Times New Roman" w:cs="Times New Roman"/>
        <w:sz w:val="22"/>
        <w:szCs w:val="22"/>
      </w:rPr>
    </w:sdtEndPr>
    <w:sdtContent>
      <w:p w:rsidR="00DE587B" w:rsidRDefault="00DE587B">
        <w:pPr>
          <w:pStyle w:val="Footer"/>
          <w:jc w:val="center"/>
          <w:rPr>
            <w:rFonts w:ascii="Times New Roman" w:hAnsi="Times New Roman" w:cs="Times New Roman"/>
            <w:sz w:val="22"/>
            <w:szCs w:val="22"/>
          </w:rPr>
        </w:pPr>
        <w:r>
          <w:rPr>
            <w:rFonts w:ascii="Times New Roman" w:hAnsi="Times New Roman" w:cs="Times New Roman"/>
            <w:sz w:val="22"/>
            <w:szCs w:val="22"/>
          </w:rPr>
          <w:fldChar w:fldCharType="begin"/>
        </w:r>
        <w:r w:rsidR="00B105D8">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B105D8">
          <w:rPr>
            <w:rFonts w:ascii="Times New Roman" w:hAnsi="Times New Roman" w:cs="Times New Roman"/>
            <w:noProof/>
            <w:sz w:val="22"/>
            <w:szCs w:val="22"/>
          </w:rPr>
          <w:t>2</w:t>
        </w:r>
        <w:r>
          <w:rPr>
            <w:rFonts w:ascii="Times New Roman" w:hAnsi="Times New Roman" w:cs="Times New Roman"/>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7B" w:rsidRDefault="00DE5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87B" w:rsidRDefault="00B105D8">
      <w:r>
        <w:separator/>
      </w:r>
    </w:p>
  </w:footnote>
  <w:footnote w:type="continuationSeparator" w:id="0">
    <w:p w:rsidR="00DE587B" w:rsidRDefault="00B105D8">
      <w:r>
        <w:continuationSeparator/>
      </w:r>
    </w:p>
  </w:footnote>
  <w:footnote w:id="1">
    <w:p w:rsidR="00DE587B" w:rsidRDefault="00B105D8">
      <w:pPr>
        <w:pStyle w:val="FootnoteText"/>
      </w:pPr>
      <w:r>
        <w:rPr>
          <w:rStyle w:val="FootnoteReference"/>
        </w:rPr>
        <w:footnoteRef/>
      </w:r>
      <w:r>
        <w:t xml:space="preserve"> CESCR, General Comment No 14 (2000), paragraph 4.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7B" w:rsidRDefault="00DE587B">
    <w:pPr>
      <w:pStyle w:val="Header"/>
      <w:rPr>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7B" w:rsidRDefault="00DE58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DE51EE"/>
    <w:multiLevelType w:val="hybridMultilevel"/>
    <w:tmpl w:val="9B1AA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96F4E27"/>
    <w:multiLevelType w:val="hybridMultilevel"/>
    <w:tmpl w:val="CDE6A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35873B6E"/>
    <w:multiLevelType w:val="hybridMultilevel"/>
    <w:tmpl w:val="71E86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1">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2">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A0C7CB5"/>
    <w:multiLevelType w:val="hybridMultilevel"/>
    <w:tmpl w:val="19288C4E"/>
    <w:lvl w:ilvl="0" w:tplc="42C4BC86">
      <w:numFmt w:val="bullet"/>
      <w:lvlText w:val="•"/>
      <w:lvlJc w:val="left"/>
      <w:pPr>
        <w:ind w:left="720" w:hanging="360"/>
      </w:pPr>
      <w:rPr>
        <w:rFonts w:ascii="Times New Roman" w:eastAsiaTheme="minorEastAsia"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C047302"/>
    <w:multiLevelType w:val="hybridMultilevel"/>
    <w:tmpl w:val="B8786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65456429"/>
    <w:multiLevelType w:val="multilevel"/>
    <w:tmpl w:val="C2329A6E"/>
    <w:lvl w:ilvl="0">
      <w:start w:val="1"/>
      <w:numFmt w:val="decimal"/>
      <w:pStyle w:val="ListNumber"/>
      <w:lvlText w:val="%1."/>
      <w:lvlJc w:val="left"/>
      <w:pPr>
        <w:ind w:left="369" w:hanging="369"/>
      </w:pPr>
      <w:rPr>
        <w:rFonts w:ascii="Times New Roman" w:hAnsi="Times New Roman" w:cs="Times New Roman"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8">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0"/>
  </w:num>
  <w:num w:numId="2">
    <w:abstractNumId w:val="19"/>
  </w:num>
  <w:num w:numId="3">
    <w:abstractNumId w:val="12"/>
  </w:num>
  <w:num w:numId="4">
    <w:abstractNumId w:val="3"/>
  </w:num>
  <w:num w:numId="5">
    <w:abstractNumId w:val="1"/>
  </w:num>
  <w:num w:numId="6">
    <w:abstractNumId w:val="8"/>
  </w:num>
  <w:num w:numId="7">
    <w:abstractNumId w:val="2"/>
  </w:num>
  <w:num w:numId="8">
    <w:abstractNumId w:val="4"/>
  </w:num>
  <w:num w:numId="9">
    <w:abstractNumId w:val="7"/>
  </w:num>
  <w:num w:numId="10">
    <w:abstractNumId w:val="16"/>
  </w:num>
  <w:num w:numId="11">
    <w:abstractNumId w:val="18"/>
  </w:num>
  <w:num w:numId="12">
    <w:abstractNumId w:val="11"/>
  </w:num>
  <w:num w:numId="13">
    <w:abstractNumId w:val="11"/>
    <w:lvlOverride w:ilvl="0">
      <w:startOverride w:val="1"/>
    </w:lvlOverride>
  </w:num>
  <w:num w:numId="14">
    <w:abstractNumId w:val="0"/>
  </w:num>
  <w:num w:numId="15">
    <w:abstractNumId w:val="13"/>
  </w:num>
  <w:num w:numId="16">
    <w:abstractNumId w:val="15"/>
  </w:num>
  <w:num w:numId="17">
    <w:abstractNumId w:val="14"/>
  </w:num>
  <w:num w:numId="18">
    <w:abstractNumId w:val="9"/>
  </w:num>
  <w:num w:numId="19">
    <w:abstractNumId w:val="5"/>
  </w:num>
  <w:num w:numId="20">
    <w:abstractNumId w:val="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GB" w:vendorID="64" w:dllVersion="131078" w:nlCheck="1" w:checkStyle="1"/>
  <w:activeWritingStyle w:appName="MSWord" w:lang="en-AU" w:vendorID="64" w:dllVersion="131078" w:nlCheck="1" w:checkStyle="1"/>
  <w:proofState w:spelling="clean" w:grammar="clean"/>
  <w:stylePaneFormatFilter w:val="1028"/>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
  <w:rsids>
    <w:rsidRoot w:val="00DE587B"/>
    <w:rsid w:val="00B105D8"/>
    <w:rsid w:val="00DE587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uiPriority="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E587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E587B"/>
    <w:pPr>
      <w:tabs>
        <w:tab w:val="center" w:pos="4320"/>
        <w:tab w:val="right" w:pos="8640"/>
      </w:tabs>
    </w:pPr>
    <w:rPr>
      <w:sz w:val="19"/>
    </w:rPr>
  </w:style>
  <w:style w:type="character" w:customStyle="1" w:styleId="HeaderChar">
    <w:name w:val="Header Char"/>
    <w:basedOn w:val="DefaultParagraphFont"/>
    <w:link w:val="Header"/>
    <w:uiPriority w:val="99"/>
    <w:semiHidden/>
    <w:rsid w:val="00DE587B"/>
    <w:rPr>
      <w:sz w:val="19"/>
    </w:rPr>
  </w:style>
  <w:style w:type="paragraph" w:styleId="Footer">
    <w:name w:val="footer"/>
    <w:basedOn w:val="Normal"/>
    <w:link w:val="FooterChar"/>
    <w:uiPriority w:val="99"/>
    <w:rsid w:val="00DE587B"/>
    <w:pPr>
      <w:tabs>
        <w:tab w:val="center" w:pos="4320"/>
        <w:tab w:val="right" w:pos="8640"/>
      </w:tabs>
    </w:pPr>
    <w:rPr>
      <w:sz w:val="19"/>
    </w:rPr>
  </w:style>
  <w:style w:type="character" w:customStyle="1" w:styleId="FooterChar">
    <w:name w:val="Footer Char"/>
    <w:basedOn w:val="DefaultParagraphFont"/>
    <w:link w:val="Footer"/>
    <w:uiPriority w:val="99"/>
    <w:rsid w:val="00DE587B"/>
    <w:rPr>
      <w:sz w:val="19"/>
    </w:rPr>
  </w:style>
  <w:style w:type="paragraph" w:styleId="BalloonText">
    <w:name w:val="Balloon Text"/>
    <w:basedOn w:val="Normal"/>
    <w:link w:val="BalloonTextChar"/>
    <w:uiPriority w:val="99"/>
    <w:semiHidden/>
    <w:unhideWhenUsed/>
    <w:rsid w:val="00DE587B"/>
    <w:rPr>
      <w:rFonts w:ascii="Lucida Grande" w:hAnsi="Lucida Grande"/>
      <w:sz w:val="18"/>
      <w:szCs w:val="18"/>
    </w:rPr>
  </w:style>
  <w:style w:type="character" w:customStyle="1" w:styleId="BalloonTextChar">
    <w:name w:val="Balloon Text Char"/>
    <w:basedOn w:val="DefaultParagraphFont"/>
    <w:link w:val="BalloonText"/>
    <w:uiPriority w:val="99"/>
    <w:semiHidden/>
    <w:rsid w:val="00DE587B"/>
    <w:rPr>
      <w:rFonts w:ascii="Lucida Grande" w:hAnsi="Lucida Grande"/>
      <w:sz w:val="18"/>
      <w:szCs w:val="18"/>
    </w:rPr>
  </w:style>
  <w:style w:type="character" w:styleId="CommentReference">
    <w:name w:val="annotation reference"/>
    <w:basedOn w:val="DefaultParagraphFont"/>
    <w:uiPriority w:val="99"/>
    <w:semiHidden/>
    <w:unhideWhenUsed/>
    <w:rsid w:val="00DE587B"/>
    <w:rPr>
      <w:sz w:val="16"/>
      <w:szCs w:val="16"/>
    </w:rPr>
  </w:style>
  <w:style w:type="paragraph" w:styleId="CommentText">
    <w:name w:val="annotation text"/>
    <w:basedOn w:val="Normal"/>
    <w:link w:val="CommentTextChar"/>
    <w:uiPriority w:val="99"/>
    <w:semiHidden/>
    <w:unhideWhenUsed/>
    <w:rsid w:val="00DE587B"/>
    <w:rPr>
      <w:sz w:val="20"/>
      <w:szCs w:val="20"/>
    </w:rPr>
  </w:style>
  <w:style w:type="character" w:customStyle="1" w:styleId="CommentTextChar">
    <w:name w:val="Comment Text Char"/>
    <w:basedOn w:val="DefaultParagraphFont"/>
    <w:link w:val="CommentText"/>
    <w:uiPriority w:val="99"/>
    <w:semiHidden/>
    <w:rsid w:val="00DE587B"/>
    <w:rPr>
      <w:sz w:val="20"/>
      <w:szCs w:val="20"/>
    </w:rPr>
  </w:style>
  <w:style w:type="paragraph" w:styleId="CommentSubject">
    <w:name w:val="annotation subject"/>
    <w:basedOn w:val="CommentText"/>
    <w:next w:val="CommentText"/>
    <w:link w:val="CommentSubjectChar"/>
    <w:uiPriority w:val="99"/>
    <w:semiHidden/>
    <w:unhideWhenUsed/>
    <w:rsid w:val="00DE587B"/>
    <w:rPr>
      <w:b/>
      <w:bCs/>
    </w:rPr>
  </w:style>
  <w:style w:type="character" w:customStyle="1" w:styleId="CommentSubjectChar">
    <w:name w:val="Comment Subject Char"/>
    <w:basedOn w:val="CommentTextChar"/>
    <w:link w:val="CommentSubject"/>
    <w:uiPriority w:val="99"/>
    <w:semiHidden/>
    <w:rsid w:val="00DE587B"/>
    <w:rPr>
      <w:b/>
      <w:bCs/>
    </w:rPr>
  </w:style>
  <w:style w:type="paragraph" w:styleId="Revision">
    <w:name w:val="Revision"/>
    <w:hidden/>
    <w:uiPriority w:val="99"/>
    <w:semiHidden/>
    <w:rsid w:val="00DE587B"/>
  </w:style>
  <w:style w:type="table" w:styleId="TableGrid">
    <w:name w:val="Table Grid"/>
    <w:basedOn w:val="TableNormal"/>
    <w:uiPriority w:val="59"/>
    <w:rsid w:val="00DE5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address">
    <w:name w:val="Footer address"/>
    <w:basedOn w:val="Footer"/>
    <w:semiHidden/>
    <w:qFormat/>
    <w:rsid w:val="00DE587B"/>
    <w:rPr>
      <w:rFonts w:asciiTheme="majorHAnsi" w:hAnsiTheme="majorHAnsi"/>
      <w:sz w:val="16"/>
    </w:rPr>
  </w:style>
  <w:style w:type="paragraph" w:customStyle="1" w:styleId="Normal-em">
    <w:name w:val="Normal-em"/>
    <w:basedOn w:val="Normal"/>
    <w:rsid w:val="00DE587B"/>
    <w:rPr>
      <w:rFonts w:ascii="Times New Roman" w:eastAsia="Times New Roman" w:hAnsi="Times New Roman" w:cs="Times New Roman"/>
      <w:color w:val="000000"/>
      <w:sz w:val="24"/>
      <w:szCs w:val="20"/>
    </w:rPr>
  </w:style>
  <w:style w:type="paragraph" w:customStyle="1" w:styleId="HB-Table-dotpoint">
    <w:name w:val="HB - Table - dot point"/>
    <w:basedOn w:val="Normal"/>
    <w:rsid w:val="00DE587B"/>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DE587B"/>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DE587B"/>
    <w:pPr>
      <w:ind w:left="720"/>
      <w:contextualSpacing/>
    </w:pPr>
  </w:style>
  <w:style w:type="character" w:styleId="Hyperlink">
    <w:name w:val="Hyperlink"/>
    <w:basedOn w:val="DefaultParagraphFont"/>
    <w:uiPriority w:val="99"/>
    <w:unhideWhenUsed/>
    <w:rsid w:val="00DE587B"/>
    <w:rPr>
      <w:color w:val="0000FF" w:themeColor="hyperlink"/>
      <w:u w:val="single"/>
    </w:rPr>
  </w:style>
  <w:style w:type="paragraph" w:customStyle="1" w:styleId="HB-Paragraph-alphpoint">
    <w:name w:val="HB - Paragraph - alph point"/>
    <w:basedOn w:val="Normal"/>
    <w:rsid w:val="00DE587B"/>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DE587B"/>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DE587B"/>
    <w:rPr>
      <w:rFonts w:ascii="Arial Rounded MT Bold" w:eastAsia="Times New Roman" w:hAnsi="Arial Rounded MT Bold" w:cs="Times New Roman"/>
      <w:b/>
      <w:szCs w:val="20"/>
    </w:rPr>
  </w:style>
  <w:style w:type="paragraph" w:customStyle="1" w:styleId="Definition">
    <w:name w:val="Definition"/>
    <w:aliases w:val="dd"/>
    <w:basedOn w:val="Normal"/>
    <w:rsid w:val="00DE587B"/>
    <w:pPr>
      <w:spacing w:before="180"/>
      <w:ind w:left="1134"/>
    </w:pPr>
    <w:rPr>
      <w:rFonts w:ascii="Times New Roman" w:eastAsia="Times New Roman" w:hAnsi="Times New Roman" w:cs="Times New Roman"/>
      <w:szCs w:val="20"/>
      <w:lang w:eastAsia="en-AU"/>
    </w:rPr>
  </w:style>
  <w:style w:type="paragraph" w:styleId="PlainText">
    <w:name w:val="Plain Text"/>
    <w:basedOn w:val="Normal"/>
    <w:link w:val="PlainTextChar"/>
    <w:uiPriority w:val="99"/>
    <w:unhideWhenUsed/>
    <w:rsid w:val="00DE587B"/>
    <w:rPr>
      <w:rFonts w:ascii="Consolas" w:eastAsiaTheme="minorHAnsi" w:hAnsi="Consolas"/>
      <w:sz w:val="21"/>
      <w:szCs w:val="21"/>
    </w:rPr>
  </w:style>
  <w:style w:type="character" w:customStyle="1" w:styleId="PlainTextChar">
    <w:name w:val="Plain Text Char"/>
    <w:basedOn w:val="DefaultParagraphFont"/>
    <w:link w:val="PlainText"/>
    <w:uiPriority w:val="99"/>
    <w:rsid w:val="00DE587B"/>
    <w:rPr>
      <w:rFonts w:ascii="Consolas" w:eastAsiaTheme="minorHAnsi" w:hAnsi="Consolas"/>
      <w:sz w:val="21"/>
      <w:szCs w:val="21"/>
    </w:rPr>
  </w:style>
  <w:style w:type="paragraph" w:styleId="NormalWeb">
    <w:name w:val="Normal (Web)"/>
    <w:basedOn w:val="Normal"/>
    <w:uiPriority w:val="99"/>
    <w:semiHidden/>
    <w:unhideWhenUsed/>
    <w:rsid w:val="00DE587B"/>
    <w:pPr>
      <w:spacing w:before="100" w:beforeAutospacing="1" w:after="100" w:afterAutospacing="1"/>
    </w:pPr>
    <w:rPr>
      <w:rFonts w:ascii="Times New Roman" w:eastAsia="Times New Roman" w:hAnsi="Times New Roman" w:cs="Times New Roman"/>
      <w:sz w:val="24"/>
      <w:lang w:eastAsia="en-AU"/>
    </w:rPr>
  </w:style>
  <w:style w:type="paragraph" w:styleId="FootnoteText">
    <w:name w:val="footnote text"/>
    <w:basedOn w:val="Normal"/>
    <w:link w:val="FootnoteTextChar"/>
    <w:uiPriority w:val="99"/>
    <w:semiHidden/>
    <w:unhideWhenUsed/>
    <w:rsid w:val="00DE587B"/>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DE587B"/>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DE587B"/>
    <w:rPr>
      <w:vertAlign w:val="superscript"/>
    </w:rPr>
  </w:style>
  <w:style w:type="paragraph" w:customStyle="1" w:styleId="AnthonyHeaderLn3">
    <w:name w:val="Anthony Header Ln 3"/>
    <w:basedOn w:val="Normal"/>
    <w:rsid w:val="00DE587B"/>
    <w:pPr>
      <w:jc w:val="center"/>
    </w:pPr>
    <w:rPr>
      <w:rFonts w:ascii="Arial" w:eastAsia="Times New Roman" w:hAnsi="Arial" w:cs="Arial"/>
      <w:b/>
      <w:bCs/>
      <w:noProof/>
      <w:sz w:val="24"/>
    </w:rPr>
  </w:style>
  <w:style w:type="paragraph" w:customStyle="1" w:styleId="Leg2Sec1">
    <w:name w:val="Leg2 Sec: 1."/>
    <w:aliases w:val="L2"/>
    <w:basedOn w:val="Normal"/>
    <w:uiPriority w:val="5"/>
    <w:qFormat/>
    <w:rsid w:val="00DE587B"/>
    <w:pPr>
      <w:tabs>
        <w:tab w:val="left" w:pos="1276"/>
      </w:tabs>
      <w:spacing w:before="60" w:after="60" w:line="260" w:lineRule="atLeast"/>
      <w:ind w:left="1276" w:right="567" w:hanging="850"/>
    </w:pPr>
    <w:rPr>
      <w:rFonts w:ascii="Arial" w:eastAsia="Times New Roman" w:hAnsi="Arial" w:cs="Arial"/>
      <w:sz w:val="20"/>
      <w:szCs w:val="22"/>
      <w:lang w:eastAsia="en-AU"/>
    </w:rPr>
  </w:style>
  <w:style w:type="paragraph" w:styleId="ListNumber">
    <w:name w:val="List Number"/>
    <w:basedOn w:val="Normal"/>
    <w:autoRedefine/>
    <w:uiPriority w:val="99"/>
    <w:qFormat/>
    <w:rsid w:val="00DE587B"/>
    <w:pPr>
      <w:numPr>
        <w:numId w:val="21"/>
      </w:numPr>
      <w:spacing w:after="200"/>
    </w:pPr>
    <w:rPr>
      <w:rFonts w:ascii="Calibri" w:eastAsia="Calibri" w:hAnsi="Calibri" w:cs="Times New Roman"/>
      <w:sz w:val="24"/>
      <w:szCs w:val="22"/>
    </w:rPr>
  </w:style>
  <w:style w:type="paragraph" w:styleId="ListNumber2">
    <w:name w:val="List Number 2"/>
    <w:basedOn w:val="Normal"/>
    <w:autoRedefine/>
    <w:uiPriority w:val="99"/>
    <w:rsid w:val="00DE587B"/>
    <w:pPr>
      <w:numPr>
        <w:ilvl w:val="1"/>
        <w:numId w:val="21"/>
      </w:numPr>
      <w:spacing w:after="200"/>
    </w:pPr>
    <w:rPr>
      <w:rFonts w:ascii="Calibri" w:eastAsia="Calibri" w:hAnsi="Calibri" w:cs="Times New Roman"/>
      <w:sz w:val="24"/>
      <w:szCs w:val="22"/>
    </w:rPr>
  </w:style>
  <w:style w:type="paragraph" w:styleId="ListNumber3">
    <w:name w:val="List Number 3"/>
    <w:basedOn w:val="Normal"/>
    <w:uiPriority w:val="99"/>
    <w:rsid w:val="00DE587B"/>
    <w:pPr>
      <w:numPr>
        <w:ilvl w:val="2"/>
        <w:numId w:val="21"/>
      </w:numPr>
      <w:spacing w:after="200"/>
    </w:pPr>
    <w:rPr>
      <w:rFonts w:ascii="Calibri" w:eastAsia="Calibri" w:hAnsi="Calibri" w:cs="Times New Roman"/>
      <w:sz w:val="24"/>
      <w:szCs w:val="22"/>
    </w:rPr>
  </w:style>
  <w:style w:type="paragraph" w:styleId="ListNumber4">
    <w:name w:val="List Number 4"/>
    <w:basedOn w:val="Normal"/>
    <w:uiPriority w:val="99"/>
    <w:rsid w:val="00DE587B"/>
    <w:pPr>
      <w:numPr>
        <w:ilvl w:val="3"/>
        <w:numId w:val="21"/>
      </w:numPr>
      <w:spacing w:after="200"/>
    </w:pPr>
    <w:rPr>
      <w:rFonts w:ascii="Calibri" w:eastAsia="Calibri" w:hAnsi="Calibri" w:cs="Times New Roman"/>
      <w:sz w:val="24"/>
      <w:szCs w:val="22"/>
    </w:rPr>
  </w:style>
  <w:style w:type="paragraph" w:styleId="ListNumber5">
    <w:name w:val="List Number 5"/>
    <w:basedOn w:val="Normal"/>
    <w:uiPriority w:val="99"/>
    <w:rsid w:val="00DE587B"/>
    <w:pPr>
      <w:numPr>
        <w:ilvl w:val="4"/>
        <w:numId w:val="21"/>
      </w:numPr>
      <w:spacing w:after="200"/>
    </w:pPr>
    <w:rPr>
      <w:rFonts w:ascii="Calibri" w:eastAsia="Calibri" w:hAnsi="Calibri" w:cs="Times New Roman"/>
      <w:sz w:val="24"/>
      <w:szCs w:val="22"/>
    </w:rPr>
  </w:style>
</w:styles>
</file>

<file path=word/webSettings.xml><?xml version="1.0" encoding="utf-8"?>
<w:webSettings xmlns:r="http://schemas.openxmlformats.org/officeDocument/2006/relationships" xmlns:w="http://schemas.openxmlformats.org/wordprocessingml/2006/main">
  <w:divs>
    <w:div w:id="317850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24F1B361AA4406A4B36253A44AD5DA"/>
        <w:category>
          <w:name w:val="General"/>
          <w:gallery w:val="placeholder"/>
        </w:category>
        <w:types>
          <w:type w:val="bbPlcHdr"/>
        </w:types>
        <w:behaviors>
          <w:behavior w:val="content"/>
        </w:behaviors>
        <w:guid w:val="{FB08F9D5-CDDF-4F05-9CBB-78BBD700F8EA}"/>
      </w:docPartPr>
      <w:docPartBody>
        <w:p w:rsidR="00CF2A02" w:rsidRDefault="00CF2A02">
          <w:pPr>
            <w:pStyle w:val="3F24F1B361AA4406A4B36253A44AD5DA"/>
          </w:pPr>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F2A02"/>
    <w:rsid w:val="00CF2A0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2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252"/>
    <w:rPr>
      <w:color w:val="808080"/>
    </w:rPr>
  </w:style>
  <w:style w:type="paragraph" w:customStyle="1" w:styleId="3F24F1B361AA4406A4B36253A44AD5DA">
    <w:name w:val="3F24F1B361AA4406A4B36253A44AD5DA"/>
    <w:rsid w:val="006E425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FCE23-7346-42C6-877E-DC847750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Dylewski</dc:creator>
  <cp:lastModifiedBy>Ernie Chan</cp:lastModifiedBy>
  <cp:revision>3</cp:revision>
  <cp:lastPrinted>2014-07-11T07:18:00Z</cp:lastPrinted>
  <dcterms:created xsi:type="dcterms:W3CDTF">2014-07-14T01:15:00Z</dcterms:created>
  <dcterms:modified xsi:type="dcterms:W3CDTF">2014-07-14T01:33:00Z</dcterms:modified>
</cp:coreProperties>
</file>