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DD0" w:rsidRPr="00187149" w:rsidRDefault="004D6DD0" w:rsidP="004D6DD0">
      <w:pPr>
        <w:spacing w:after="240" w:line="276" w:lineRule="auto"/>
        <w:jc w:val="center"/>
        <w:rPr>
          <w:rFonts w:ascii="Times New Roman" w:eastAsiaTheme="minorHAnsi" w:hAnsi="Times New Roman"/>
          <w:b/>
          <w:szCs w:val="22"/>
        </w:rPr>
      </w:pPr>
      <w:bookmarkStart w:id="0" w:name="_GoBack"/>
      <w:bookmarkEnd w:id="0"/>
      <w:r w:rsidRPr="00187149">
        <w:rPr>
          <w:rFonts w:ascii="Times New Roman" w:eastAsiaTheme="minorHAnsi" w:hAnsi="Times New Roman"/>
          <w:b/>
          <w:szCs w:val="22"/>
        </w:rPr>
        <w:t>EXPLANATORY STATEMENT</w:t>
      </w:r>
    </w:p>
    <w:p w:rsidR="004D6DD0" w:rsidRPr="00187149" w:rsidRDefault="004D6DD0" w:rsidP="004D6DD0">
      <w:pPr>
        <w:spacing w:after="240" w:line="276" w:lineRule="auto"/>
        <w:jc w:val="center"/>
        <w:rPr>
          <w:rFonts w:ascii="Times New Roman" w:eastAsiaTheme="minorHAnsi" w:hAnsi="Times New Roman"/>
          <w:i/>
          <w:szCs w:val="22"/>
        </w:rPr>
      </w:pPr>
      <w:r w:rsidRPr="00187149">
        <w:rPr>
          <w:rFonts w:ascii="Times New Roman" w:eastAsiaTheme="minorHAnsi" w:hAnsi="Times New Roman"/>
          <w:i/>
          <w:szCs w:val="22"/>
        </w:rPr>
        <w:t xml:space="preserve">Public Interest Disclosure Amendment </w:t>
      </w:r>
      <w:r w:rsidR="00CA75C3" w:rsidRPr="00187149">
        <w:rPr>
          <w:rFonts w:ascii="Times New Roman" w:eastAsiaTheme="minorHAnsi" w:hAnsi="Times New Roman"/>
          <w:i/>
          <w:szCs w:val="22"/>
        </w:rPr>
        <w:t xml:space="preserve">(Conduct of Investigations) </w:t>
      </w:r>
      <w:r w:rsidRPr="00187149">
        <w:rPr>
          <w:rFonts w:ascii="Times New Roman" w:eastAsiaTheme="minorHAnsi" w:hAnsi="Times New Roman"/>
          <w:i/>
          <w:szCs w:val="22"/>
        </w:rPr>
        <w:t xml:space="preserve">Standard 2014 </w:t>
      </w:r>
    </w:p>
    <w:p w:rsidR="004D6DD0" w:rsidRPr="00187149" w:rsidRDefault="004D6DD0" w:rsidP="00187149">
      <w:pPr>
        <w:spacing w:after="240" w:line="276" w:lineRule="auto"/>
        <w:jc w:val="center"/>
        <w:rPr>
          <w:rFonts w:ascii="Times New Roman" w:eastAsiaTheme="minorHAnsi" w:hAnsi="Times New Roman"/>
          <w:b/>
          <w:szCs w:val="22"/>
        </w:rPr>
      </w:pPr>
      <w:r w:rsidRPr="00187149">
        <w:rPr>
          <w:rFonts w:ascii="Times New Roman" w:eastAsiaTheme="minorHAnsi" w:hAnsi="Times New Roman"/>
          <w:b/>
          <w:szCs w:val="22"/>
        </w:rPr>
        <w:t>Issued by the Commonwealth Ombudsman</w:t>
      </w:r>
    </w:p>
    <w:p w:rsidR="00D65B9B" w:rsidRPr="00D65B9B" w:rsidRDefault="00D65B9B" w:rsidP="00D65B9B">
      <w:pPr>
        <w:spacing w:after="120" w:line="276" w:lineRule="auto"/>
        <w:jc w:val="both"/>
        <w:rPr>
          <w:rFonts w:ascii="Times New Roman" w:eastAsia="Calibri" w:hAnsi="Times New Roman"/>
          <w:b/>
          <w:szCs w:val="22"/>
        </w:rPr>
      </w:pPr>
      <w:r w:rsidRPr="00D65B9B">
        <w:rPr>
          <w:rFonts w:ascii="Times New Roman" w:eastAsia="Calibri" w:hAnsi="Times New Roman"/>
          <w:b/>
          <w:szCs w:val="22"/>
        </w:rPr>
        <w:t xml:space="preserve">Background </w:t>
      </w:r>
    </w:p>
    <w:p w:rsidR="00FE399D" w:rsidRDefault="00FE399D" w:rsidP="00FE399D">
      <w:pPr>
        <w:spacing w:after="120"/>
        <w:jc w:val="both"/>
        <w:rPr>
          <w:rFonts w:ascii="Times New Roman" w:hAnsi="Times New Roman"/>
        </w:rPr>
      </w:pPr>
      <w:r w:rsidRPr="00F37933">
        <w:rPr>
          <w:rFonts w:ascii="Times New Roman" w:hAnsi="Times New Roman"/>
        </w:rPr>
        <w:t xml:space="preserve">The </w:t>
      </w:r>
      <w:r>
        <w:rPr>
          <w:rFonts w:ascii="Times New Roman" w:hAnsi="Times New Roman"/>
          <w:i/>
        </w:rPr>
        <w:t xml:space="preserve">Public Interest Disclosure Act </w:t>
      </w:r>
      <w:r>
        <w:rPr>
          <w:rFonts w:ascii="Times New Roman" w:hAnsi="Times New Roman"/>
        </w:rPr>
        <w:t xml:space="preserve">2013 </w:t>
      </w:r>
      <w:r w:rsidR="00E3655B">
        <w:rPr>
          <w:rFonts w:ascii="Times New Roman" w:hAnsi="Times New Roman"/>
        </w:rPr>
        <w:t xml:space="preserve">(the PID Act) </w:t>
      </w:r>
      <w:r>
        <w:rPr>
          <w:rFonts w:ascii="Times New Roman" w:hAnsi="Times New Roman"/>
        </w:rPr>
        <w:t>commenced on 15 January 2014.</w:t>
      </w:r>
      <w:r w:rsidRPr="00F37933">
        <w:rPr>
          <w:rFonts w:ascii="Times New Roman" w:hAnsi="Times New Roman"/>
        </w:rPr>
        <w:t xml:space="preserve"> </w:t>
      </w:r>
    </w:p>
    <w:p w:rsidR="00FE399D" w:rsidRPr="00F37933" w:rsidRDefault="00EF3CFE" w:rsidP="00FE399D">
      <w:pPr>
        <w:spacing w:after="120"/>
        <w:jc w:val="both"/>
        <w:rPr>
          <w:rFonts w:ascii="Times New Roman" w:hAnsi="Times New Roman"/>
        </w:rPr>
      </w:pPr>
      <w:r>
        <w:rPr>
          <w:rFonts w:ascii="Times New Roman" w:hAnsi="Times New Roman"/>
        </w:rPr>
        <w:t>The PID Act’s</w:t>
      </w:r>
      <w:r w:rsidR="00FE399D" w:rsidRPr="00F37933">
        <w:rPr>
          <w:rFonts w:ascii="Times New Roman" w:hAnsi="Times New Roman"/>
        </w:rPr>
        <w:t xml:space="preserve"> primary purpose </w:t>
      </w:r>
      <w:r w:rsidR="00E3655B">
        <w:rPr>
          <w:rFonts w:ascii="Times New Roman" w:hAnsi="Times New Roman"/>
        </w:rPr>
        <w:t>is</w:t>
      </w:r>
      <w:r w:rsidR="00FE399D" w:rsidRPr="00F37933">
        <w:rPr>
          <w:rFonts w:ascii="Times New Roman" w:hAnsi="Times New Roman"/>
        </w:rPr>
        <w:t xml:space="preserve"> to establish a legislative scheme for the investigation of allegations of wrongdoing in the Commonwealth public sector, and to provide protections for both current and former public officials who make certain types of ‘disclosures’.  </w:t>
      </w:r>
    </w:p>
    <w:p w:rsidR="00996E41" w:rsidRDefault="00E3655B" w:rsidP="00996E41">
      <w:pPr>
        <w:spacing w:after="120" w:line="276" w:lineRule="auto"/>
        <w:jc w:val="both"/>
        <w:rPr>
          <w:rFonts w:ascii="Times New Roman" w:eastAsiaTheme="minorHAnsi" w:hAnsi="Times New Roman"/>
          <w:szCs w:val="22"/>
        </w:rPr>
      </w:pPr>
      <w:r>
        <w:rPr>
          <w:rFonts w:ascii="Times New Roman" w:eastAsiaTheme="minorHAnsi" w:hAnsi="Times New Roman"/>
          <w:szCs w:val="22"/>
        </w:rPr>
        <w:t>S</w:t>
      </w:r>
      <w:r w:rsidR="008F3D9A">
        <w:rPr>
          <w:rFonts w:ascii="Times New Roman" w:eastAsiaTheme="minorHAnsi" w:hAnsi="Times New Roman"/>
          <w:szCs w:val="22"/>
        </w:rPr>
        <w:t>ubsection 74(1) of the</w:t>
      </w:r>
      <w:r w:rsidR="00560E0F">
        <w:rPr>
          <w:rFonts w:ascii="Times New Roman" w:eastAsiaTheme="minorHAnsi" w:hAnsi="Times New Roman"/>
          <w:szCs w:val="22"/>
        </w:rPr>
        <w:t xml:space="preserve"> </w:t>
      </w:r>
      <w:r>
        <w:rPr>
          <w:rFonts w:ascii="Times New Roman" w:eastAsiaTheme="minorHAnsi" w:hAnsi="Times New Roman"/>
          <w:szCs w:val="22"/>
        </w:rPr>
        <w:t>PID Act gives the</w:t>
      </w:r>
      <w:r w:rsidR="008F3D9A">
        <w:rPr>
          <w:rFonts w:ascii="Times New Roman" w:eastAsiaTheme="minorHAnsi" w:hAnsi="Times New Roman"/>
          <w:szCs w:val="22"/>
        </w:rPr>
        <w:t xml:space="preserve"> Commonwealth Ombudsman (the Ombudsman) the power to determine standards</w:t>
      </w:r>
      <w:r w:rsidR="004C3A24">
        <w:rPr>
          <w:rFonts w:ascii="Times New Roman" w:eastAsiaTheme="minorHAnsi" w:hAnsi="Times New Roman"/>
          <w:szCs w:val="22"/>
        </w:rPr>
        <w:t xml:space="preserve"> </w:t>
      </w:r>
      <w:r w:rsidR="008F3D9A">
        <w:rPr>
          <w:rFonts w:ascii="Times New Roman" w:eastAsiaTheme="minorHAnsi" w:hAnsi="Times New Roman"/>
          <w:szCs w:val="22"/>
        </w:rPr>
        <w:t>in relation to certain matters</w:t>
      </w:r>
      <w:r w:rsidR="004E7286">
        <w:rPr>
          <w:rFonts w:ascii="Times New Roman" w:eastAsiaTheme="minorHAnsi" w:hAnsi="Times New Roman"/>
          <w:szCs w:val="22"/>
        </w:rPr>
        <w:t>, including the conduct of investigations under the PID Act</w:t>
      </w:r>
      <w:r w:rsidR="008F3D9A">
        <w:rPr>
          <w:rFonts w:ascii="Times New Roman" w:eastAsiaTheme="minorHAnsi" w:hAnsi="Times New Roman"/>
          <w:szCs w:val="22"/>
        </w:rPr>
        <w:t xml:space="preserve">. </w:t>
      </w:r>
      <w:r w:rsidR="00196342">
        <w:rPr>
          <w:rFonts w:ascii="Times New Roman" w:eastAsiaTheme="minorHAnsi" w:hAnsi="Times New Roman"/>
          <w:szCs w:val="22"/>
        </w:rPr>
        <w:t>Consequently</w:t>
      </w:r>
      <w:r w:rsidR="008F3D9A">
        <w:rPr>
          <w:rFonts w:ascii="Times New Roman" w:eastAsiaTheme="minorHAnsi" w:hAnsi="Times New Roman"/>
          <w:szCs w:val="22"/>
        </w:rPr>
        <w:t xml:space="preserve"> the Ombudsman </w:t>
      </w:r>
      <w:r w:rsidR="00B804E4">
        <w:rPr>
          <w:rFonts w:ascii="Times New Roman" w:eastAsiaTheme="minorHAnsi" w:hAnsi="Times New Roman"/>
          <w:szCs w:val="22"/>
        </w:rPr>
        <w:t>determin</w:t>
      </w:r>
      <w:r w:rsidR="00B031A3">
        <w:rPr>
          <w:rFonts w:ascii="Times New Roman" w:eastAsiaTheme="minorHAnsi" w:hAnsi="Times New Roman"/>
          <w:szCs w:val="22"/>
        </w:rPr>
        <w:t>e</w:t>
      </w:r>
      <w:r w:rsidR="00B804E4">
        <w:rPr>
          <w:rFonts w:ascii="Times New Roman" w:eastAsiaTheme="minorHAnsi" w:hAnsi="Times New Roman"/>
          <w:szCs w:val="22"/>
        </w:rPr>
        <w:t>d</w:t>
      </w:r>
      <w:r w:rsidR="008F3D9A">
        <w:rPr>
          <w:rFonts w:ascii="Times New Roman" w:eastAsiaTheme="minorHAnsi" w:hAnsi="Times New Roman"/>
          <w:szCs w:val="22"/>
        </w:rPr>
        <w:t xml:space="preserve"> the </w:t>
      </w:r>
      <w:r w:rsidR="004C3A24">
        <w:rPr>
          <w:rFonts w:ascii="Times New Roman" w:eastAsiaTheme="minorHAnsi" w:hAnsi="Times New Roman"/>
          <w:i/>
          <w:szCs w:val="22"/>
        </w:rPr>
        <w:t>Publ</w:t>
      </w:r>
      <w:r w:rsidR="008F3D9A">
        <w:rPr>
          <w:rFonts w:ascii="Times New Roman" w:eastAsiaTheme="minorHAnsi" w:hAnsi="Times New Roman"/>
          <w:i/>
          <w:szCs w:val="22"/>
        </w:rPr>
        <w:t>ic Interest Disclosure Standard</w:t>
      </w:r>
      <w:r w:rsidR="004C3A24">
        <w:rPr>
          <w:rFonts w:ascii="Times New Roman" w:eastAsiaTheme="minorHAnsi" w:hAnsi="Times New Roman"/>
          <w:i/>
          <w:szCs w:val="22"/>
        </w:rPr>
        <w:t xml:space="preserve"> 2013</w:t>
      </w:r>
      <w:r w:rsidR="004E7286">
        <w:rPr>
          <w:rFonts w:ascii="Times New Roman" w:eastAsiaTheme="minorHAnsi" w:hAnsi="Times New Roman"/>
          <w:szCs w:val="22"/>
        </w:rPr>
        <w:t xml:space="preserve"> (the Standard)</w:t>
      </w:r>
      <w:r w:rsidR="00FE4EA2">
        <w:rPr>
          <w:rFonts w:ascii="Times New Roman" w:eastAsiaTheme="minorHAnsi" w:hAnsi="Times New Roman"/>
          <w:szCs w:val="22"/>
        </w:rPr>
        <w:t>.</w:t>
      </w:r>
      <w:r w:rsidR="00762CF4">
        <w:rPr>
          <w:rFonts w:ascii="Times New Roman" w:eastAsiaTheme="minorHAnsi" w:hAnsi="Times New Roman"/>
          <w:szCs w:val="22"/>
        </w:rPr>
        <w:t xml:space="preserve"> Part 3 of the Standard </w:t>
      </w:r>
      <w:r w:rsidR="00F56A07">
        <w:rPr>
          <w:rFonts w:ascii="Times New Roman" w:eastAsiaTheme="minorHAnsi" w:hAnsi="Times New Roman"/>
          <w:szCs w:val="22"/>
        </w:rPr>
        <w:t>deals with</w:t>
      </w:r>
      <w:r w:rsidR="00762CF4">
        <w:rPr>
          <w:rFonts w:ascii="Times New Roman" w:eastAsiaTheme="minorHAnsi" w:hAnsi="Times New Roman"/>
          <w:szCs w:val="22"/>
        </w:rPr>
        <w:t xml:space="preserve"> the conduct of investigations.</w:t>
      </w:r>
    </w:p>
    <w:p w:rsidR="00FE4EA2" w:rsidRDefault="00F56A07" w:rsidP="00996E41">
      <w:pPr>
        <w:spacing w:after="120" w:line="276" w:lineRule="auto"/>
        <w:jc w:val="both"/>
        <w:rPr>
          <w:rFonts w:ascii="Times New Roman" w:eastAsiaTheme="minorHAnsi" w:hAnsi="Times New Roman"/>
          <w:szCs w:val="22"/>
        </w:rPr>
      </w:pPr>
      <w:r>
        <w:rPr>
          <w:rFonts w:ascii="Times New Roman" w:eastAsiaTheme="minorHAnsi" w:hAnsi="Times New Roman"/>
          <w:szCs w:val="22"/>
        </w:rPr>
        <w:t xml:space="preserve">Commencement of the </w:t>
      </w:r>
      <w:r w:rsidR="00196342">
        <w:rPr>
          <w:rFonts w:ascii="Times New Roman" w:eastAsiaTheme="minorHAnsi" w:hAnsi="Times New Roman"/>
          <w:i/>
          <w:szCs w:val="22"/>
        </w:rPr>
        <w:t xml:space="preserve">Public Governance, Performance and Accountability </w:t>
      </w:r>
      <w:r w:rsidR="00555F42">
        <w:rPr>
          <w:rFonts w:ascii="Times New Roman" w:eastAsiaTheme="minorHAnsi" w:hAnsi="Times New Roman"/>
          <w:i/>
          <w:szCs w:val="22"/>
        </w:rPr>
        <w:t xml:space="preserve">Act 2013 </w:t>
      </w:r>
      <w:r>
        <w:rPr>
          <w:rFonts w:ascii="Times New Roman" w:eastAsiaTheme="minorHAnsi" w:hAnsi="Times New Roman"/>
          <w:szCs w:val="22"/>
        </w:rPr>
        <w:t xml:space="preserve">(the PGPA Act) </w:t>
      </w:r>
      <w:r w:rsidR="00555F42">
        <w:rPr>
          <w:rFonts w:ascii="Times New Roman" w:eastAsiaTheme="minorHAnsi" w:hAnsi="Times New Roman"/>
          <w:szCs w:val="22"/>
        </w:rPr>
        <w:t xml:space="preserve">changes the framework for dealing with fraud related matters for Commonwealth bodies covered by that Act. </w:t>
      </w:r>
      <w:r w:rsidR="000F757C">
        <w:rPr>
          <w:rFonts w:ascii="Times New Roman" w:eastAsiaTheme="minorHAnsi" w:hAnsi="Times New Roman"/>
          <w:szCs w:val="22"/>
        </w:rPr>
        <w:t xml:space="preserve">Under the PGPA Act there will be no legislative instrument called the ‘Fraud Control Guidelines’. This will be replaced by a requirement to act in accordance with rules made for the purposes of fraud under the PGPA Act. </w:t>
      </w:r>
      <w:r w:rsidR="00555F42">
        <w:rPr>
          <w:rFonts w:ascii="Times New Roman" w:eastAsiaTheme="minorHAnsi" w:hAnsi="Times New Roman"/>
          <w:szCs w:val="22"/>
        </w:rPr>
        <w:t>Consequential amendments have been made to the PID Act to reflect those changes, requiring the Standard to be amended</w:t>
      </w:r>
      <w:r w:rsidR="00762CF4">
        <w:rPr>
          <w:rFonts w:ascii="Times New Roman" w:eastAsiaTheme="minorHAnsi" w:hAnsi="Times New Roman"/>
          <w:szCs w:val="22"/>
        </w:rPr>
        <w:t xml:space="preserve"> by this legislative instrument (the Amendment Standard)</w:t>
      </w:r>
      <w:r w:rsidR="00555F42">
        <w:rPr>
          <w:rFonts w:ascii="Times New Roman" w:eastAsiaTheme="minorHAnsi" w:hAnsi="Times New Roman"/>
          <w:szCs w:val="22"/>
        </w:rPr>
        <w:t xml:space="preserve">. </w:t>
      </w:r>
    </w:p>
    <w:p w:rsidR="005946B0" w:rsidRPr="00F37933" w:rsidRDefault="005946B0" w:rsidP="005946B0">
      <w:pPr>
        <w:spacing w:after="120"/>
        <w:jc w:val="both"/>
        <w:rPr>
          <w:rFonts w:ascii="Times New Roman" w:hAnsi="Times New Roman"/>
        </w:rPr>
      </w:pPr>
      <w:r w:rsidRPr="00F37933">
        <w:rPr>
          <w:rFonts w:ascii="Times New Roman" w:hAnsi="Times New Roman"/>
          <w:b/>
        </w:rPr>
        <w:t>Legislative authority</w:t>
      </w:r>
    </w:p>
    <w:p w:rsidR="009A62CC" w:rsidRDefault="009A62CC" w:rsidP="00CF3A1E">
      <w:pPr>
        <w:spacing w:after="240"/>
        <w:jc w:val="both"/>
        <w:rPr>
          <w:rFonts w:ascii="Times New Roman" w:hAnsi="Times New Roman"/>
        </w:rPr>
      </w:pPr>
      <w:r>
        <w:rPr>
          <w:rFonts w:ascii="Times New Roman" w:hAnsi="Times New Roman"/>
        </w:rPr>
        <w:t xml:space="preserve">Under subsection 33(3) of the </w:t>
      </w:r>
      <w:r w:rsidRPr="00F37933">
        <w:rPr>
          <w:rFonts w:ascii="Times New Roman" w:hAnsi="Times New Roman"/>
          <w:i/>
        </w:rPr>
        <w:t>Acts Interpretation Act 1901</w:t>
      </w:r>
      <w:r>
        <w:rPr>
          <w:rFonts w:ascii="Times New Roman" w:hAnsi="Times New Roman"/>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9A62CC" w:rsidRPr="009A62CC" w:rsidRDefault="009A62CC" w:rsidP="00CF3A1E">
      <w:pPr>
        <w:spacing w:after="240"/>
        <w:jc w:val="both"/>
        <w:rPr>
          <w:rFonts w:ascii="Times New Roman" w:hAnsi="Times New Roman"/>
        </w:rPr>
      </w:pPr>
      <w:r>
        <w:rPr>
          <w:rFonts w:ascii="Times New Roman" w:hAnsi="Times New Roman"/>
        </w:rPr>
        <w:t xml:space="preserve">The Ombudsman relies upon the authority conferred by subsection 33(3) to </w:t>
      </w:r>
      <w:r w:rsidR="0012699E">
        <w:rPr>
          <w:rFonts w:ascii="Times New Roman" w:hAnsi="Times New Roman"/>
        </w:rPr>
        <w:t>determine</w:t>
      </w:r>
      <w:r w:rsidR="00762CF4">
        <w:rPr>
          <w:rFonts w:ascii="Times New Roman" w:hAnsi="Times New Roman"/>
        </w:rPr>
        <w:t xml:space="preserve"> the Amendment Standard.</w:t>
      </w:r>
    </w:p>
    <w:p w:rsidR="00CF3A1E" w:rsidRPr="00F37933" w:rsidRDefault="00CF3A1E" w:rsidP="00CF3A1E">
      <w:pPr>
        <w:spacing w:after="120"/>
        <w:jc w:val="both"/>
        <w:rPr>
          <w:rFonts w:ascii="Times New Roman" w:hAnsi="Times New Roman"/>
          <w:b/>
        </w:rPr>
      </w:pPr>
      <w:r w:rsidRPr="00F37933">
        <w:rPr>
          <w:rFonts w:ascii="Times New Roman" w:hAnsi="Times New Roman"/>
          <w:b/>
        </w:rPr>
        <w:t>Purpose and operation of the</w:t>
      </w:r>
      <w:r w:rsidR="00F25E85">
        <w:rPr>
          <w:rFonts w:ascii="Times New Roman" w:hAnsi="Times New Roman"/>
          <w:b/>
        </w:rPr>
        <w:t xml:space="preserve"> </w:t>
      </w:r>
      <w:r w:rsidR="004E7286">
        <w:rPr>
          <w:rFonts w:ascii="Times New Roman" w:hAnsi="Times New Roman"/>
          <w:b/>
        </w:rPr>
        <w:t xml:space="preserve">Amendment </w:t>
      </w:r>
      <w:r w:rsidR="00CA75C3">
        <w:rPr>
          <w:rFonts w:ascii="Times New Roman" w:hAnsi="Times New Roman"/>
          <w:b/>
        </w:rPr>
        <w:t>Standard</w:t>
      </w:r>
      <w:r w:rsidR="00F25E85">
        <w:rPr>
          <w:rFonts w:ascii="Times New Roman" w:hAnsi="Times New Roman"/>
          <w:b/>
        </w:rPr>
        <w:t xml:space="preserve"> </w:t>
      </w:r>
    </w:p>
    <w:p w:rsidR="00B93B5A" w:rsidRPr="00B82FCD" w:rsidRDefault="00F0774F" w:rsidP="00996E41">
      <w:pPr>
        <w:spacing w:after="120" w:line="276" w:lineRule="auto"/>
        <w:jc w:val="both"/>
        <w:rPr>
          <w:rFonts w:ascii="Times New Roman" w:eastAsiaTheme="minorHAnsi" w:hAnsi="Times New Roman"/>
          <w:szCs w:val="22"/>
        </w:rPr>
      </w:pPr>
      <w:r>
        <w:rPr>
          <w:rFonts w:ascii="Times New Roman" w:eastAsiaTheme="minorHAnsi" w:hAnsi="Times New Roman"/>
          <w:szCs w:val="22"/>
        </w:rPr>
        <w:t xml:space="preserve">The </w:t>
      </w:r>
      <w:r w:rsidR="00B82FCD">
        <w:rPr>
          <w:rFonts w:ascii="Times New Roman" w:eastAsiaTheme="minorHAnsi" w:hAnsi="Times New Roman"/>
          <w:szCs w:val="22"/>
        </w:rPr>
        <w:t xml:space="preserve">purpose of the </w:t>
      </w:r>
      <w:r w:rsidR="004E7286">
        <w:rPr>
          <w:rFonts w:ascii="Times New Roman" w:eastAsiaTheme="minorHAnsi" w:hAnsi="Times New Roman"/>
          <w:szCs w:val="22"/>
        </w:rPr>
        <w:t xml:space="preserve">Amendment </w:t>
      </w:r>
      <w:r w:rsidR="00CA75C3">
        <w:rPr>
          <w:rFonts w:ascii="Times New Roman" w:eastAsiaTheme="minorHAnsi" w:hAnsi="Times New Roman"/>
          <w:szCs w:val="22"/>
        </w:rPr>
        <w:t xml:space="preserve">Standard is to </w:t>
      </w:r>
      <w:r w:rsidR="0005389C">
        <w:rPr>
          <w:rFonts w:ascii="Times New Roman" w:eastAsiaTheme="minorHAnsi" w:hAnsi="Times New Roman"/>
          <w:szCs w:val="22"/>
        </w:rPr>
        <w:t xml:space="preserve">amend Part 3 of the Standard that deals with the conduct of investigations, to </w:t>
      </w:r>
      <w:r w:rsidR="00CA75C3">
        <w:rPr>
          <w:rFonts w:ascii="Times New Roman" w:eastAsiaTheme="minorHAnsi" w:hAnsi="Times New Roman"/>
          <w:szCs w:val="22"/>
        </w:rPr>
        <w:t>reflect the changes made to section 53 of the</w:t>
      </w:r>
      <w:r w:rsidR="00555F42">
        <w:rPr>
          <w:rFonts w:ascii="Times New Roman" w:eastAsiaTheme="minorHAnsi" w:hAnsi="Times New Roman"/>
          <w:szCs w:val="22"/>
        </w:rPr>
        <w:t xml:space="preserve"> PID Act</w:t>
      </w:r>
      <w:r w:rsidR="00CA75C3">
        <w:rPr>
          <w:rFonts w:ascii="Times New Roman" w:hAnsi="Times New Roman"/>
          <w:i/>
        </w:rPr>
        <w:t xml:space="preserve"> </w:t>
      </w:r>
      <w:r w:rsidR="00CA75C3" w:rsidRPr="00CA75C3">
        <w:rPr>
          <w:rFonts w:ascii="Times New Roman" w:hAnsi="Times New Roman"/>
        </w:rPr>
        <w:t>by</w:t>
      </w:r>
      <w:r w:rsidR="00CA75C3">
        <w:rPr>
          <w:rFonts w:ascii="Times New Roman" w:hAnsi="Times New Roman"/>
          <w:i/>
        </w:rPr>
        <w:t xml:space="preserve"> </w:t>
      </w:r>
      <w:r w:rsidR="000F757C">
        <w:rPr>
          <w:rFonts w:ascii="Times New Roman" w:hAnsi="Times New Roman"/>
        </w:rPr>
        <w:t>section</w:t>
      </w:r>
      <w:r w:rsidR="00E84585">
        <w:rPr>
          <w:rFonts w:ascii="Times New Roman" w:hAnsi="Times New Roman"/>
        </w:rPr>
        <w:t>s</w:t>
      </w:r>
      <w:r w:rsidR="000F757C">
        <w:rPr>
          <w:rFonts w:ascii="Times New Roman" w:hAnsi="Times New Roman"/>
        </w:rPr>
        <w:t xml:space="preserve"> 8</w:t>
      </w:r>
      <w:r w:rsidR="00E84585">
        <w:rPr>
          <w:rFonts w:ascii="Times New Roman" w:hAnsi="Times New Roman"/>
        </w:rPr>
        <w:t>6</w:t>
      </w:r>
      <w:r w:rsidR="00CA75C3">
        <w:rPr>
          <w:rFonts w:ascii="Times New Roman" w:hAnsi="Times New Roman"/>
        </w:rPr>
        <w:t xml:space="preserve"> </w:t>
      </w:r>
      <w:r w:rsidR="00E84585">
        <w:rPr>
          <w:rFonts w:ascii="Times New Roman" w:hAnsi="Times New Roman"/>
        </w:rPr>
        <w:t>to 89 of</w:t>
      </w:r>
      <w:r w:rsidR="00CA75C3">
        <w:rPr>
          <w:rFonts w:ascii="Times New Roman" w:hAnsi="Times New Roman"/>
        </w:rPr>
        <w:t xml:space="preserve"> the </w:t>
      </w:r>
      <w:r w:rsidR="00CA75C3">
        <w:rPr>
          <w:rFonts w:ascii="Times New Roman" w:eastAsiaTheme="minorHAnsi" w:hAnsi="Times New Roman"/>
          <w:i/>
          <w:szCs w:val="22"/>
        </w:rPr>
        <w:t>Public Governance, Performance and Accountability (Cons</w:t>
      </w:r>
      <w:r w:rsidR="00EF3CFE">
        <w:rPr>
          <w:rFonts w:ascii="Times New Roman" w:eastAsiaTheme="minorHAnsi" w:hAnsi="Times New Roman"/>
          <w:i/>
          <w:szCs w:val="22"/>
        </w:rPr>
        <w:t>equential and Transitional) Act </w:t>
      </w:r>
      <w:r w:rsidR="00CA75C3">
        <w:rPr>
          <w:rFonts w:ascii="Times New Roman" w:eastAsiaTheme="minorHAnsi" w:hAnsi="Times New Roman"/>
          <w:i/>
          <w:szCs w:val="22"/>
        </w:rPr>
        <w:t>2014</w:t>
      </w:r>
      <w:r w:rsidR="00CA75C3">
        <w:rPr>
          <w:rFonts w:ascii="Times New Roman" w:eastAsiaTheme="minorHAnsi" w:hAnsi="Times New Roman"/>
          <w:szCs w:val="22"/>
        </w:rPr>
        <w:t>.</w:t>
      </w:r>
      <w:r w:rsidR="00B82FCD">
        <w:rPr>
          <w:rFonts w:ascii="Times New Roman" w:eastAsiaTheme="minorHAnsi" w:hAnsi="Times New Roman"/>
          <w:szCs w:val="22"/>
        </w:rPr>
        <w:t xml:space="preserve"> </w:t>
      </w:r>
    </w:p>
    <w:p w:rsidR="00B82FCD" w:rsidRPr="00F0774F" w:rsidRDefault="0005389C" w:rsidP="00B82FCD">
      <w:pPr>
        <w:spacing w:after="120" w:line="276" w:lineRule="auto"/>
        <w:jc w:val="both"/>
        <w:rPr>
          <w:rFonts w:ascii="Times New Roman" w:eastAsiaTheme="minorHAnsi" w:hAnsi="Times New Roman"/>
          <w:szCs w:val="22"/>
        </w:rPr>
      </w:pPr>
      <w:r>
        <w:rPr>
          <w:rFonts w:ascii="Times New Roman" w:eastAsiaTheme="minorHAnsi" w:hAnsi="Times New Roman"/>
          <w:szCs w:val="22"/>
        </w:rPr>
        <w:t>Part 3</w:t>
      </w:r>
      <w:r w:rsidR="002F2F2F">
        <w:rPr>
          <w:rFonts w:ascii="Times New Roman" w:eastAsiaTheme="minorHAnsi" w:hAnsi="Times New Roman"/>
          <w:szCs w:val="22"/>
        </w:rPr>
        <w:t xml:space="preserve">, as amended, will continue to operate </w:t>
      </w:r>
      <w:r w:rsidR="002F2F2F">
        <w:rPr>
          <w:rFonts w:ascii="Times New Roman" w:hAnsi="Times New Roman"/>
        </w:rPr>
        <w:t>alongside existing investigat</w:t>
      </w:r>
      <w:r w:rsidR="00F35675">
        <w:rPr>
          <w:rFonts w:ascii="Times New Roman" w:hAnsi="Times New Roman"/>
        </w:rPr>
        <w:t>ion</w:t>
      </w:r>
      <w:r w:rsidR="002F2F2F">
        <w:rPr>
          <w:rFonts w:ascii="Times New Roman" w:hAnsi="Times New Roman"/>
        </w:rPr>
        <w:t xml:space="preserve"> procedures in place for dealing with fraud</w:t>
      </w:r>
      <w:r w:rsidR="00F35675">
        <w:rPr>
          <w:rFonts w:ascii="Times New Roman" w:hAnsi="Times New Roman"/>
        </w:rPr>
        <w:t xml:space="preserve"> </w:t>
      </w:r>
      <w:r w:rsidR="002F2F2F">
        <w:rPr>
          <w:rFonts w:ascii="Times New Roman" w:hAnsi="Times New Roman"/>
        </w:rPr>
        <w:t>related matters and alleged breaches of the Australian Public Service Code of Conduct (see subsections 53(4) and (5) of the PID Act).</w:t>
      </w:r>
      <w:r>
        <w:rPr>
          <w:rFonts w:ascii="Times New Roman" w:hAnsi="Times New Roman"/>
        </w:rPr>
        <w:t xml:space="preserve"> </w:t>
      </w:r>
      <w:r w:rsidR="002F2F2F">
        <w:rPr>
          <w:rFonts w:ascii="Times New Roman" w:hAnsi="Times New Roman"/>
        </w:rPr>
        <w:t xml:space="preserve"> The Amendment Standard </w:t>
      </w:r>
      <w:r w:rsidR="00F56A07">
        <w:rPr>
          <w:rFonts w:ascii="Times New Roman" w:hAnsi="Times New Roman"/>
        </w:rPr>
        <w:t xml:space="preserve">operates to </w:t>
      </w:r>
      <w:r w:rsidR="002F2F2F">
        <w:rPr>
          <w:rFonts w:ascii="Times New Roman" w:hAnsi="Times New Roman"/>
        </w:rPr>
        <w:t>remove r</w:t>
      </w:r>
      <w:r w:rsidR="00B82FCD">
        <w:rPr>
          <w:rFonts w:ascii="Times New Roman" w:eastAsiaTheme="minorHAnsi" w:hAnsi="Times New Roman"/>
          <w:szCs w:val="22"/>
        </w:rPr>
        <w:t xml:space="preserve">eferences to the Commonwealth Fraud Control Guidelines in </w:t>
      </w:r>
      <w:r>
        <w:rPr>
          <w:rFonts w:ascii="Times New Roman" w:eastAsiaTheme="minorHAnsi" w:hAnsi="Times New Roman"/>
          <w:szCs w:val="22"/>
        </w:rPr>
        <w:t>Part 3</w:t>
      </w:r>
      <w:r w:rsidR="00B82FCD">
        <w:rPr>
          <w:rFonts w:ascii="Times New Roman" w:eastAsiaTheme="minorHAnsi" w:hAnsi="Times New Roman"/>
          <w:szCs w:val="22"/>
        </w:rPr>
        <w:t xml:space="preserve"> of the Standard</w:t>
      </w:r>
      <w:r w:rsidR="002F2F2F">
        <w:rPr>
          <w:rFonts w:ascii="Times New Roman" w:eastAsiaTheme="minorHAnsi" w:hAnsi="Times New Roman"/>
          <w:szCs w:val="22"/>
        </w:rPr>
        <w:t>,</w:t>
      </w:r>
      <w:r w:rsidR="00B82FCD">
        <w:rPr>
          <w:rFonts w:ascii="Times New Roman" w:eastAsiaTheme="minorHAnsi" w:hAnsi="Times New Roman"/>
          <w:szCs w:val="22"/>
        </w:rPr>
        <w:t xml:space="preserve"> </w:t>
      </w:r>
      <w:r w:rsidR="002F2F2F">
        <w:rPr>
          <w:rFonts w:ascii="Times New Roman" w:eastAsiaTheme="minorHAnsi" w:hAnsi="Times New Roman"/>
          <w:szCs w:val="22"/>
        </w:rPr>
        <w:t>and replaces them</w:t>
      </w:r>
      <w:r w:rsidR="00B82FCD">
        <w:rPr>
          <w:rFonts w:ascii="Times New Roman" w:eastAsiaTheme="minorHAnsi" w:hAnsi="Times New Roman"/>
          <w:szCs w:val="22"/>
        </w:rPr>
        <w:t xml:space="preserve"> </w:t>
      </w:r>
      <w:r w:rsidR="00EF3CFE">
        <w:rPr>
          <w:rFonts w:ascii="Times New Roman" w:eastAsiaTheme="minorHAnsi" w:hAnsi="Times New Roman"/>
          <w:szCs w:val="22"/>
        </w:rPr>
        <w:t>with</w:t>
      </w:r>
      <w:r w:rsidR="00B82FCD">
        <w:rPr>
          <w:rFonts w:ascii="Times New Roman" w:eastAsiaTheme="minorHAnsi" w:hAnsi="Times New Roman"/>
          <w:szCs w:val="22"/>
        </w:rPr>
        <w:t xml:space="preserve"> references to the rules relating to fraud for the purposes of the </w:t>
      </w:r>
      <w:r w:rsidR="00B82FCD" w:rsidRPr="00B82FCD">
        <w:rPr>
          <w:rFonts w:ascii="Times New Roman" w:eastAsiaTheme="minorHAnsi" w:hAnsi="Times New Roman"/>
          <w:szCs w:val="22"/>
        </w:rPr>
        <w:t>PGPA Act</w:t>
      </w:r>
      <w:r w:rsidR="002F2F2F">
        <w:rPr>
          <w:rFonts w:ascii="Times New Roman" w:eastAsiaTheme="minorHAnsi" w:hAnsi="Times New Roman"/>
          <w:szCs w:val="22"/>
        </w:rPr>
        <w:t xml:space="preserve"> </w:t>
      </w:r>
      <w:r w:rsidR="00EF3CFE">
        <w:rPr>
          <w:rFonts w:ascii="Times New Roman" w:eastAsiaTheme="minorHAnsi" w:hAnsi="Times New Roman"/>
          <w:szCs w:val="22"/>
        </w:rPr>
        <w:t>(S</w:t>
      </w:r>
      <w:r w:rsidR="00E84585">
        <w:rPr>
          <w:rFonts w:ascii="Times New Roman" w:eastAsiaTheme="minorHAnsi" w:hAnsi="Times New Roman"/>
          <w:szCs w:val="22"/>
        </w:rPr>
        <w:t>ub</w:t>
      </w:r>
      <w:r w:rsidR="002F2F2F">
        <w:rPr>
          <w:rFonts w:ascii="Times New Roman" w:eastAsiaTheme="minorHAnsi" w:hAnsi="Times New Roman"/>
          <w:szCs w:val="22"/>
        </w:rPr>
        <w:t>section 53</w:t>
      </w:r>
      <w:r w:rsidR="00E84585">
        <w:rPr>
          <w:rFonts w:ascii="Times New Roman" w:eastAsiaTheme="minorHAnsi" w:hAnsi="Times New Roman"/>
          <w:szCs w:val="22"/>
        </w:rPr>
        <w:t>(4)</w:t>
      </w:r>
      <w:r w:rsidR="002F2F2F">
        <w:rPr>
          <w:rFonts w:ascii="Times New Roman" w:eastAsiaTheme="minorHAnsi" w:hAnsi="Times New Roman"/>
          <w:szCs w:val="22"/>
        </w:rPr>
        <w:t xml:space="preserve"> of the PID Act</w:t>
      </w:r>
      <w:r w:rsidR="00EF3CFE">
        <w:rPr>
          <w:rFonts w:ascii="Times New Roman" w:eastAsiaTheme="minorHAnsi" w:hAnsi="Times New Roman"/>
          <w:szCs w:val="22"/>
        </w:rPr>
        <w:t>)</w:t>
      </w:r>
      <w:r w:rsidR="002F2F2F">
        <w:rPr>
          <w:rFonts w:ascii="Times New Roman" w:eastAsiaTheme="minorHAnsi" w:hAnsi="Times New Roman"/>
          <w:szCs w:val="22"/>
        </w:rPr>
        <w:t>.</w:t>
      </w:r>
    </w:p>
    <w:p w:rsidR="00314052" w:rsidRPr="00F37933" w:rsidRDefault="00314052" w:rsidP="00314052">
      <w:pPr>
        <w:spacing w:after="120"/>
        <w:jc w:val="both"/>
        <w:rPr>
          <w:rFonts w:ascii="Times New Roman" w:hAnsi="Times New Roman"/>
          <w:b/>
        </w:rPr>
      </w:pPr>
      <w:r w:rsidRPr="00F37933">
        <w:rPr>
          <w:rFonts w:ascii="Times New Roman" w:hAnsi="Times New Roman"/>
          <w:b/>
        </w:rPr>
        <w:t>Consultation</w:t>
      </w:r>
    </w:p>
    <w:p w:rsidR="00314052" w:rsidRDefault="00314052" w:rsidP="00314052">
      <w:pPr>
        <w:spacing w:after="120"/>
        <w:jc w:val="both"/>
        <w:rPr>
          <w:rFonts w:ascii="Times New Roman" w:hAnsi="Times New Roman"/>
          <w:b/>
        </w:rPr>
      </w:pPr>
      <w:r w:rsidRPr="00F37933">
        <w:rPr>
          <w:rFonts w:ascii="Times New Roman" w:hAnsi="Times New Roman"/>
        </w:rPr>
        <w:t xml:space="preserve">Subsection 74(2) of the </w:t>
      </w:r>
      <w:r w:rsidR="00F35675">
        <w:rPr>
          <w:rFonts w:ascii="Times New Roman" w:hAnsi="Times New Roman"/>
        </w:rPr>
        <w:t xml:space="preserve">PID </w:t>
      </w:r>
      <w:r w:rsidRPr="00F37933">
        <w:rPr>
          <w:rFonts w:ascii="Times New Roman" w:hAnsi="Times New Roman"/>
        </w:rPr>
        <w:t xml:space="preserve">Act requires the Ombudsman to consult with the </w:t>
      </w:r>
      <w:r>
        <w:rPr>
          <w:rFonts w:ascii="Times New Roman" w:hAnsi="Times New Roman"/>
        </w:rPr>
        <w:t>I</w:t>
      </w:r>
      <w:r w:rsidR="00EF3CFE">
        <w:rPr>
          <w:rFonts w:ascii="Times New Roman" w:hAnsi="Times New Roman"/>
        </w:rPr>
        <w:t>nspector</w:t>
      </w:r>
      <w:r w:rsidR="00187149">
        <w:rPr>
          <w:rFonts w:ascii="Times New Roman" w:hAnsi="Times New Roman"/>
        </w:rPr>
        <w:t>-</w:t>
      </w:r>
      <w:r w:rsidR="00EF3CFE">
        <w:rPr>
          <w:rFonts w:ascii="Times New Roman" w:hAnsi="Times New Roman"/>
        </w:rPr>
        <w:t xml:space="preserve">General of Intelligence </w:t>
      </w:r>
      <w:r w:rsidR="00187149">
        <w:rPr>
          <w:rFonts w:ascii="Times New Roman" w:hAnsi="Times New Roman"/>
        </w:rPr>
        <w:t xml:space="preserve">and </w:t>
      </w:r>
      <w:r w:rsidR="00854627">
        <w:rPr>
          <w:rFonts w:ascii="Times New Roman" w:hAnsi="Times New Roman"/>
        </w:rPr>
        <w:t>Se</w:t>
      </w:r>
      <w:r w:rsidR="00187149">
        <w:rPr>
          <w:rFonts w:ascii="Times New Roman" w:hAnsi="Times New Roman"/>
        </w:rPr>
        <w:t>curity</w:t>
      </w:r>
      <w:r w:rsidR="00EF3CFE">
        <w:rPr>
          <w:rFonts w:ascii="Times New Roman" w:hAnsi="Times New Roman"/>
        </w:rPr>
        <w:t xml:space="preserve"> (the IGIS)</w:t>
      </w:r>
      <w:r w:rsidRPr="00F37933">
        <w:rPr>
          <w:rFonts w:ascii="Times New Roman" w:hAnsi="Times New Roman"/>
        </w:rPr>
        <w:t xml:space="preserve"> before determining any s</w:t>
      </w:r>
      <w:r w:rsidR="00CA75C3">
        <w:rPr>
          <w:rFonts w:ascii="Times New Roman" w:hAnsi="Times New Roman"/>
        </w:rPr>
        <w:t>tandards under subsection 74(1). T</w:t>
      </w:r>
      <w:r w:rsidR="007C70EE" w:rsidRPr="00F37933">
        <w:rPr>
          <w:rFonts w:ascii="Times New Roman" w:hAnsi="Times New Roman"/>
        </w:rPr>
        <w:t xml:space="preserve">he IGIS was consulted </w:t>
      </w:r>
      <w:r w:rsidR="000C1483">
        <w:rPr>
          <w:rFonts w:ascii="Times New Roman" w:hAnsi="Times New Roman"/>
        </w:rPr>
        <w:t xml:space="preserve">on the </w:t>
      </w:r>
      <w:r w:rsidR="00EF3CFE">
        <w:rPr>
          <w:rFonts w:ascii="Times New Roman" w:hAnsi="Times New Roman"/>
        </w:rPr>
        <w:t xml:space="preserve">Amendment </w:t>
      </w:r>
      <w:r w:rsidR="007C70EE" w:rsidRPr="00F37933">
        <w:rPr>
          <w:rFonts w:ascii="Times New Roman" w:hAnsi="Times New Roman"/>
        </w:rPr>
        <w:t xml:space="preserve">Standard for the purposes of complying with </w:t>
      </w:r>
      <w:r w:rsidR="007C70EE">
        <w:rPr>
          <w:rFonts w:ascii="Times New Roman" w:hAnsi="Times New Roman"/>
        </w:rPr>
        <w:t>this provision</w:t>
      </w:r>
      <w:r w:rsidR="007C70EE" w:rsidRPr="00F37933">
        <w:rPr>
          <w:rFonts w:ascii="Times New Roman" w:hAnsi="Times New Roman"/>
        </w:rPr>
        <w:t>.</w:t>
      </w:r>
    </w:p>
    <w:p w:rsidR="00314052" w:rsidRPr="00F37933" w:rsidRDefault="00314052" w:rsidP="00314052">
      <w:pPr>
        <w:spacing w:after="120"/>
        <w:jc w:val="both"/>
        <w:rPr>
          <w:rFonts w:ascii="Times New Roman" w:hAnsi="Times New Roman"/>
          <w:b/>
        </w:rPr>
      </w:pPr>
      <w:r w:rsidRPr="00F37933">
        <w:rPr>
          <w:rFonts w:ascii="Times New Roman" w:hAnsi="Times New Roman"/>
          <w:b/>
        </w:rPr>
        <w:lastRenderedPageBreak/>
        <w:t>Regulatory impact</w:t>
      </w:r>
    </w:p>
    <w:p w:rsidR="007C70EE" w:rsidRDefault="007C70EE" w:rsidP="007C70EE">
      <w:pPr>
        <w:spacing w:after="120"/>
        <w:jc w:val="both"/>
        <w:rPr>
          <w:rFonts w:ascii="Times New Roman" w:hAnsi="Times New Roman"/>
        </w:rPr>
      </w:pPr>
      <w:r w:rsidRPr="00F37933">
        <w:rPr>
          <w:rFonts w:ascii="Times New Roman" w:hAnsi="Times New Roman"/>
        </w:rPr>
        <w:t>The Office of Best Practice Regulation (</w:t>
      </w:r>
      <w:r>
        <w:rPr>
          <w:rFonts w:ascii="Times New Roman" w:hAnsi="Times New Roman"/>
        </w:rPr>
        <w:t xml:space="preserve">the </w:t>
      </w:r>
      <w:r w:rsidRPr="00F37933">
        <w:rPr>
          <w:rFonts w:ascii="Times New Roman" w:hAnsi="Times New Roman"/>
        </w:rPr>
        <w:t xml:space="preserve">OBPR) has advised the Ombudsman that as the </w:t>
      </w:r>
      <w:r w:rsidR="00CA75C3">
        <w:rPr>
          <w:rFonts w:ascii="Times New Roman" w:hAnsi="Times New Roman"/>
        </w:rPr>
        <w:t xml:space="preserve">change effected by the </w:t>
      </w:r>
      <w:r w:rsidR="00EF3CFE">
        <w:rPr>
          <w:rFonts w:ascii="Times New Roman" w:hAnsi="Times New Roman"/>
        </w:rPr>
        <w:t>Amendment</w:t>
      </w:r>
      <w:r w:rsidR="00CA75C3">
        <w:rPr>
          <w:rFonts w:ascii="Times New Roman" w:hAnsi="Times New Roman"/>
        </w:rPr>
        <w:t xml:space="preserve"> Standard is machinery in nature</w:t>
      </w:r>
      <w:r w:rsidRPr="00F37933">
        <w:rPr>
          <w:rFonts w:ascii="Times New Roman" w:hAnsi="Times New Roman"/>
        </w:rPr>
        <w:t xml:space="preserve">, no further analysis of it (in the form of a Regulation Impact Statement) </w:t>
      </w:r>
      <w:r w:rsidR="00EF3CFE">
        <w:rPr>
          <w:rFonts w:ascii="Times New Roman" w:hAnsi="Times New Roman"/>
        </w:rPr>
        <w:t>is</w:t>
      </w:r>
      <w:r w:rsidRPr="00F37933">
        <w:rPr>
          <w:rFonts w:ascii="Times New Roman" w:hAnsi="Times New Roman"/>
        </w:rPr>
        <w:t xml:space="preserve"> required.  </w:t>
      </w:r>
    </w:p>
    <w:p w:rsidR="00314052" w:rsidRPr="00F37933" w:rsidRDefault="00314052" w:rsidP="00314052">
      <w:pPr>
        <w:spacing w:after="120"/>
        <w:jc w:val="both"/>
        <w:rPr>
          <w:rFonts w:ascii="Times New Roman" w:hAnsi="Times New Roman"/>
          <w:b/>
        </w:rPr>
      </w:pPr>
      <w:r w:rsidRPr="00F37933">
        <w:rPr>
          <w:rFonts w:ascii="Times New Roman" w:hAnsi="Times New Roman"/>
          <w:b/>
        </w:rPr>
        <w:t>Statement of compatibility with human rights</w:t>
      </w:r>
    </w:p>
    <w:p w:rsidR="00314052" w:rsidRPr="00F37933" w:rsidRDefault="00314052" w:rsidP="00314052">
      <w:pPr>
        <w:spacing w:after="120"/>
        <w:jc w:val="both"/>
        <w:rPr>
          <w:rFonts w:ascii="Times New Roman" w:hAnsi="Times New Roman"/>
        </w:rPr>
      </w:pPr>
      <w:r w:rsidRPr="00F37933">
        <w:rPr>
          <w:rFonts w:ascii="Times New Roman" w:hAnsi="Times New Roman"/>
        </w:rPr>
        <w:t xml:space="preserve">The Ombudsman has considered whether or not the </w:t>
      </w:r>
      <w:r w:rsidR="00F35675">
        <w:rPr>
          <w:rFonts w:ascii="Times New Roman" w:hAnsi="Times New Roman"/>
        </w:rPr>
        <w:t xml:space="preserve">Amendment </w:t>
      </w:r>
      <w:r w:rsidRPr="00F37933">
        <w:rPr>
          <w:rFonts w:ascii="Times New Roman" w:hAnsi="Times New Roman"/>
        </w:rPr>
        <w:t xml:space="preserve">Standard is compatible with human rights for the purposes of the </w:t>
      </w:r>
      <w:r w:rsidRPr="00F37933">
        <w:rPr>
          <w:rFonts w:ascii="Times New Roman" w:hAnsi="Times New Roman"/>
          <w:i/>
        </w:rPr>
        <w:t>Human Rights (Parliamentary Scrutiny) Act 2011</w:t>
      </w:r>
      <w:r w:rsidRPr="00F37933">
        <w:rPr>
          <w:rFonts w:ascii="Times New Roman" w:hAnsi="Times New Roman"/>
        </w:rPr>
        <w:t xml:space="preserve">.  </w:t>
      </w:r>
      <w:r>
        <w:rPr>
          <w:rFonts w:ascii="Times New Roman" w:hAnsi="Times New Roman"/>
        </w:rPr>
        <w:t>A relevant statement of compatibility with human rights is attached.</w:t>
      </w:r>
    </w:p>
    <w:p w:rsidR="00E84585" w:rsidRDefault="00E84585" w:rsidP="00314052">
      <w:pPr>
        <w:spacing w:after="360"/>
        <w:jc w:val="both"/>
        <w:rPr>
          <w:rFonts w:ascii="Times New Roman" w:hAnsi="Times New Roman"/>
          <w:b/>
        </w:rPr>
      </w:pPr>
    </w:p>
    <w:p w:rsidR="00314052" w:rsidRPr="00F37933" w:rsidRDefault="00314052" w:rsidP="00314052">
      <w:pPr>
        <w:spacing w:after="360"/>
        <w:jc w:val="both"/>
        <w:rPr>
          <w:rFonts w:ascii="Times New Roman" w:hAnsi="Times New Roman"/>
          <w:b/>
        </w:rPr>
      </w:pPr>
      <w:r w:rsidRPr="00F37933">
        <w:rPr>
          <w:rFonts w:ascii="Times New Roman" w:hAnsi="Times New Roman"/>
          <w:b/>
        </w:rPr>
        <w:t>NOTES ON THE INSTRUMENT</w:t>
      </w:r>
    </w:p>
    <w:p w:rsidR="000D0523" w:rsidRPr="00F37933" w:rsidRDefault="000D0523" w:rsidP="000D0523">
      <w:pPr>
        <w:spacing w:after="120"/>
        <w:jc w:val="both"/>
        <w:rPr>
          <w:rFonts w:ascii="Times New Roman" w:hAnsi="Times New Roman"/>
          <w:b/>
        </w:rPr>
      </w:pPr>
      <w:r w:rsidRPr="00F37933">
        <w:rPr>
          <w:rFonts w:ascii="Times New Roman" w:hAnsi="Times New Roman"/>
          <w:b/>
        </w:rPr>
        <w:t>Section 1—Name of standard</w:t>
      </w:r>
    </w:p>
    <w:p w:rsidR="000D0523" w:rsidRPr="00F37933" w:rsidRDefault="000D0523" w:rsidP="000D0523">
      <w:pPr>
        <w:spacing w:after="120"/>
        <w:jc w:val="both"/>
        <w:rPr>
          <w:rFonts w:ascii="Times New Roman" w:hAnsi="Times New Roman"/>
        </w:rPr>
      </w:pPr>
      <w:r w:rsidRPr="00F37933">
        <w:rPr>
          <w:rFonts w:ascii="Times New Roman" w:hAnsi="Times New Roman"/>
        </w:rPr>
        <w:t xml:space="preserve">Section 1 provides that the name of the Standard is the </w:t>
      </w:r>
      <w:r w:rsidRPr="00F37933">
        <w:rPr>
          <w:rFonts w:ascii="Times New Roman" w:hAnsi="Times New Roman"/>
          <w:i/>
        </w:rPr>
        <w:t xml:space="preserve">Public Interest Disclosure </w:t>
      </w:r>
      <w:r>
        <w:rPr>
          <w:rFonts w:ascii="Times New Roman" w:hAnsi="Times New Roman"/>
          <w:i/>
        </w:rPr>
        <w:t xml:space="preserve">Amendment </w:t>
      </w:r>
      <w:r w:rsidR="00CA75C3">
        <w:rPr>
          <w:rFonts w:ascii="Times New Roman" w:hAnsi="Times New Roman"/>
          <w:i/>
        </w:rPr>
        <w:t xml:space="preserve">(Conduct of Investigations) </w:t>
      </w:r>
      <w:r>
        <w:rPr>
          <w:rFonts w:ascii="Times New Roman" w:hAnsi="Times New Roman"/>
          <w:i/>
        </w:rPr>
        <w:t>Standard 2014</w:t>
      </w:r>
      <w:r w:rsidRPr="00F37933">
        <w:rPr>
          <w:rFonts w:ascii="Times New Roman" w:hAnsi="Times New Roman"/>
        </w:rPr>
        <w:t>.</w:t>
      </w:r>
    </w:p>
    <w:p w:rsidR="000D0523" w:rsidRPr="00F37933" w:rsidRDefault="000D0523" w:rsidP="000D0523">
      <w:pPr>
        <w:spacing w:after="120"/>
        <w:jc w:val="both"/>
        <w:rPr>
          <w:rFonts w:ascii="Times New Roman" w:hAnsi="Times New Roman"/>
          <w:b/>
        </w:rPr>
      </w:pPr>
      <w:r w:rsidRPr="00F37933">
        <w:rPr>
          <w:rFonts w:ascii="Times New Roman" w:hAnsi="Times New Roman"/>
          <w:b/>
        </w:rPr>
        <w:t xml:space="preserve">Section 2—Commencement </w:t>
      </w:r>
    </w:p>
    <w:p w:rsidR="000D0523" w:rsidRPr="00D12E80" w:rsidRDefault="000D0523" w:rsidP="000D0523">
      <w:pPr>
        <w:spacing w:after="120"/>
        <w:jc w:val="both"/>
        <w:rPr>
          <w:rFonts w:ascii="Times New Roman" w:hAnsi="Times New Roman"/>
        </w:rPr>
      </w:pPr>
      <w:r w:rsidRPr="00F37933">
        <w:rPr>
          <w:rFonts w:ascii="Times New Roman" w:hAnsi="Times New Roman"/>
        </w:rPr>
        <w:t xml:space="preserve">Section 2 provides that the Standard will commence </w:t>
      </w:r>
      <w:r w:rsidR="00CA75C3">
        <w:rPr>
          <w:rFonts w:ascii="Times New Roman" w:hAnsi="Times New Roman"/>
        </w:rPr>
        <w:t>on the day after it is registered</w:t>
      </w:r>
      <w:r w:rsidR="00D12E80">
        <w:rPr>
          <w:rFonts w:ascii="Times New Roman" w:eastAsiaTheme="minorHAnsi" w:hAnsi="Times New Roman"/>
          <w:szCs w:val="22"/>
        </w:rPr>
        <w:t>.</w:t>
      </w:r>
    </w:p>
    <w:p w:rsidR="000D0523" w:rsidRPr="00F37933" w:rsidRDefault="000D0523" w:rsidP="000D0523">
      <w:pPr>
        <w:spacing w:after="120"/>
        <w:jc w:val="both"/>
        <w:rPr>
          <w:rFonts w:ascii="Times New Roman" w:hAnsi="Times New Roman"/>
          <w:b/>
        </w:rPr>
      </w:pPr>
      <w:r w:rsidRPr="00F37933">
        <w:rPr>
          <w:rFonts w:ascii="Times New Roman" w:hAnsi="Times New Roman"/>
          <w:b/>
        </w:rPr>
        <w:t>Section 3—Authority</w:t>
      </w:r>
    </w:p>
    <w:p w:rsidR="000D0523" w:rsidRPr="00F37933" w:rsidRDefault="000D0523" w:rsidP="000D0523">
      <w:pPr>
        <w:spacing w:after="120"/>
        <w:jc w:val="both"/>
        <w:rPr>
          <w:rFonts w:ascii="Times New Roman" w:hAnsi="Times New Roman"/>
        </w:rPr>
      </w:pPr>
      <w:r w:rsidRPr="00F37933">
        <w:rPr>
          <w:rFonts w:ascii="Times New Roman" w:hAnsi="Times New Roman"/>
        </w:rPr>
        <w:t>Section 3 identifies the legislative authority for the determination of the Standard as</w:t>
      </w:r>
      <w:r w:rsidR="00CA75C3">
        <w:rPr>
          <w:rFonts w:ascii="Times New Roman" w:hAnsi="Times New Roman"/>
        </w:rPr>
        <w:t xml:space="preserve"> being section 74</w:t>
      </w:r>
      <w:r>
        <w:rPr>
          <w:rFonts w:ascii="Times New Roman" w:hAnsi="Times New Roman"/>
        </w:rPr>
        <w:t xml:space="preserve"> of the</w:t>
      </w:r>
      <w:r w:rsidR="00402042">
        <w:rPr>
          <w:rFonts w:ascii="Times New Roman" w:hAnsi="Times New Roman"/>
        </w:rPr>
        <w:t xml:space="preserve"> </w:t>
      </w:r>
      <w:r w:rsidR="00CA75C3" w:rsidRPr="00CA75C3">
        <w:rPr>
          <w:rFonts w:ascii="Times New Roman" w:hAnsi="Times New Roman"/>
          <w:i/>
        </w:rPr>
        <w:t>Public Interest Disclosure</w:t>
      </w:r>
      <w:r w:rsidRPr="00CA75C3">
        <w:rPr>
          <w:rFonts w:ascii="Times New Roman" w:hAnsi="Times New Roman"/>
          <w:i/>
        </w:rPr>
        <w:t xml:space="preserve"> Act</w:t>
      </w:r>
      <w:r w:rsidR="00CA75C3" w:rsidRPr="00CA75C3">
        <w:rPr>
          <w:rFonts w:ascii="Times New Roman" w:hAnsi="Times New Roman"/>
          <w:i/>
        </w:rPr>
        <w:t xml:space="preserve"> 2013</w:t>
      </w:r>
      <w:r>
        <w:rPr>
          <w:rFonts w:ascii="Times New Roman" w:hAnsi="Times New Roman"/>
        </w:rPr>
        <w:t>.</w:t>
      </w:r>
    </w:p>
    <w:p w:rsidR="00B93B5A" w:rsidRPr="00CA75C3" w:rsidRDefault="00CA75C3" w:rsidP="00996E41">
      <w:pPr>
        <w:spacing w:after="120" w:line="276" w:lineRule="auto"/>
        <w:jc w:val="both"/>
        <w:rPr>
          <w:rFonts w:ascii="Times New Roman" w:eastAsiaTheme="minorHAnsi" w:hAnsi="Times New Roman"/>
          <w:b/>
          <w:szCs w:val="22"/>
        </w:rPr>
      </w:pPr>
      <w:r>
        <w:rPr>
          <w:rFonts w:ascii="Times New Roman" w:eastAsiaTheme="minorHAnsi" w:hAnsi="Times New Roman"/>
          <w:b/>
          <w:szCs w:val="22"/>
        </w:rPr>
        <w:t>Section 4</w:t>
      </w:r>
      <w:r w:rsidRPr="00F37933">
        <w:rPr>
          <w:rFonts w:ascii="Times New Roman" w:hAnsi="Times New Roman"/>
          <w:b/>
        </w:rPr>
        <w:t>—</w:t>
      </w:r>
      <w:r>
        <w:rPr>
          <w:rFonts w:ascii="Times New Roman" w:hAnsi="Times New Roman"/>
          <w:b/>
        </w:rPr>
        <w:t>Schedule</w:t>
      </w:r>
      <w:r w:rsidR="00B031A3">
        <w:rPr>
          <w:rFonts w:ascii="Times New Roman" w:hAnsi="Times New Roman"/>
          <w:b/>
        </w:rPr>
        <w:t xml:space="preserve"> 1</w:t>
      </w:r>
    </w:p>
    <w:p w:rsidR="00402042" w:rsidRPr="0023401E" w:rsidRDefault="00B031A3" w:rsidP="00996E41">
      <w:pPr>
        <w:spacing w:after="120" w:line="276" w:lineRule="auto"/>
        <w:jc w:val="both"/>
        <w:rPr>
          <w:rFonts w:ascii="Times New Roman" w:eastAsiaTheme="minorHAnsi" w:hAnsi="Times New Roman"/>
          <w:szCs w:val="22"/>
        </w:rPr>
      </w:pPr>
      <w:r>
        <w:rPr>
          <w:rFonts w:ascii="Times New Roman" w:eastAsiaTheme="minorHAnsi" w:hAnsi="Times New Roman"/>
          <w:szCs w:val="22"/>
        </w:rPr>
        <w:t xml:space="preserve">Section 1 repeals subsection 8(2) of the </w:t>
      </w:r>
      <w:r w:rsidRPr="00B031A3">
        <w:rPr>
          <w:rFonts w:ascii="Times New Roman" w:eastAsiaTheme="minorHAnsi" w:hAnsi="Times New Roman"/>
          <w:i/>
          <w:szCs w:val="22"/>
        </w:rPr>
        <w:t>Public Interest Disclosure Standard 2013</w:t>
      </w:r>
      <w:r>
        <w:rPr>
          <w:rFonts w:ascii="Times New Roman" w:eastAsiaTheme="minorHAnsi" w:hAnsi="Times New Roman"/>
          <w:i/>
          <w:szCs w:val="22"/>
        </w:rPr>
        <w:t xml:space="preserve"> </w:t>
      </w:r>
      <w:r w:rsidRPr="00B031A3">
        <w:rPr>
          <w:rFonts w:ascii="Times New Roman" w:eastAsiaTheme="minorHAnsi" w:hAnsi="Times New Roman"/>
          <w:szCs w:val="22"/>
        </w:rPr>
        <w:t xml:space="preserve">and replaces </w:t>
      </w:r>
      <w:r>
        <w:rPr>
          <w:rFonts w:ascii="Times New Roman" w:eastAsiaTheme="minorHAnsi" w:hAnsi="Times New Roman"/>
          <w:szCs w:val="22"/>
        </w:rPr>
        <w:t xml:space="preserve">it </w:t>
      </w:r>
      <w:r w:rsidR="0023401E">
        <w:rPr>
          <w:rFonts w:ascii="Times New Roman" w:eastAsiaTheme="minorHAnsi" w:hAnsi="Times New Roman"/>
          <w:szCs w:val="22"/>
        </w:rPr>
        <w:t>to provide that</w:t>
      </w:r>
      <w:r w:rsidR="000506CE">
        <w:rPr>
          <w:rFonts w:ascii="Times New Roman" w:eastAsiaTheme="minorHAnsi" w:hAnsi="Times New Roman"/>
          <w:szCs w:val="22"/>
        </w:rPr>
        <w:t>,</w:t>
      </w:r>
      <w:r w:rsidR="0023401E">
        <w:rPr>
          <w:rFonts w:ascii="Times New Roman" w:eastAsiaTheme="minorHAnsi" w:hAnsi="Times New Roman"/>
          <w:szCs w:val="22"/>
        </w:rPr>
        <w:t xml:space="preserve"> </w:t>
      </w:r>
      <w:r w:rsidR="002F2F2F">
        <w:rPr>
          <w:rFonts w:ascii="Times New Roman" w:eastAsiaTheme="minorHAnsi" w:hAnsi="Times New Roman"/>
          <w:szCs w:val="22"/>
        </w:rPr>
        <w:t>despite</w:t>
      </w:r>
      <w:r w:rsidR="000506CE">
        <w:rPr>
          <w:rFonts w:ascii="Times New Roman" w:eastAsiaTheme="minorHAnsi" w:hAnsi="Times New Roman"/>
          <w:szCs w:val="22"/>
        </w:rPr>
        <w:t xml:space="preserve"> the application of Part 3 </w:t>
      </w:r>
      <w:r w:rsidR="00EF3CFE">
        <w:rPr>
          <w:rFonts w:ascii="Times New Roman" w:eastAsiaTheme="minorHAnsi" w:hAnsi="Times New Roman"/>
          <w:szCs w:val="22"/>
        </w:rPr>
        <w:t>of the Standard to principal</w:t>
      </w:r>
      <w:r w:rsidR="000506CE">
        <w:rPr>
          <w:rFonts w:ascii="Times New Roman" w:eastAsiaTheme="minorHAnsi" w:hAnsi="Times New Roman"/>
          <w:szCs w:val="22"/>
        </w:rPr>
        <w:t xml:space="preserve"> officers conducting an investigation of a disclosure</w:t>
      </w:r>
      <w:r w:rsidR="0023401E">
        <w:rPr>
          <w:rFonts w:ascii="Times New Roman" w:eastAsiaTheme="minorHAnsi" w:hAnsi="Times New Roman"/>
          <w:szCs w:val="22"/>
        </w:rPr>
        <w:t>, in cases where a</w:t>
      </w:r>
      <w:r w:rsidR="00EF3CFE">
        <w:rPr>
          <w:rFonts w:ascii="Times New Roman" w:eastAsiaTheme="minorHAnsi" w:hAnsi="Times New Roman"/>
          <w:szCs w:val="22"/>
        </w:rPr>
        <w:t xml:space="preserve"> principal</w:t>
      </w:r>
      <w:r w:rsidR="000506CE">
        <w:rPr>
          <w:rFonts w:ascii="Times New Roman" w:eastAsiaTheme="minorHAnsi" w:hAnsi="Times New Roman"/>
          <w:szCs w:val="22"/>
        </w:rPr>
        <w:t xml:space="preserve"> officer is required </w:t>
      </w:r>
      <w:r w:rsidR="0023401E">
        <w:rPr>
          <w:rFonts w:ascii="Times New Roman" w:eastAsiaTheme="minorHAnsi" w:hAnsi="Times New Roman"/>
          <w:szCs w:val="22"/>
        </w:rPr>
        <w:t xml:space="preserve">to act in accordance with any rules relating to fraud that are made for the purposes of the </w:t>
      </w:r>
      <w:r w:rsidR="0023401E" w:rsidRPr="0023401E">
        <w:rPr>
          <w:rFonts w:ascii="Times New Roman" w:eastAsiaTheme="minorHAnsi" w:hAnsi="Times New Roman"/>
          <w:i/>
          <w:szCs w:val="22"/>
        </w:rPr>
        <w:t>Public Governance, Performance and Accountability Act 2013</w:t>
      </w:r>
      <w:r w:rsidR="0023401E">
        <w:rPr>
          <w:rFonts w:ascii="Times New Roman" w:eastAsiaTheme="minorHAnsi" w:hAnsi="Times New Roman"/>
          <w:szCs w:val="22"/>
        </w:rPr>
        <w:t>, the Standard will apply only to the extent that it is not inconsistent with those rules.</w:t>
      </w:r>
      <w:r w:rsidR="002F2F2F">
        <w:rPr>
          <w:rFonts w:ascii="Times New Roman" w:eastAsiaTheme="minorHAnsi" w:hAnsi="Times New Roman"/>
          <w:szCs w:val="22"/>
        </w:rPr>
        <w:t xml:space="preserve"> In other words, any rules </w:t>
      </w:r>
      <w:r w:rsidR="00187149">
        <w:rPr>
          <w:rFonts w:ascii="Times New Roman" w:eastAsiaTheme="minorHAnsi" w:hAnsi="Times New Roman"/>
          <w:szCs w:val="22"/>
        </w:rPr>
        <w:t xml:space="preserve">made </w:t>
      </w:r>
      <w:r w:rsidR="00762CF4">
        <w:rPr>
          <w:rFonts w:ascii="Times New Roman" w:eastAsiaTheme="minorHAnsi" w:hAnsi="Times New Roman"/>
          <w:szCs w:val="22"/>
        </w:rPr>
        <w:t xml:space="preserve">under the </w:t>
      </w:r>
      <w:r w:rsidR="00762CF4" w:rsidRPr="0023401E">
        <w:rPr>
          <w:rFonts w:ascii="Times New Roman" w:eastAsiaTheme="minorHAnsi" w:hAnsi="Times New Roman"/>
          <w:i/>
          <w:szCs w:val="22"/>
        </w:rPr>
        <w:t>Public Governance, Performance and Accountability Act 2013</w:t>
      </w:r>
      <w:r w:rsidR="00762CF4">
        <w:rPr>
          <w:rFonts w:ascii="Times New Roman" w:eastAsiaTheme="minorHAnsi" w:hAnsi="Times New Roman"/>
          <w:i/>
          <w:szCs w:val="22"/>
        </w:rPr>
        <w:t xml:space="preserve"> </w:t>
      </w:r>
      <w:r w:rsidR="002F2F2F">
        <w:rPr>
          <w:rFonts w:ascii="Times New Roman" w:eastAsiaTheme="minorHAnsi" w:hAnsi="Times New Roman"/>
          <w:szCs w:val="22"/>
        </w:rPr>
        <w:t>are to be given preference when conducting an investigation of an alleged case of fraud.</w:t>
      </w:r>
    </w:p>
    <w:p w:rsidR="00402042" w:rsidRPr="000506CE" w:rsidRDefault="000506CE" w:rsidP="00996E41">
      <w:pPr>
        <w:spacing w:after="120" w:line="276" w:lineRule="auto"/>
        <w:jc w:val="both"/>
        <w:rPr>
          <w:rFonts w:ascii="Times New Roman" w:eastAsiaTheme="minorHAnsi" w:hAnsi="Times New Roman"/>
          <w:szCs w:val="22"/>
        </w:rPr>
      </w:pPr>
      <w:r>
        <w:rPr>
          <w:rFonts w:ascii="Times New Roman" w:eastAsiaTheme="minorHAnsi" w:hAnsi="Times New Roman"/>
          <w:szCs w:val="22"/>
        </w:rPr>
        <w:t xml:space="preserve">Section 2 </w:t>
      </w:r>
      <w:r w:rsidR="00EF3CFE">
        <w:rPr>
          <w:rFonts w:ascii="Times New Roman" w:eastAsiaTheme="minorHAnsi" w:hAnsi="Times New Roman"/>
          <w:szCs w:val="22"/>
        </w:rPr>
        <w:t>repeals N</w:t>
      </w:r>
      <w:r>
        <w:rPr>
          <w:rFonts w:ascii="Times New Roman" w:eastAsiaTheme="minorHAnsi" w:hAnsi="Times New Roman"/>
          <w:szCs w:val="22"/>
        </w:rPr>
        <w:t xml:space="preserve">ote 1 to subsection 8(2) of the </w:t>
      </w:r>
      <w:r w:rsidRPr="00B031A3">
        <w:rPr>
          <w:rFonts w:ascii="Times New Roman" w:eastAsiaTheme="minorHAnsi" w:hAnsi="Times New Roman"/>
          <w:i/>
          <w:szCs w:val="22"/>
        </w:rPr>
        <w:t>Public Interest Disclosure Standard 2013</w:t>
      </w:r>
      <w:r w:rsidR="00E84585">
        <w:rPr>
          <w:rFonts w:ascii="Times New Roman" w:eastAsiaTheme="minorHAnsi" w:hAnsi="Times New Roman"/>
          <w:szCs w:val="22"/>
        </w:rPr>
        <w:t>,</w:t>
      </w:r>
      <w:r>
        <w:rPr>
          <w:rFonts w:ascii="Times New Roman" w:eastAsiaTheme="minorHAnsi" w:hAnsi="Times New Roman"/>
          <w:i/>
          <w:szCs w:val="22"/>
        </w:rPr>
        <w:t xml:space="preserve"> </w:t>
      </w:r>
      <w:r>
        <w:rPr>
          <w:rFonts w:ascii="Times New Roman" w:eastAsiaTheme="minorHAnsi" w:hAnsi="Times New Roman"/>
          <w:szCs w:val="22"/>
        </w:rPr>
        <w:t xml:space="preserve">and replaces it </w:t>
      </w:r>
      <w:r w:rsidR="00EF3CFE">
        <w:rPr>
          <w:rFonts w:ascii="Times New Roman" w:eastAsiaTheme="minorHAnsi" w:hAnsi="Times New Roman"/>
          <w:szCs w:val="22"/>
        </w:rPr>
        <w:t>with a new Note 1 that</w:t>
      </w:r>
      <w:r>
        <w:rPr>
          <w:rFonts w:ascii="Times New Roman" w:eastAsiaTheme="minorHAnsi" w:hAnsi="Times New Roman"/>
          <w:szCs w:val="22"/>
        </w:rPr>
        <w:t xml:space="preserve"> explain</w:t>
      </w:r>
      <w:r w:rsidR="00EF3CFE">
        <w:rPr>
          <w:rFonts w:ascii="Times New Roman" w:eastAsiaTheme="minorHAnsi" w:hAnsi="Times New Roman"/>
          <w:szCs w:val="22"/>
        </w:rPr>
        <w:t>s</w:t>
      </w:r>
      <w:r>
        <w:rPr>
          <w:rFonts w:ascii="Times New Roman" w:eastAsiaTheme="minorHAnsi" w:hAnsi="Times New Roman"/>
          <w:szCs w:val="22"/>
        </w:rPr>
        <w:t xml:space="preserve"> the legislative authority that requires princip</w:t>
      </w:r>
      <w:r w:rsidR="00EF3CFE">
        <w:rPr>
          <w:rFonts w:ascii="Times New Roman" w:eastAsiaTheme="minorHAnsi" w:hAnsi="Times New Roman"/>
          <w:szCs w:val="22"/>
        </w:rPr>
        <w:t>a</w:t>
      </w:r>
      <w:r>
        <w:rPr>
          <w:rFonts w:ascii="Times New Roman" w:eastAsiaTheme="minorHAnsi" w:hAnsi="Times New Roman"/>
          <w:szCs w:val="22"/>
        </w:rPr>
        <w:t>l officers to act in accordance with any rules relating to fraud</w:t>
      </w:r>
      <w:r w:rsidR="00EF3CFE">
        <w:rPr>
          <w:rFonts w:ascii="Times New Roman" w:eastAsiaTheme="minorHAnsi" w:hAnsi="Times New Roman"/>
          <w:szCs w:val="22"/>
        </w:rPr>
        <w:t xml:space="preserve"> (S</w:t>
      </w:r>
      <w:r>
        <w:rPr>
          <w:rFonts w:ascii="Times New Roman" w:eastAsiaTheme="minorHAnsi" w:hAnsi="Times New Roman"/>
          <w:szCs w:val="22"/>
        </w:rPr>
        <w:t>ubsection 53(4) of the PID Act</w:t>
      </w:r>
      <w:r w:rsidR="00EF3CFE">
        <w:rPr>
          <w:rFonts w:ascii="Times New Roman" w:eastAsiaTheme="minorHAnsi" w:hAnsi="Times New Roman"/>
          <w:szCs w:val="22"/>
        </w:rPr>
        <w:t>)</w:t>
      </w:r>
      <w:r>
        <w:rPr>
          <w:rFonts w:ascii="Times New Roman" w:eastAsiaTheme="minorHAnsi" w:hAnsi="Times New Roman"/>
          <w:szCs w:val="22"/>
        </w:rPr>
        <w:t>.</w:t>
      </w:r>
    </w:p>
    <w:p w:rsidR="00402042" w:rsidRPr="0083797F" w:rsidRDefault="00655D4C" w:rsidP="00996E41">
      <w:pPr>
        <w:spacing w:after="120" w:line="276" w:lineRule="auto"/>
        <w:jc w:val="both"/>
        <w:rPr>
          <w:rFonts w:ascii="Times New Roman" w:eastAsiaTheme="minorHAnsi" w:hAnsi="Times New Roman"/>
          <w:szCs w:val="22"/>
        </w:rPr>
      </w:pPr>
      <w:r>
        <w:rPr>
          <w:rFonts w:ascii="Times New Roman" w:eastAsiaTheme="minorHAnsi" w:hAnsi="Times New Roman"/>
          <w:szCs w:val="22"/>
        </w:rPr>
        <w:t>Section 3 adds a new Part 6</w:t>
      </w:r>
      <w:r w:rsidR="00187149">
        <w:rPr>
          <w:rFonts w:ascii="Times New Roman" w:eastAsiaTheme="minorHAnsi" w:hAnsi="Times New Roman"/>
          <w:szCs w:val="22"/>
        </w:rPr>
        <w:t xml:space="preserve"> which contains transitional</w:t>
      </w:r>
      <w:r>
        <w:rPr>
          <w:rFonts w:ascii="Times New Roman" w:eastAsiaTheme="minorHAnsi" w:hAnsi="Times New Roman"/>
          <w:szCs w:val="22"/>
        </w:rPr>
        <w:t xml:space="preserve"> provisions</w:t>
      </w:r>
      <w:r w:rsidR="00187149">
        <w:rPr>
          <w:rFonts w:ascii="Times New Roman" w:eastAsiaTheme="minorHAnsi" w:hAnsi="Times New Roman"/>
          <w:szCs w:val="22"/>
        </w:rPr>
        <w:t>. Part 6</w:t>
      </w:r>
      <w:r>
        <w:rPr>
          <w:rFonts w:ascii="Times New Roman" w:eastAsiaTheme="minorHAnsi" w:hAnsi="Times New Roman"/>
          <w:szCs w:val="22"/>
        </w:rPr>
        <w:t xml:space="preserve"> provide</w:t>
      </w:r>
      <w:r w:rsidR="00187149">
        <w:rPr>
          <w:rFonts w:ascii="Times New Roman" w:eastAsiaTheme="minorHAnsi" w:hAnsi="Times New Roman"/>
          <w:szCs w:val="22"/>
        </w:rPr>
        <w:t>s</w:t>
      </w:r>
      <w:r>
        <w:rPr>
          <w:rFonts w:ascii="Times New Roman" w:eastAsiaTheme="minorHAnsi" w:hAnsi="Times New Roman"/>
          <w:szCs w:val="22"/>
        </w:rPr>
        <w:t xml:space="preserve"> for the continued application of section 8 of the </w:t>
      </w:r>
      <w:r w:rsidRPr="00B031A3">
        <w:rPr>
          <w:rFonts w:ascii="Times New Roman" w:eastAsiaTheme="minorHAnsi" w:hAnsi="Times New Roman"/>
          <w:i/>
          <w:szCs w:val="22"/>
        </w:rPr>
        <w:t>Public Interest Disclosure Standard 2013</w:t>
      </w:r>
      <w:r>
        <w:rPr>
          <w:rFonts w:ascii="Times New Roman" w:eastAsiaTheme="minorHAnsi" w:hAnsi="Times New Roman"/>
          <w:i/>
          <w:szCs w:val="22"/>
        </w:rPr>
        <w:t xml:space="preserve"> </w:t>
      </w:r>
      <w:r>
        <w:rPr>
          <w:rFonts w:ascii="Times New Roman" w:eastAsiaTheme="minorHAnsi" w:hAnsi="Times New Roman"/>
          <w:szCs w:val="22"/>
        </w:rPr>
        <w:t>to investigations not completed prior to 1 July 2014. That is to say</w:t>
      </w:r>
      <w:r w:rsidR="0083797F">
        <w:rPr>
          <w:rFonts w:ascii="Times New Roman" w:eastAsiaTheme="minorHAnsi" w:hAnsi="Times New Roman"/>
          <w:szCs w:val="22"/>
        </w:rPr>
        <w:t>,</w:t>
      </w:r>
      <w:r>
        <w:rPr>
          <w:rFonts w:ascii="Times New Roman" w:eastAsiaTheme="minorHAnsi" w:hAnsi="Times New Roman"/>
          <w:szCs w:val="22"/>
        </w:rPr>
        <w:t xml:space="preserve"> the Standard in its unamended form will continue to apply to investigations where</w:t>
      </w:r>
      <w:r w:rsidR="0083797F">
        <w:rPr>
          <w:rFonts w:ascii="Times New Roman" w:eastAsiaTheme="minorHAnsi" w:hAnsi="Times New Roman"/>
          <w:szCs w:val="22"/>
        </w:rPr>
        <w:t>,</w:t>
      </w:r>
      <w:r>
        <w:rPr>
          <w:rFonts w:ascii="Times New Roman" w:eastAsiaTheme="minorHAnsi" w:hAnsi="Times New Roman"/>
          <w:szCs w:val="22"/>
        </w:rPr>
        <w:t xml:space="preserve"> </w:t>
      </w:r>
      <w:r w:rsidR="0083797F">
        <w:rPr>
          <w:rFonts w:ascii="Times New Roman" w:eastAsiaTheme="minorHAnsi" w:hAnsi="Times New Roman"/>
          <w:szCs w:val="22"/>
        </w:rPr>
        <w:t xml:space="preserve">by virtue of section 87 of the </w:t>
      </w:r>
      <w:r w:rsidR="0083797F">
        <w:rPr>
          <w:rFonts w:ascii="Times New Roman" w:eastAsiaTheme="minorHAnsi" w:hAnsi="Times New Roman"/>
          <w:i/>
          <w:szCs w:val="22"/>
        </w:rPr>
        <w:t>Public Interest Discl</w:t>
      </w:r>
      <w:r w:rsidR="0083797F" w:rsidRPr="0083797F">
        <w:rPr>
          <w:rFonts w:ascii="Times New Roman" w:eastAsiaTheme="minorHAnsi" w:hAnsi="Times New Roman"/>
          <w:i/>
          <w:szCs w:val="22"/>
        </w:rPr>
        <w:t>o</w:t>
      </w:r>
      <w:r w:rsidR="0083797F">
        <w:rPr>
          <w:rFonts w:ascii="Times New Roman" w:eastAsiaTheme="minorHAnsi" w:hAnsi="Times New Roman"/>
          <w:i/>
          <w:szCs w:val="22"/>
        </w:rPr>
        <w:t>sure Act 2013</w:t>
      </w:r>
      <w:r w:rsidR="0083797F" w:rsidRPr="0083797F">
        <w:rPr>
          <w:rFonts w:ascii="Times New Roman" w:eastAsiaTheme="minorHAnsi" w:hAnsi="Times New Roman"/>
          <w:szCs w:val="22"/>
        </w:rPr>
        <w:t>,</w:t>
      </w:r>
      <w:r w:rsidR="0083797F">
        <w:rPr>
          <w:rFonts w:ascii="Times New Roman" w:eastAsiaTheme="minorHAnsi" w:hAnsi="Times New Roman"/>
          <w:i/>
          <w:szCs w:val="22"/>
        </w:rPr>
        <w:t xml:space="preserve"> </w:t>
      </w:r>
      <w:r w:rsidR="0083797F">
        <w:rPr>
          <w:rFonts w:ascii="Times New Roman" w:eastAsiaTheme="minorHAnsi" w:hAnsi="Times New Roman"/>
          <w:szCs w:val="22"/>
        </w:rPr>
        <w:t>a principal officer is still required to act in accordance with the Commonwealth Fraud Control Guidelines.</w:t>
      </w:r>
    </w:p>
    <w:p w:rsidR="00402042" w:rsidRDefault="00402042" w:rsidP="00996E41">
      <w:pPr>
        <w:spacing w:after="120" w:line="276" w:lineRule="auto"/>
        <w:jc w:val="both"/>
        <w:rPr>
          <w:rFonts w:ascii="Times New Roman" w:eastAsiaTheme="minorHAnsi" w:hAnsi="Times New Roman"/>
          <w:szCs w:val="22"/>
        </w:rPr>
      </w:pPr>
    </w:p>
    <w:p w:rsidR="00402042" w:rsidRDefault="00402042" w:rsidP="00996E41">
      <w:pPr>
        <w:spacing w:after="120" w:line="276" w:lineRule="auto"/>
        <w:jc w:val="both"/>
        <w:rPr>
          <w:rFonts w:ascii="Times New Roman" w:eastAsiaTheme="minorHAnsi" w:hAnsi="Times New Roman"/>
          <w:szCs w:val="22"/>
        </w:rPr>
      </w:pPr>
    </w:p>
    <w:p w:rsidR="00402042" w:rsidRDefault="00402042" w:rsidP="00996E41">
      <w:pPr>
        <w:spacing w:after="120" w:line="276" w:lineRule="auto"/>
        <w:jc w:val="both"/>
        <w:rPr>
          <w:rFonts w:ascii="Times New Roman" w:eastAsiaTheme="minorHAnsi" w:hAnsi="Times New Roman"/>
          <w:szCs w:val="22"/>
        </w:rPr>
      </w:pPr>
    </w:p>
    <w:p w:rsidR="00402042" w:rsidRDefault="00402042" w:rsidP="00996E41">
      <w:pPr>
        <w:spacing w:after="120" w:line="276" w:lineRule="auto"/>
        <w:jc w:val="both"/>
        <w:rPr>
          <w:rFonts w:ascii="Times New Roman" w:eastAsiaTheme="minorHAnsi" w:hAnsi="Times New Roman"/>
          <w:szCs w:val="22"/>
        </w:rPr>
      </w:pPr>
    </w:p>
    <w:p w:rsidR="00402042" w:rsidRPr="00402042" w:rsidRDefault="00402042" w:rsidP="00402042">
      <w:pPr>
        <w:tabs>
          <w:tab w:val="right" w:pos="1021"/>
        </w:tabs>
        <w:spacing w:before="180" w:after="240"/>
        <w:ind w:left="1134" w:hanging="1134"/>
        <w:jc w:val="center"/>
        <w:rPr>
          <w:rFonts w:ascii="Times New Roman" w:hAnsi="Times New Roman"/>
          <w:b/>
          <w:szCs w:val="20"/>
          <w:lang w:eastAsia="en-AU"/>
        </w:rPr>
      </w:pPr>
      <w:r w:rsidRPr="00402042">
        <w:rPr>
          <w:rFonts w:ascii="Times New Roman" w:hAnsi="Times New Roman"/>
          <w:b/>
          <w:szCs w:val="20"/>
          <w:lang w:eastAsia="en-AU"/>
        </w:rPr>
        <w:lastRenderedPageBreak/>
        <w:t>Statement of Compatibility with Human Rights</w:t>
      </w:r>
    </w:p>
    <w:p w:rsidR="00402042" w:rsidRPr="00402042" w:rsidRDefault="00402042" w:rsidP="00402042">
      <w:pPr>
        <w:tabs>
          <w:tab w:val="right" w:pos="1021"/>
        </w:tabs>
        <w:spacing w:before="180" w:after="360"/>
        <w:ind w:left="1134" w:hanging="1134"/>
        <w:jc w:val="center"/>
        <w:rPr>
          <w:rFonts w:ascii="Times New Roman" w:hAnsi="Times New Roman"/>
          <w:sz w:val="24"/>
          <w:szCs w:val="20"/>
          <w:lang w:eastAsia="en-AU"/>
        </w:rPr>
      </w:pPr>
      <w:r w:rsidRPr="00402042">
        <w:rPr>
          <w:rFonts w:ascii="Times New Roman" w:hAnsi="Times New Roman"/>
          <w:szCs w:val="20"/>
          <w:lang w:eastAsia="en-AU"/>
        </w:rPr>
        <w:t xml:space="preserve">Prepared in accordance with Part 3 of the </w:t>
      </w:r>
      <w:r w:rsidRPr="00402042">
        <w:rPr>
          <w:rFonts w:ascii="Times New Roman" w:hAnsi="Times New Roman"/>
          <w:i/>
          <w:szCs w:val="20"/>
          <w:lang w:eastAsia="en-AU"/>
        </w:rPr>
        <w:t>Human Rights (Parliamentary Scrutiny) Act 2011</w:t>
      </w:r>
    </w:p>
    <w:p w:rsidR="00402042" w:rsidRPr="00402042" w:rsidRDefault="00402042" w:rsidP="00402042">
      <w:pPr>
        <w:tabs>
          <w:tab w:val="right" w:pos="1021"/>
        </w:tabs>
        <w:spacing w:after="360"/>
        <w:ind w:left="1134" w:hanging="1134"/>
        <w:jc w:val="center"/>
        <w:rPr>
          <w:rFonts w:ascii="Times New Roman" w:hAnsi="Times New Roman"/>
          <w:i/>
          <w:szCs w:val="20"/>
          <w:lang w:eastAsia="en-AU"/>
        </w:rPr>
      </w:pPr>
      <w:r w:rsidRPr="00402042">
        <w:rPr>
          <w:rFonts w:ascii="Times New Roman" w:hAnsi="Times New Roman"/>
          <w:i/>
          <w:szCs w:val="20"/>
          <w:lang w:eastAsia="en-AU"/>
        </w:rPr>
        <w:t xml:space="preserve">Public Interest Disclosure </w:t>
      </w:r>
      <w:r w:rsidR="00B031A3">
        <w:rPr>
          <w:rFonts w:ascii="Times New Roman" w:hAnsi="Times New Roman"/>
          <w:i/>
          <w:szCs w:val="20"/>
          <w:lang w:eastAsia="en-AU"/>
        </w:rPr>
        <w:t xml:space="preserve">Amendment (Conduct of Investigations) </w:t>
      </w:r>
      <w:r w:rsidRPr="00402042">
        <w:rPr>
          <w:rFonts w:ascii="Times New Roman" w:hAnsi="Times New Roman"/>
          <w:i/>
          <w:szCs w:val="20"/>
          <w:lang w:eastAsia="en-AU"/>
        </w:rPr>
        <w:t>Standard 201</w:t>
      </w:r>
      <w:r w:rsidR="00B031A3">
        <w:rPr>
          <w:rFonts w:ascii="Times New Roman" w:hAnsi="Times New Roman"/>
          <w:i/>
          <w:szCs w:val="20"/>
          <w:lang w:eastAsia="en-AU"/>
        </w:rPr>
        <w:t>4</w:t>
      </w:r>
    </w:p>
    <w:p w:rsidR="00402042" w:rsidRPr="00402042" w:rsidRDefault="00402042" w:rsidP="00402042">
      <w:pPr>
        <w:tabs>
          <w:tab w:val="right" w:pos="0"/>
        </w:tabs>
        <w:jc w:val="center"/>
        <w:rPr>
          <w:rFonts w:ascii="Times New Roman" w:hAnsi="Times New Roman"/>
          <w:szCs w:val="20"/>
          <w:lang w:eastAsia="en-AU"/>
        </w:rPr>
      </w:pPr>
      <w:r w:rsidRPr="00402042">
        <w:rPr>
          <w:rFonts w:ascii="Times New Roman" w:hAnsi="Times New Roman"/>
          <w:szCs w:val="20"/>
          <w:lang w:eastAsia="en-AU"/>
        </w:rPr>
        <w:t xml:space="preserve">This Legislative Instrument is compatible with the human rights and freedoms recognised or declared in the international instruments listed in section 3 of the </w:t>
      </w:r>
    </w:p>
    <w:p w:rsidR="00402042" w:rsidRPr="00402042" w:rsidRDefault="00402042" w:rsidP="00402042">
      <w:pPr>
        <w:tabs>
          <w:tab w:val="right" w:pos="0"/>
        </w:tabs>
        <w:jc w:val="center"/>
        <w:rPr>
          <w:rFonts w:ascii="Times New Roman" w:hAnsi="Times New Roman"/>
          <w:i/>
          <w:szCs w:val="20"/>
          <w:lang w:eastAsia="en-AU"/>
        </w:rPr>
      </w:pPr>
      <w:r w:rsidRPr="00402042">
        <w:rPr>
          <w:rFonts w:ascii="Times New Roman" w:hAnsi="Times New Roman"/>
          <w:i/>
          <w:szCs w:val="20"/>
          <w:lang w:eastAsia="en-AU"/>
        </w:rPr>
        <w:t>Human Rights (Parliamentary Scrutiny) Act 2011</w:t>
      </w:r>
      <w:r w:rsidRPr="00402042">
        <w:rPr>
          <w:rFonts w:ascii="Times New Roman" w:hAnsi="Times New Roman"/>
          <w:szCs w:val="20"/>
          <w:lang w:eastAsia="en-AU"/>
        </w:rPr>
        <w:t>.</w:t>
      </w:r>
    </w:p>
    <w:p w:rsidR="00402042" w:rsidRPr="00402042" w:rsidRDefault="00402042" w:rsidP="00402042">
      <w:pPr>
        <w:tabs>
          <w:tab w:val="right" w:pos="1021"/>
        </w:tabs>
        <w:spacing w:before="180"/>
        <w:jc w:val="both"/>
        <w:rPr>
          <w:rFonts w:ascii="Times New Roman" w:hAnsi="Times New Roman"/>
          <w:szCs w:val="20"/>
          <w:lang w:eastAsia="en-AU"/>
        </w:rPr>
      </w:pPr>
    </w:p>
    <w:p w:rsidR="00402042" w:rsidRPr="00402042" w:rsidRDefault="00402042" w:rsidP="00402042">
      <w:pPr>
        <w:tabs>
          <w:tab w:val="right" w:pos="1021"/>
        </w:tabs>
        <w:spacing w:before="180"/>
        <w:ind w:left="1134" w:hanging="1134"/>
        <w:jc w:val="both"/>
        <w:rPr>
          <w:rFonts w:ascii="Times New Roman" w:hAnsi="Times New Roman"/>
          <w:b/>
          <w:szCs w:val="20"/>
          <w:lang w:eastAsia="en-AU"/>
        </w:rPr>
      </w:pPr>
      <w:r w:rsidRPr="00402042">
        <w:rPr>
          <w:rFonts w:ascii="Times New Roman" w:hAnsi="Times New Roman"/>
          <w:b/>
          <w:szCs w:val="20"/>
          <w:lang w:eastAsia="en-AU"/>
        </w:rPr>
        <w:t>Overview of the Legislative Instrument</w:t>
      </w:r>
    </w:p>
    <w:p w:rsidR="00402042" w:rsidRPr="00402042" w:rsidRDefault="00402042" w:rsidP="00285268">
      <w:pPr>
        <w:tabs>
          <w:tab w:val="right" w:pos="0"/>
        </w:tabs>
        <w:spacing w:before="120" w:after="120"/>
        <w:jc w:val="both"/>
        <w:rPr>
          <w:rFonts w:ascii="Times New Roman" w:eastAsia="Calibri" w:hAnsi="Times New Roman"/>
          <w:szCs w:val="22"/>
        </w:rPr>
      </w:pPr>
      <w:r w:rsidRPr="00402042">
        <w:rPr>
          <w:rFonts w:ascii="Times New Roman" w:hAnsi="Times New Roman"/>
          <w:szCs w:val="20"/>
          <w:lang w:eastAsia="en-AU"/>
        </w:rPr>
        <w:t xml:space="preserve">This Legislative Instrument </w:t>
      </w:r>
      <w:r w:rsidR="00C735B8">
        <w:rPr>
          <w:rFonts w:ascii="Times New Roman" w:hAnsi="Times New Roman"/>
          <w:szCs w:val="20"/>
          <w:lang w:eastAsia="en-AU"/>
        </w:rPr>
        <w:t>amends P</w:t>
      </w:r>
      <w:r w:rsidR="00285268">
        <w:rPr>
          <w:rFonts w:ascii="Times New Roman" w:hAnsi="Times New Roman"/>
          <w:szCs w:val="20"/>
          <w:lang w:eastAsia="en-AU"/>
        </w:rPr>
        <w:t xml:space="preserve">art 3 of the </w:t>
      </w:r>
      <w:r w:rsidR="00285268" w:rsidRPr="00B031A3">
        <w:rPr>
          <w:rFonts w:ascii="Times New Roman" w:eastAsiaTheme="minorHAnsi" w:hAnsi="Times New Roman"/>
          <w:i/>
          <w:szCs w:val="22"/>
        </w:rPr>
        <w:t>Public Interest Disclosure Standard 2013</w:t>
      </w:r>
      <w:r w:rsidR="00285268">
        <w:rPr>
          <w:rFonts w:ascii="Times New Roman" w:eastAsiaTheme="minorHAnsi" w:hAnsi="Times New Roman"/>
          <w:i/>
          <w:szCs w:val="22"/>
        </w:rPr>
        <w:t xml:space="preserve"> </w:t>
      </w:r>
      <w:r w:rsidR="00C735B8" w:rsidRPr="00C735B8">
        <w:rPr>
          <w:rFonts w:ascii="Times New Roman" w:eastAsiaTheme="minorHAnsi" w:hAnsi="Times New Roman"/>
          <w:szCs w:val="22"/>
        </w:rPr>
        <w:t>(the Standard)</w:t>
      </w:r>
      <w:r w:rsidR="00C735B8">
        <w:rPr>
          <w:rFonts w:ascii="Times New Roman" w:eastAsiaTheme="minorHAnsi" w:hAnsi="Times New Roman"/>
          <w:szCs w:val="22"/>
        </w:rPr>
        <w:t xml:space="preserve"> </w:t>
      </w:r>
      <w:r w:rsidR="00285268">
        <w:rPr>
          <w:rFonts w:ascii="Times New Roman" w:eastAsiaTheme="minorHAnsi" w:hAnsi="Times New Roman"/>
          <w:szCs w:val="22"/>
        </w:rPr>
        <w:t xml:space="preserve">relating to the conduct of investigations under the </w:t>
      </w:r>
      <w:r w:rsidRPr="00402042">
        <w:rPr>
          <w:rFonts w:ascii="Times New Roman" w:hAnsi="Times New Roman"/>
          <w:i/>
          <w:szCs w:val="20"/>
          <w:lang w:eastAsia="en-AU"/>
        </w:rPr>
        <w:t>Public Interest Disclosure Act 2013</w:t>
      </w:r>
      <w:r w:rsidR="00285268">
        <w:rPr>
          <w:rFonts w:ascii="Times New Roman" w:hAnsi="Times New Roman"/>
          <w:szCs w:val="20"/>
          <w:lang w:eastAsia="en-AU"/>
        </w:rPr>
        <w:t xml:space="preserve"> (the PID Act).</w:t>
      </w:r>
    </w:p>
    <w:p w:rsidR="00402042" w:rsidRPr="00402042" w:rsidRDefault="00C735B8" w:rsidP="00402042">
      <w:pPr>
        <w:tabs>
          <w:tab w:val="right" w:pos="0"/>
        </w:tabs>
        <w:spacing w:before="120" w:after="120"/>
        <w:jc w:val="both"/>
        <w:rPr>
          <w:rFonts w:ascii="Times New Roman" w:hAnsi="Times New Roman"/>
          <w:szCs w:val="20"/>
          <w:lang w:eastAsia="en-AU"/>
        </w:rPr>
      </w:pPr>
      <w:r>
        <w:rPr>
          <w:rFonts w:ascii="Times New Roman" w:hAnsi="Times New Roman"/>
          <w:szCs w:val="20"/>
          <w:lang w:eastAsia="en-AU"/>
        </w:rPr>
        <w:t>The Standard, including Part 3,</w:t>
      </w:r>
      <w:r w:rsidR="00402042" w:rsidRPr="00402042">
        <w:rPr>
          <w:rFonts w:ascii="Times New Roman" w:hAnsi="Times New Roman"/>
          <w:szCs w:val="20"/>
          <w:lang w:eastAsia="en-AU"/>
        </w:rPr>
        <w:t xml:space="preserve"> </w:t>
      </w:r>
      <w:r>
        <w:rPr>
          <w:rFonts w:ascii="Times New Roman" w:hAnsi="Times New Roman"/>
          <w:szCs w:val="20"/>
          <w:lang w:eastAsia="en-AU"/>
        </w:rPr>
        <w:t>is</w:t>
      </w:r>
      <w:r w:rsidR="00402042" w:rsidRPr="00402042">
        <w:rPr>
          <w:rFonts w:ascii="Times New Roman" w:hAnsi="Times New Roman"/>
          <w:szCs w:val="20"/>
          <w:lang w:eastAsia="en-AU"/>
        </w:rPr>
        <w:t xml:space="preserve"> largely mechanical or procedural in nature. </w:t>
      </w:r>
      <w:r>
        <w:rPr>
          <w:rFonts w:ascii="Times New Roman" w:hAnsi="Times New Roman"/>
          <w:szCs w:val="20"/>
          <w:lang w:eastAsia="en-AU"/>
        </w:rPr>
        <w:t>It</w:t>
      </w:r>
      <w:r w:rsidR="00402042" w:rsidRPr="00402042">
        <w:rPr>
          <w:rFonts w:ascii="Times New Roman" w:hAnsi="Times New Roman"/>
          <w:szCs w:val="20"/>
          <w:lang w:eastAsia="en-AU"/>
        </w:rPr>
        <w:t xml:space="preserve"> address</w:t>
      </w:r>
      <w:r>
        <w:rPr>
          <w:rFonts w:ascii="Times New Roman" w:hAnsi="Times New Roman"/>
          <w:szCs w:val="20"/>
          <w:lang w:eastAsia="en-AU"/>
        </w:rPr>
        <w:t>es such</w:t>
      </w:r>
      <w:r w:rsidR="00402042" w:rsidRPr="00402042">
        <w:rPr>
          <w:rFonts w:ascii="Times New Roman" w:hAnsi="Times New Roman"/>
          <w:szCs w:val="20"/>
          <w:lang w:eastAsia="en-AU"/>
        </w:rPr>
        <w:t xml:space="preserve"> things </w:t>
      </w:r>
      <w:r>
        <w:rPr>
          <w:rFonts w:ascii="Times New Roman" w:hAnsi="Times New Roman"/>
          <w:szCs w:val="20"/>
          <w:lang w:eastAsia="en-AU"/>
        </w:rPr>
        <w:t xml:space="preserve">as </w:t>
      </w:r>
      <w:r w:rsidR="00402042" w:rsidRPr="00402042">
        <w:rPr>
          <w:rFonts w:ascii="Times New Roman" w:hAnsi="Times New Roman"/>
          <w:szCs w:val="20"/>
          <w:lang w:eastAsia="en-AU"/>
        </w:rPr>
        <w:t>what a principal officer needs to include in his or her procedures for dealing with internal disclosures (for example, requirements around contact with disclosers, decision-making and record-keeping), what a principal officer of an agency needs to do when interviewing a person during an investigation, and what details need to be included in a re</w:t>
      </w:r>
      <w:r w:rsidR="00F35675">
        <w:rPr>
          <w:rFonts w:ascii="Times New Roman" w:hAnsi="Times New Roman"/>
          <w:szCs w:val="20"/>
          <w:lang w:eastAsia="en-AU"/>
        </w:rPr>
        <w:t>port of an investigation that i</w:t>
      </w:r>
      <w:r w:rsidR="00402042" w:rsidRPr="00402042">
        <w:rPr>
          <w:rFonts w:ascii="Times New Roman" w:hAnsi="Times New Roman"/>
          <w:szCs w:val="20"/>
          <w:lang w:eastAsia="en-AU"/>
        </w:rPr>
        <w:t xml:space="preserve">s conducted under the Act.  </w:t>
      </w:r>
    </w:p>
    <w:p w:rsidR="00402042" w:rsidRPr="00402042" w:rsidRDefault="00402042" w:rsidP="00402042">
      <w:pPr>
        <w:tabs>
          <w:tab w:val="right" w:pos="0"/>
        </w:tabs>
        <w:spacing w:before="120" w:after="120"/>
        <w:jc w:val="both"/>
        <w:rPr>
          <w:rFonts w:ascii="Times New Roman" w:hAnsi="Times New Roman"/>
          <w:szCs w:val="20"/>
          <w:lang w:eastAsia="en-AU"/>
        </w:rPr>
      </w:pPr>
      <w:r w:rsidRPr="00402042">
        <w:rPr>
          <w:rFonts w:ascii="Times New Roman" w:hAnsi="Times New Roman"/>
          <w:szCs w:val="20"/>
          <w:lang w:eastAsia="en-AU"/>
        </w:rPr>
        <w:t>As contemplated by the</w:t>
      </w:r>
      <w:r w:rsidR="00C735B8">
        <w:rPr>
          <w:rFonts w:ascii="Times New Roman" w:hAnsi="Times New Roman"/>
          <w:szCs w:val="20"/>
          <w:lang w:eastAsia="en-AU"/>
        </w:rPr>
        <w:t xml:space="preserve"> PID</w:t>
      </w:r>
      <w:r w:rsidRPr="00402042">
        <w:rPr>
          <w:rFonts w:ascii="Times New Roman" w:hAnsi="Times New Roman"/>
          <w:szCs w:val="20"/>
          <w:lang w:eastAsia="en-AU"/>
        </w:rPr>
        <w:t xml:space="preserve"> Act, the </w:t>
      </w:r>
      <w:r w:rsidR="0005389C">
        <w:rPr>
          <w:rFonts w:ascii="Times New Roman" w:hAnsi="Times New Roman"/>
          <w:szCs w:val="20"/>
          <w:lang w:eastAsia="en-AU"/>
        </w:rPr>
        <w:t>S</w:t>
      </w:r>
      <w:r w:rsidRPr="00402042">
        <w:rPr>
          <w:rFonts w:ascii="Times New Roman" w:hAnsi="Times New Roman"/>
          <w:szCs w:val="20"/>
          <w:lang w:eastAsia="en-AU"/>
        </w:rPr>
        <w:t xml:space="preserve">tandard </w:t>
      </w:r>
      <w:r w:rsidR="00C735B8">
        <w:rPr>
          <w:rFonts w:ascii="Times New Roman" w:hAnsi="Times New Roman"/>
          <w:szCs w:val="20"/>
          <w:lang w:eastAsia="en-AU"/>
        </w:rPr>
        <w:t>is</w:t>
      </w:r>
      <w:r w:rsidRPr="00402042">
        <w:rPr>
          <w:rFonts w:ascii="Times New Roman" w:hAnsi="Times New Roman"/>
          <w:szCs w:val="20"/>
          <w:lang w:eastAsia="en-AU"/>
        </w:rPr>
        <w:t xml:space="preserve"> effectively directed at principal officers of agencies that are affected by the operation of the </w:t>
      </w:r>
      <w:r w:rsidR="00285268">
        <w:rPr>
          <w:rFonts w:ascii="Times New Roman" w:hAnsi="Times New Roman"/>
          <w:szCs w:val="20"/>
          <w:lang w:eastAsia="en-AU"/>
        </w:rPr>
        <w:t xml:space="preserve">PID </w:t>
      </w:r>
      <w:r w:rsidRPr="00402042">
        <w:rPr>
          <w:rFonts w:ascii="Times New Roman" w:hAnsi="Times New Roman"/>
          <w:szCs w:val="20"/>
          <w:lang w:eastAsia="en-AU"/>
        </w:rPr>
        <w:t>Act—namely, agencies that are, broadly speaking, related to or managed by t</w:t>
      </w:r>
      <w:r w:rsidR="0005389C">
        <w:rPr>
          <w:rFonts w:ascii="Times New Roman" w:hAnsi="Times New Roman"/>
          <w:szCs w:val="20"/>
          <w:lang w:eastAsia="en-AU"/>
        </w:rPr>
        <w:t>he Australian Government.  The S</w:t>
      </w:r>
      <w:r w:rsidRPr="00402042">
        <w:rPr>
          <w:rFonts w:ascii="Times New Roman" w:hAnsi="Times New Roman"/>
          <w:szCs w:val="20"/>
          <w:lang w:eastAsia="en-AU"/>
        </w:rPr>
        <w:t>tandard do</w:t>
      </w:r>
      <w:r w:rsidR="0005389C">
        <w:rPr>
          <w:rFonts w:ascii="Times New Roman" w:hAnsi="Times New Roman"/>
          <w:szCs w:val="20"/>
          <w:lang w:eastAsia="en-AU"/>
        </w:rPr>
        <w:t>es</w:t>
      </w:r>
      <w:r w:rsidRPr="00402042">
        <w:rPr>
          <w:rFonts w:ascii="Times New Roman" w:hAnsi="Times New Roman"/>
          <w:szCs w:val="20"/>
          <w:lang w:eastAsia="en-AU"/>
        </w:rPr>
        <w:t xml:space="preserve"> not impose any requirements upon individual citizens in a private capacity.</w:t>
      </w:r>
      <w:r w:rsidR="0005389C">
        <w:rPr>
          <w:rFonts w:ascii="Times New Roman" w:hAnsi="Times New Roman"/>
          <w:szCs w:val="20"/>
          <w:lang w:eastAsia="en-AU"/>
        </w:rPr>
        <w:t xml:space="preserve"> The amendment to P</w:t>
      </w:r>
      <w:r w:rsidR="00C735B8">
        <w:rPr>
          <w:rFonts w:ascii="Times New Roman" w:hAnsi="Times New Roman"/>
          <w:szCs w:val="20"/>
          <w:lang w:eastAsia="en-AU"/>
        </w:rPr>
        <w:t xml:space="preserve">art 3 </w:t>
      </w:r>
      <w:r w:rsidR="0005389C">
        <w:rPr>
          <w:rFonts w:ascii="Times New Roman" w:hAnsi="Times New Roman"/>
          <w:szCs w:val="20"/>
          <w:lang w:eastAsia="en-AU"/>
        </w:rPr>
        <w:t xml:space="preserve">of the Standard, </w:t>
      </w:r>
      <w:r w:rsidR="00762CF4">
        <w:rPr>
          <w:rFonts w:ascii="Times New Roman" w:hAnsi="Times New Roman"/>
          <w:szCs w:val="20"/>
          <w:lang w:eastAsia="en-AU"/>
        </w:rPr>
        <w:t>made</w:t>
      </w:r>
      <w:r w:rsidR="00C735B8">
        <w:rPr>
          <w:rFonts w:ascii="Times New Roman" w:hAnsi="Times New Roman"/>
          <w:szCs w:val="20"/>
          <w:lang w:eastAsia="en-AU"/>
        </w:rPr>
        <w:t xml:space="preserve"> by this legislative instrument</w:t>
      </w:r>
      <w:r w:rsidR="0005389C">
        <w:rPr>
          <w:rFonts w:ascii="Times New Roman" w:hAnsi="Times New Roman"/>
          <w:szCs w:val="20"/>
          <w:lang w:eastAsia="en-AU"/>
        </w:rPr>
        <w:t>,</w:t>
      </w:r>
      <w:r w:rsidR="00C735B8">
        <w:rPr>
          <w:rFonts w:ascii="Times New Roman" w:hAnsi="Times New Roman"/>
          <w:szCs w:val="20"/>
          <w:lang w:eastAsia="en-AU"/>
        </w:rPr>
        <w:t xml:space="preserve"> does not alter the mechanical or procedural nature of the Standard.</w:t>
      </w:r>
    </w:p>
    <w:p w:rsidR="00402042" w:rsidRPr="00402042" w:rsidRDefault="00402042" w:rsidP="00402042">
      <w:pPr>
        <w:tabs>
          <w:tab w:val="right" w:pos="1021"/>
        </w:tabs>
        <w:spacing w:before="180"/>
        <w:ind w:left="1134" w:hanging="1134"/>
        <w:jc w:val="both"/>
        <w:rPr>
          <w:rFonts w:ascii="Times New Roman" w:hAnsi="Times New Roman"/>
          <w:b/>
          <w:szCs w:val="20"/>
          <w:lang w:eastAsia="en-AU"/>
        </w:rPr>
      </w:pPr>
      <w:r w:rsidRPr="00402042">
        <w:rPr>
          <w:rFonts w:ascii="Times New Roman" w:hAnsi="Times New Roman"/>
          <w:b/>
          <w:szCs w:val="20"/>
          <w:lang w:eastAsia="en-AU"/>
        </w:rPr>
        <w:t>Human rights implications</w:t>
      </w:r>
    </w:p>
    <w:p w:rsidR="00402042" w:rsidRPr="00402042" w:rsidRDefault="00402042" w:rsidP="00402042">
      <w:pPr>
        <w:tabs>
          <w:tab w:val="right" w:pos="1021"/>
        </w:tabs>
        <w:spacing w:before="120" w:after="240"/>
        <w:jc w:val="both"/>
        <w:rPr>
          <w:rFonts w:ascii="Times New Roman" w:hAnsi="Times New Roman"/>
          <w:szCs w:val="20"/>
          <w:lang w:eastAsia="en-AU"/>
        </w:rPr>
      </w:pPr>
      <w:r w:rsidRPr="00402042">
        <w:rPr>
          <w:rFonts w:ascii="Times New Roman" w:hAnsi="Times New Roman"/>
          <w:szCs w:val="20"/>
          <w:lang w:eastAsia="en-AU"/>
        </w:rPr>
        <w:t>This Legislative Instrument does not engage any of the applicable rights or freedoms.</w:t>
      </w:r>
    </w:p>
    <w:p w:rsidR="00402042" w:rsidRPr="00402042" w:rsidRDefault="00402042" w:rsidP="00402042">
      <w:pPr>
        <w:tabs>
          <w:tab w:val="right" w:pos="1021"/>
        </w:tabs>
        <w:spacing w:before="180"/>
        <w:ind w:left="1134" w:hanging="1134"/>
        <w:jc w:val="both"/>
        <w:rPr>
          <w:rFonts w:ascii="Times New Roman" w:hAnsi="Times New Roman"/>
          <w:b/>
          <w:szCs w:val="20"/>
          <w:lang w:eastAsia="en-AU"/>
        </w:rPr>
      </w:pPr>
      <w:r w:rsidRPr="00402042">
        <w:rPr>
          <w:rFonts w:ascii="Times New Roman" w:hAnsi="Times New Roman"/>
          <w:b/>
          <w:szCs w:val="20"/>
          <w:lang w:eastAsia="en-AU"/>
        </w:rPr>
        <w:t>Conclusion</w:t>
      </w:r>
    </w:p>
    <w:p w:rsidR="00402042" w:rsidRPr="00402042" w:rsidRDefault="00402042" w:rsidP="00402042">
      <w:pPr>
        <w:spacing w:before="120"/>
        <w:jc w:val="both"/>
        <w:rPr>
          <w:rFonts w:ascii="Times New Roman" w:hAnsi="Times New Roman"/>
          <w:szCs w:val="20"/>
          <w:lang w:eastAsia="en-AU"/>
        </w:rPr>
      </w:pPr>
      <w:r w:rsidRPr="00402042">
        <w:rPr>
          <w:rFonts w:ascii="Times New Roman" w:hAnsi="Times New Roman"/>
          <w:szCs w:val="20"/>
          <w:lang w:eastAsia="en-AU"/>
        </w:rPr>
        <w:t>This Legislative Instrument is compatible with human rights as it does not raise any human rights issues.</w:t>
      </w:r>
    </w:p>
    <w:p w:rsidR="00402042" w:rsidRPr="00402042" w:rsidRDefault="00402042" w:rsidP="00402042">
      <w:pPr>
        <w:tabs>
          <w:tab w:val="right" w:pos="1021"/>
        </w:tabs>
        <w:spacing w:before="180"/>
        <w:ind w:left="1134" w:hanging="1134"/>
        <w:jc w:val="both"/>
        <w:rPr>
          <w:rFonts w:ascii="Times New Roman" w:hAnsi="Times New Roman"/>
          <w:szCs w:val="20"/>
          <w:lang w:eastAsia="en-AU"/>
        </w:rPr>
      </w:pPr>
    </w:p>
    <w:p w:rsidR="00402042" w:rsidRPr="00402042" w:rsidRDefault="00402042" w:rsidP="00402042">
      <w:pPr>
        <w:tabs>
          <w:tab w:val="right" w:pos="1531"/>
        </w:tabs>
        <w:jc w:val="both"/>
        <w:rPr>
          <w:rFonts w:ascii="Times New Roman" w:hAnsi="Times New Roman"/>
          <w:szCs w:val="20"/>
          <w:lang w:eastAsia="en-AU"/>
        </w:rPr>
      </w:pPr>
    </w:p>
    <w:p w:rsidR="00402042" w:rsidRPr="00402042" w:rsidRDefault="00402042" w:rsidP="00402042">
      <w:pPr>
        <w:tabs>
          <w:tab w:val="right" w:pos="1531"/>
        </w:tabs>
        <w:rPr>
          <w:rFonts w:ascii="Times New Roman" w:hAnsi="Times New Roman"/>
          <w:szCs w:val="20"/>
          <w:lang w:eastAsia="en-AU"/>
        </w:rPr>
      </w:pPr>
    </w:p>
    <w:p w:rsidR="00402042" w:rsidRPr="00402042" w:rsidRDefault="00402042" w:rsidP="00402042">
      <w:pPr>
        <w:tabs>
          <w:tab w:val="right" w:pos="1531"/>
        </w:tabs>
        <w:jc w:val="right"/>
        <w:rPr>
          <w:rFonts w:ascii="Times New Roman" w:hAnsi="Times New Roman"/>
          <w:szCs w:val="20"/>
          <w:lang w:eastAsia="en-AU"/>
        </w:rPr>
      </w:pPr>
      <w:r w:rsidRPr="00402042">
        <w:rPr>
          <w:rFonts w:ascii="Times New Roman" w:hAnsi="Times New Roman"/>
          <w:szCs w:val="20"/>
          <w:lang w:eastAsia="en-AU"/>
        </w:rPr>
        <w:t>Colin Neave</w:t>
      </w:r>
    </w:p>
    <w:p w:rsidR="00402042" w:rsidRPr="00402042" w:rsidRDefault="00402042" w:rsidP="00402042">
      <w:pPr>
        <w:tabs>
          <w:tab w:val="right" w:pos="1531"/>
        </w:tabs>
        <w:spacing w:before="40" w:after="240"/>
        <w:jc w:val="right"/>
        <w:rPr>
          <w:rFonts w:ascii="Times New Roman" w:hAnsi="Times New Roman"/>
          <w:szCs w:val="20"/>
          <w:lang w:eastAsia="en-AU"/>
        </w:rPr>
      </w:pPr>
      <w:r w:rsidRPr="00402042">
        <w:rPr>
          <w:rFonts w:ascii="Times New Roman" w:hAnsi="Times New Roman"/>
          <w:szCs w:val="20"/>
          <w:lang w:eastAsia="en-AU"/>
        </w:rPr>
        <w:t>Commonwealth Ombudsman</w:t>
      </w:r>
    </w:p>
    <w:p w:rsidR="00402042" w:rsidRDefault="00402042" w:rsidP="00996E41">
      <w:pPr>
        <w:spacing w:after="120" w:line="276" w:lineRule="auto"/>
        <w:jc w:val="both"/>
        <w:rPr>
          <w:rFonts w:ascii="Times New Roman" w:eastAsiaTheme="minorHAnsi" w:hAnsi="Times New Roman"/>
          <w:szCs w:val="22"/>
        </w:rPr>
      </w:pPr>
    </w:p>
    <w:sectPr w:rsidR="00402042" w:rsidSect="00FD04AB">
      <w:pgSz w:w="11907" w:h="16840" w:code="9"/>
      <w:pgMar w:top="1440" w:right="1440" w:bottom="1440" w:left="1440" w:header="709" w:footer="709" w:gutter="0"/>
      <w:paperSrc w:first="3" w:other="3"/>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804" w:rsidRDefault="00B13804" w:rsidP="00880201">
      <w:r>
        <w:separator/>
      </w:r>
    </w:p>
  </w:endnote>
  <w:endnote w:type="continuationSeparator" w:id="0">
    <w:p w:rsidR="00B13804" w:rsidRDefault="00B13804" w:rsidP="0088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804" w:rsidRDefault="00B13804" w:rsidP="00880201">
      <w:r>
        <w:separator/>
      </w:r>
    </w:p>
  </w:footnote>
  <w:footnote w:type="continuationSeparator" w:id="0">
    <w:p w:rsidR="00B13804" w:rsidRDefault="00B13804" w:rsidP="00880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31D28"/>
    <w:multiLevelType w:val="hybridMultilevel"/>
    <w:tmpl w:val="F392BA8A"/>
    <w:lvl w:ilvl="0" w:tplc="1C66EBD2">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37807AB"/>
    <w:multiLevelType w:val="hybridMultilevel"/>
    <w:tmpl w:val="D988D292"/>
    <w:lvl w:ilvl="0" w:tplc="C47420BE">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FA9"/>
    <w:rsid w:val="000506CE"/>
    <w:rsid w:val="000517E3"/>
    <w:rsid w:val="0005389C"/>
    <w:rsid w:val="00055263"/>
    <w:rsid w:val="00072AE2"/>
    <w:rsid w:val="000B7724"/>
    <w:rsid w:val="000C1483"/>
    <w:rsid w:val="000C6AC8"/>
    <w:rsid w:val="000D0523"/>
    <w:rsid w:val="000F12A3"/>
    <w:rsid w:val="000F757C"/>
    <w:rsid w:val="00103659"/>
    <w:rsid w:val="001057FB"/>
    <w:rsid w:val="0012699E"/>
    <w:rsid w:val="001468E0"/>
    <w:rsid w:val="00181299"/>
    <w:rsid w:val="00187149"/>
    <w:rsid w:val="00196342"/>
    <w:rsid w:val="002239F7"/>
    <w:rsid w:val="0023401E"/>
    <w:rsid w:val="002368FB"/>
    <w:rsid w:val="00285268"/>
    <w:rsid w:val="002F2F2F"/>
    <w:rsid w:val="00314052"/>
    <w:rsid w:val="003C759C"/>
    <w:rsid w:val="00402042"/>
    <w:rsid w:val="00444918"/>
    <w:rsid w:val="00491FAC"/>
    <w:rsid w:val="004C3A24"/>
    <w:rsid w:val="004D6DD0"/>
    <w:rsid w:val="004E179C"/>
    <w:rsid w:val="004E7286"/>
    <w:rsid w:val="004F7B4F"/>
    <w:rsid w:val="005160BB"/>
    <w:rsid w:val="00555F42"/>
    <w:rsid w:val="00560E0F"/>
    <w:rsid w:val="005611C0"/>
    <w:rsid w:val="00572E2A"/>
    <w:rsid w:val="005946B0"/>
    <w:rsid w:val="005C692D"/>
    <w:rsid w:val="00655D4C"/>
    <w:rsid w:val="006A03CE"/>
    <w:rsid w:val="00716B06"/>
    <w:rsid w:val="00761841"/>
    <w:rsid w:val="00762CF4"/>
    <w:rsid w:val="007C3E69"/>
    <w:rsid w:val="007C70EE"/>
    <w:rsid w:val="008171A7"/>
    <w:rsid w:val="0083797F"/>
    <w:rsid w:val="008416C2"/>
    <w:rsid w:val="00853088"/>
    <w:rsid w:val="00854627"/>
    <w:rsid w:val="008604EB"/>
    <w:rsid w:val="00874793"/>
    <w:rsid w:val="00880201"/>
    <w:rsid w:val="008A5628"/>
    <w:rsid w:val="008D5B91"/>
    <w:rsid w:val="008F3D9A"/>
    <w:rsid w:val="00944C5A"/>
    <w:rsid w:val="00956772"/>
    <w:rsid w:val="00976D31"/>
    <w:rsid w:val="00996E41"/>
    <w:rsid w:val="009A62CC"/>
    <w:rsid w:val="009D491F"/>
    <w:rsid w:val="009E492B"/>
    <w:rsid w:val="00A628EC"/>
    <w:rsid w:val="00AB569C"/>
    <w:rsid w:val="00B031A3"/>
    <w:rsid w:val="00B13804"/>
    <w:rsid w:val="00B804E4"/>
    <w:rsid w:val="00B82FCD"/>
    <w:rsid w:val="00B84591"/>
    <w:rsid w:val="00B93B5A"/>
    <w:rsid w:val="00BA5EF4"/>
    <w:rsid w:val="00C30165"/>
    <w:rsid w:val="00C45FA9"/>
    <w:rsid w:val="00C71581"/>
    <w:rsid w:val="00C735B8"/>
    <w:rsid w:val="00CA75C3"/>
    <w:rsid w:val="00CF3A1E"/>
    <w:rsid w:val="00D06794"/>
    <w:rsid w:val="00D12E80"/>
    <w:rsid w:val="00D64F14"/>
    <w:rsid w:val="00D65B9B"/>
    <w:rsid w:val="00D81FEA"/>
    <w:rsid w:val="00E3655B"/>
    <w:rsid w:val="00E84585"/>
    <w:rsid w:val="00EB46FA"/>
    <w:rsid w:val="00ED5991"/>
    <w:rsid w:val="00EF3CFE"/>
    <w:rsid w:val="00F0774F"/>
    <w:rsid w:val="00F25E85"/>
    <w:rsid w:val="00F32E14"/>
    <w:rsid w:val="00F35675"/>
    <w:rsid w:val="00F56A07"/>
    <w:rsid w:val="00FA33D5"/>
    <w:rsid w:val="00FD04AB"/>
    <w:rsid w:val="00FE399D"/>
    <w:rsid w:val="00FE4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69C"/>
    <w:rPr>
      <w:rFonts w:ascii="Arial" w:hAnsi="Arial"/>
      <w:sz w:val="22"/>
      <w:szCs w:val="24"/>
      <w:lang w:eastAsia="en-US"/>
    </w:rPr>
  </w:style>
  <w:style w:type="paragraph" w:styleId="Heading1">
    <w:name w:val="heading 1"/>
    <w:basedOn w:val="Normal"/>
    <w:next w:val="Normal"/>
    <w:qFormat/>
    <w:rsid w:val="004E179C"/>
    <w:pPr>
      <w:keepNext/>
      <w:spacing w:before="240" w:after="120"/>
      <w:outlineLvl w:val="0"/>
    </w:pPr>
    <w:rPr>
      <w:rFonts w:ascii="Arial Bold" w:hAnsi="Arial Bold" w:cs="Arial"/>
      <w:b/>
      <w:bCs/>
      <w:kern w:val="32"/>
      <w:sz w:val="28"/>
      <w:szCs w:val="32"/>
    </w:rPr>
  </w:style>
  <w:style w:type="paragraph" w:styleId="Heading2">
    <w:name w:val="heading 2"/>
    <w:basedOn w:val="Normal"/>
    <w:next w:val="Normal"/>
    <w:link w:val="Heading2Char"/>
    <w:uiPriority w:val="9"/>
    <w:semiHidden/>
    <w:unhideWhenUsed/>
    <w:qFormat/>
    <w:rsid w:val="004E179C"/>
    <w:pPr>
      <w:keepNext/>
      <w:spacing w:before="240" w:after="60"/>
      <w:outlineLvl w:val="1"/>
    </w:pPr>
    <w:rPr>
      <w:rFonts w:eastAsiaTheme="majorEastAsia" w:cstheme="majorBidi"/>
      <w:b/>
      <w:bCs/>
      <w:iCs/>
      <w:sz w:val="26"/>
      <w:szCs w:val="28"/>
    </w:rPr>
  </w:style>
  <w:style w:type="paragraph" w:styleId="Heading3">
    <w:name w:val="heading 3"/>
    <w:basedOn w:val="Normal"/>
    <w:next w:val="Normal"/>
    <w:link w:val="Heading3Char"/>
    <w:uiPriority w:val="9"/>
    <w:semiHidden/>
    <w:unhideWhenUsed/>
    <w:qFormat/>
    <w:rsid w:val="00874793"/>
    <w:pPr>
      <w:keepNext/>
      <w:keepLines/>
      <w:spacing w:before="120" w:after="120"/>
      <w:outlineLvl w:val="2"/>
    </w:pPr>
    <w:rPr>
      <w:rFonts w:eastAsiaTheme="majorEastAsia" w:cstheme="majorBidi"/>
      <w:b/>
      <w:bCs/>
      <w:i/>
    </w:rPr>
  </w:style>
  <w:style w:type="paragraph" w:styleId="Heading4">
    <w:name w:val="heading 4"/>
    <w:basedOn w:val="Normal"/>
    <w:next w:val="Normal"/>
    <w:link w:val="Heading4Char"/>
    <w:uiPriority w:val="9"/>
    <w:semiHidden/>
    <w:unhideWhenUsed/>
    <w:qFormat/>
    <w:rsid w:val="00874793"/>
    <w:pPr>
      <w:keepNext/>
      <w:keepLines/>
      <w:spacing w:before="120" w:after="6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E179C"/>
    <w:rPr>
      <w:rFonts w:ascii="Arial" w:eastAsiaTheme="majorEastAsia" w:hAnsi="Arial" w:cstheme="majorBidi"/>
      <w:b/>
      <w:bCs/>
      <w:iCs/>
      <w:sz w:val="26"/>
      <w:szCs w:val="28"/>
      <w:lang w:eastAsia="en-US"/>
    </w:rPr>
  </w:style>
  <w:style w:type="paragraph" w:styleId="Quote">
    <w:name w:val="Quote"/>
    <w:basedOn w:val="Normal"/>
    <w:next w:val="Normal"/>
    <w:link w:val="QuoteChar"/>
    <w:uiPriority w:val="29"/>
    <w:qFormat/>
    <w:rsid w:val="004E179C"/>
    <w:pPr>
      <w:spacing w:before="120"/>
      <w:ind w:left="720" w:right="567"/>
    </w:pPr>
    <w:rPr>
      <w:rFonts w:ascii="Arial Narrow" w:hAnsi="Arial Narrow"/>
      <w:i/>
      <w:iCs/>
    </w:rPr>
  </w:style>
  <w:style w:type="character" w:customStyle="1" w:styleId="QuoteChar">
    <w:name w:val="Quote Char"/>
    <w:basedOn w:val="DefaultParagraphFont"/>
    <w:link w:val="Quote"/>
    <w:uiPriority w:val="29"/>
    <w:rsid w:val="004E179C"/>
    <w:rPr>
      <w:rFonts w:ascii="Arial Narrow" w:hAnsi="Arial Narrow"/>
      <w:i/>
      <w:iCs/>
      <w:sz w:val="22"/>
      <w:szCs w:val="24"/>
      <w:lang w:eastAsia="en-US"/>
    </w:rPr>
  </w:style>
  <w:style w:type="paragraph" w:styleId="Title">
    <w:name w:val="Title"/>
    <w:basedOn w:val="Normal"/>
    <w:next w:val="Normal"/>
    <w:link w:val="TitleChar"/>
    <w:uiPriority w:val="10"/>
    <w:qFormat/>
    <w:rsid w:val="004E179C"/>
    <w:pPr>
      <w:spacing w:before="240" w:after="180"/>
      <w:jc w:val="center"/>
      <w:outlineLvl w:val="0"/>
    </w:pPr>
    <w:rPr>
      <w:rFonts w:ascii="Arial Bold" w:eastAsiaTheme="majorEastAsia" w:hAnsi="Arial Bold" w:cstheme="majorBidi"/>
      <w:b/>
      <w:bCs/>
      <w:smallCaps/>
      <w:kern w:val="28"/>
      <w:sz w:val="36"/>
      <w:szCs w:val="32"/>
    </w:rPr>
  </w:style>
  <w:style w:type="character" w:customStyle="1" w:styleId="TitleChar">
    <w:name w:val="Title Char"/>
    <w:basedOn w:val="DefaultParagraphFont"/>
    <w:link w:val="Title"/>
    <w:uiPriority w:val="10"/>
    <w:rsid w:val="004E179C"/>
    <w:rPr>
      <w:rFonts w:ascii="Arial Bold" w:eastAsiaTheme="majorEastAsia" w:hAnsi="Arial Bold" w:cstheme="majorBidi"/>
      <w:b/>
      <w:bCs/>
      <w:smallCaps/>
      <w:kern w:val="28"/>
      <w:sz w:val="36"/>
      <w:szCs w:val="32"/>
      <w:lang w:eastAsia="en-US"/>
    </w:rPr>
  </w:style>
  <w:style w:type="paragraph" w:customStyle="1" w:styleId="Bullets">
    <w:name w:val="Bullets"/>
    <w:basedOn w:val="Normal"/>
    <w:qFormat/>
    <w:rsid w:val="004E179C"/>
    <w:pPr>
      <w:numPr>
        <w:numId w:val="1"/>
      </w:numPr>
      <w:spacing w:before="120"/>
      <w:ind w:hanging="578"/>
    </w:pPr>
  </w:style>
  <w:style w:type="paragraph" w:styleId="Subtitle">
    <w:name w:val="Subtitle"/>
    <w:basedOn w:val="Normal"/>
    <w:next w:val="Normal"/>
    <w:link w:val="SubtitleChar"/>
    <w:uiPriority w:val="11"/>
    <w:qFormat/>
    <w:rsid w:val="00AB569C"/>
    <w:pPr>
      <w:numPr>
        <w:ilvl w:val="1"/>
      </w:numPr>
    </w:pPr>
    <w:rPr>
      <w:rFonts w:ascii="Calibri" w:eastAsiaTheme="majorEastAsia" w:hAnsi="Calibri" w:cstheme="majorBidi"/>
      <w:i/>
      <w:iCs/>
      <w:spacing w:val="15"/>
      <w:sz w:val="24"/>
    </w:rPr>
  </w:style>
  <w:style w:type="character" w:customStyle="1" w:styleId="Heading3Char">
    <w:name w:val="Heading 3 Char"/>
    <w:basedOn w:val="DefaultParagraphFont"/>
    <w:link w:val="Heading3"/>
    <w:uiPriority w:val="9"/>
    <w:semiHidden/>
    <w:rsid w:val="00874793"/>
    <w:rPr>
      <w:rFonts w:ascii="Arial" w:eastAsiaTheme="majorEastAsia" w:hAnsi="Arial" w:cstheme="majorBidi"/>
      <w:b/>
      <w:bCs/>
      <w:i/>
      <w:sz w:val="22"/>
      <w:szCs w:val="24"/>
      <w:lang w:eastAsia="en-US"/>
    </w:rPr>
  </w:style>
  <w:style w:type="character" w:customStyle="1" w:styleId="Heading4Char">
    <w:name w:val="Heading 4 Char"/>
    <w:basedOn w:val="DefaultParagraphFont"/>
    <w:link w:val="Heading4"/>
    <w:uiPriority w:val="9"/>
    <w:semiHidden/>
    <w:rsid w:val="00874793"/>
    <w:rPr>
      <w:rFonts w:ascii="Arial" w:eastAsiaTheme="majorEastAsia" w:hAnsi="Arial" w:cstheme="majorBidi"/>
      <w:bCs/>
      <w:i/>
      <w:iCs/>
      <w:sz w:val="22"/>
      <w:szCs w:val="24"/>
      <w:lang w:eastAsia="en-US"/>
    </w:rPr>
  </w:style>
  <w:style w:type="paragraph" w:styleId="TOC1">
    <w:name w:val="toc 1"/>
    <w:basedOn w:val="Normal"/>
    <w:next w:val="Normal"/>
    <w:autoRedefine/>
    <w:uiPriority w:val="39"/>
    <w:semiHidden/>
    <w:unhideWhenUsed/>
    <w:rsid w:val="00874793"/>
    <w:pPr>
      <w:spacing w:after="120"/>
    </w:pPr>
    <w:rPr>
      <w:rFonts w:ascii="Arial Bold" w:hAnsi="Arial Bold"/>
      <w:b/>
      <w:smallCaps/>
      <w:sz w:val="24"/>
    </w:rPr>
  </w:style>
  <w:style w:type="paragraph" w:styleId="TOC2">
    <w:name w:val="toc 2"/>
    <w:basedOn w:val="Normal"/>
    <w:next w:val="Normal"/>
    <w:autoRedefine/>
    <w:uiPriority w:val="39"/>
    <w:semiHidden/>
    <w:unhideWhenUsed/>
    <w:rsid w:val="00874793"/>
    <w:pPr>
      <w:spacing w:after="60"/>
      <w:ind w:left="221"/>
    </w:pPr>
    <w:rPr>
      <w:b/>
      <w:sz w:val="24"/>
    </w:rPr>
  </w:style>
  <w:style w:type="paragraph" w:styleId="TOC3">
    <w:name w:val="toc 3"/>
    <w:basedOn w:val="Normal"/>
    <w:next w:val="Normal"/>
    <w:autoRedefine/>
    <w:uiPriority w:val="39"/>
    <w:semiHidden/>
    <w:unhideWhenUsed/>
    <w:rsid w:val="00874793"/>
    <w:pPr>
      <w:ind w:left="170"/>
    </w:pPr>
  </w:style>
  <w:style w:type="character" w:customStyle="1" w:styleId="SubtitleChar">
    <w:name w:val="Subtitle Char"/>
    <w:basedOn w:val="DefaultParagraphFont"/>
    <w:link w:val="Subtitle"/>
    <w:uiPriority w:val="11"/>
    <w:rsid w:val="00AB569C"/>
    <w:rPr>
      <w:rFonts w:ascii="Calibri" w:eastAsiaTheme="majorEastAsia" w:hAnsi="Calibri" w:cstheme="majorBidi"/>
      <w:i/>
      <w:iCs/>
      <w:spacing w:val="15"/>
      <w:sz w:val="24"/>
      <w:szCs w:val="24"/>
      <w:lang w:eastAsia="en-US"/>
    </w:rPr>
  </w:style>
  <w:style w:type="character" w:styleId="IntenseEmphasis">
    <w:name w:val="Intense Emphasis"/>
    <w:basedOn w:val="DefaultParagraphFont"/>
    <w:uiPriority w:val="21"/>
    <w:qFormat/>
    <w:rsid w:val="00AB569C"/>
    <w:rPr>
      <w:b/>
      <w:bCs/>
      <w:i/>
      <w:iCs/>
      <w:color w:val="auto"/>
    </w:rPr>
  </w:style>
  <w:style w:type="paragraph" w:styleId="EnvelopeAddress">
    <w:name w:val="envelope address"/>
    <w:basedOn w:val="Normal"/>
    <w:uiPriority w:val="99"/>
    <w:unhideWhenUsed/>
    <w:rsid w:val="007C3E69"/>
    <w:pPr>
      <w:framePr w:w="7920" w:h="1980" w:hRule="exact" w:hSpace="180" w:wrap="auto" w:hAnchor="page" w:xAlign="center" w:yAlign="bottom"/>
      <w:ind w:left="2880"/>
    </w:pPr>
    <w:rPr>
      <w:rFonts w:asciiTheme="minorHAnsi" w:eastAsiaTheme="majorEastAsia" w:hAnsiTheme="minorHAnsi" w:cstheme="majorBidi"/>
      <w:sz w:val="24"/>
    </w:rPr>
  </w:style>
  <w:style w:type="paragraph" w:styleId="EnvelopeReturn">
    <w:name w:val="envelope return"/>
    <w:basedOn w:val="Normal"/>
    <w:uiPriority w:val="99"/>
    <w:unhideWhenUsed/>
    <w:rsid w:val="007C3E69"/>
    <w:rPr>
      <w:rFonts w:asciiTheme="minorHAnsi" w:eastAsiaTheme="majorEastAsia" w:hAnsiTheme="minorHAnsi" w:cstheme="majorBidi"/>
      <w:sz w:val="20"/>
      <w:szCs w:val="20"/>
    </w:rPr>
  </w:style>
  <w:style w:type="paragraph" w:customStyle="1" w:styleId="subsection">
    <w:name w:val="subsection"/>
    <w:aliases w:val="ss"/>
    <w:basedOn w:val="Normal"/>
    <w:rsid w:val="00C45FA9"/>
    <w:pPr>
      <w:spacing w:before="100" w:beforeAutospacing="1" w:after="100" w:afterAutospacing="1"/>
    </w:pPr>
    <w:rPr>
      <w:rFonts w:ascii="Times New Roman" w:hAnsi="Times New Roman"/>
      <w:sz w:val="24"/>
      <w:lang w:eastAsia="en-AU"/>
    </w:rPr>
  </w:style>
  <w:style w:type="character" w:styleId="Hyperlink">
    <w:name w:val="Hyperlink"/>
    <w:basedOn w:val="DefaultParagraphFont"/>
    <w:uiPriority w:val="99"/>
    <w:semiHidden/>
    <w:unhideWhenUsed/>
    <w:rsid w:val="00C45FA9"/>
    <w:rPr>
      <w:color w:val="0000FF"/>
      <w:u w:val="single"/>
    </w:rPr>
  </w:style>
  <w:style w:type="paragraph" w:customStyle="1" w:styleId="paragraph">
    <w:name w:val="paragraph"/>
    <w:basedOn w:val="Normal"/>
    <w:rsid w:val="00C45FA9"/>
    <w:pPr>
      <w:spacing w:before="100" w:beforeAutospacing="1" w:after="100" w:afterAutospacing="1"/>
    </w:pPr>
    <w:rPr>
      <w:rFonts w:ascii="Times New Roman" w:hAnsi="Times New Roman"/>
      <w:sz w:val="24"/>
      <w:lang w:eastAsia="en-AU"/>
    </w:rPr>
  </w:style>
  <w:style w:type="paragraph" w:styleId="FootnoteText">
    <w:name w:val="footnote text"/>
    <w:basedOn w:val="Normal"/>
    <w:link w:val="FootnoteTextChar"/>
    <w:uiPriority w:val="99"/>
    <w:semiHidden/>
    <w:unhideWhenUsed/>
    <w:rsid w:val="00880201"/>
    <w:rPr>
      <w:sz w:val="20"/>
      <w:szCs w:val="20"/>
    </w:rPr>
  </w:style>
  <w:style w:type="character" w:customStyle="1" w:styleId="FootnoteTextChar">
    <w:name w:val="Footnote Text Char"/>
    <w:basedOn w:val="DefaultParagraphFont"/>
    <w:link w:val="FootnoteText"/>
    <w:uiPriority w:val="99"/>
    <w:semiHidden/>
    <w:rsid w:val="00880201"/>
    <w:rPr>
      <w:rFonts w:ascii="Arial" w:hAnsi="Arial"/>
      <w:lang w:eastAsia="en-US"/>
    </w:rPr>
  </w:style>
  <w:style w:type="character" w:styleId="FootnoteReference">
    <w:name w:val="footnote reference"/>
    <w:basedOn w:val="DefaultParagraphFont"/>
    <w:uiPriority w:val="99"/>
    <w:semiHidden/>
    <w:unhideWhenUsed/>
    <w:rsid w:val="00880201"/>
    <w:rPr>
      <w:vertAlign w:val="superscript"/>
    </w:rPr>
  </w:style>
  <w:style w:type="paragraph" w:styleId="BalloonText">
    <w:name w:val="Balloon Text"/>
    <w:basedOn w:val="Normal"/>
    <w:link w:val="BalloonTextChar"/>
    <w:uiPriority w:val="99"/>
    <w:semiHidden/>
    <w:unhideWhenUsed/>
    <w:rsid w:val="00EF3CFE"/>
    <w:rPr>
      <w:rFonts w:ascii="Tahoma" w:hAnsi="Tahoma" w:cs="Tahoma"/>
      <w:sz w:val="16"/>
      <w:szCs w:val="16"/>
    </w:rPr>
  </w:style>
  <w:style w:type="character" w:customStyle="1" w:styleId="BalloonTextChar">
    <w:name w:val="Balloon Text Char"/>
    <w:basedOn w:val="DefaultParagraphFont"/>
    <w:link w:val="BalloonText"/>
    <w:uiPriority w:val="99"/>
    <w:semiHidden/>
    <w:rsid w:val="00EF3CF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69C"/>
    <w:rPr>
      <w:rFonts w:ascii="Arial" w:hAnsi="Arial"/>
      <w:sz w:val="22"/>
      <w:szCs w:val="24"/>
      <w:lang w:eastAsia="en-US"/>
    </w:rPr>
  </w:style>
  <w:style w:type="paragraph" w:styleId="Heading1">
    <w:name w:val="heading 1"/>
    <w:basedOn w:val="Normal"/>
    <w:next w:val="Normal"/>
    <w:qFormat/>
    <w:rsid w:val="004E179C"/>
    <w:pPr>
      <w:keepNext/>
      <w:spacing w:before="240" w:after="120"/>
      <w:outlineLvl w:val="0"/>
    </w:pPr>
    <w:rPr>
      <w:rFonts w:ascii="Arial Bold" w:hAnsi="Arial Bold" w:cs="Arial"/>
      <w:b/>
      <w:bCs/>
      <w:kern w:val="32"/>
      <w:sz w:val="28"/>
      <w:szCs w:val="32"/>
    </w:rPr>
  </w:style>
  <w:style w:type="paragraph" w:styleId="Heading2">
    <w:name w:val="heading 2"/>
    <w:basedOn w:val="Normal"/>
    <w:next w:val="Normal"/>
    <w:link w:val="Heading2Char"/>
    <w:uiPriority w:val="9"/>
    <w:semiHidden/>
    <w:unhideWhenUsed/>
    <w:qFormat/>
    <w:rsid w:val="004E179C"/>
    <w:pPr>
      <w:keepNext/>
      <w:spacing w:before="240" w:after="60"/>
      <w:outlineLvl w:val="1"/>
    </w:pPr>
    <w:rPr>
      <w:rFonts w:eastAsiaTheme="majorEastAsia" w:cstheme="majorBidi"/>
      <w:b/>
      <w:bCs/>
      <w:iCs/>
      <w:sz w:val="26"/>
      <w:szCs w:val="28"/>
    </w:rPr>
  </w:style>
  <w:style w:type="paragraph" w:styleId="Heading3">
    <w:name w:val="heading 3"/>
    <w:basedOn w:val="Normal"/>
    <w:next w:val="Normal"/>
    <w:link w:val="Heading3Char"/>
    <w:uiPriority w:val="9"/>
    <w:semiHidden/>
    <w:unhideWhenUsed/>
    <w:qFormat/>
    <w:rsid w:val="00874793"/>
    <w:pPr>
      <w:keepNext/>
      <w:keepLines/>
      <w:spacing w:before="120" w:after="120"/>
      <w:outlineLvl w:val="2"/>
    </w:pPr>
    <w:rPr>
      <w:rFonts w:eastAsiaTheme="majorEastAsia" w:cstheme="majorBidi"/>
      <w:b/>
      <w:bCs/>
      <w:i/>
    </w:rPr>
  </w:style>
  <w:style w:type="paragraph" w:styleId="Heading4">
    <w:name w:val="heading 4"/>
    <w:basedOn w:val="Normal"/>
    <w:next w:val="Normal"/>
    <w:link w:val="Heading4Char"/>
    <w:uiPriority w:val="9"/>
    <w:semiHidden/>
    <w:unhideWhenUsed/>
    <w:qFormat/>
    <w:rsid w:val="00874793"/>
    <w:pPr>
      <w:keepNext/>
      <w:keepLines/>
      <w:spacing w:before="120" w:after="6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E179C"/>
    <w:rPr>
      <w:rFonts w:ascii="Arial" w:eastAsiaTheme="majorEastAsia" w:hAnsi="Arial" w:cstheme="majorBidi"/>
      <w:b/>
      <w:bCs/>
      <w:iCs/>
      <w:sz w:val="26"/>
      <w:szCs w:val="28"/>
      <w:lang w:eastAsia="en-US"/>
    </w:rPr>
  </w:style>
  <w:style w:type="paragraph" w:styleId="Quote">
    <w:name w:val="Quote"/>
    <w:basedOn w:val="Normal"/>
    <w:next w:val="Normal"/>
    <w:link w:val="QuoteChar"/>
    <w:uiPriority w:val="29"/>
    <w:qFormat/>
    <w:rsid w:val="004E179C"/>
    <w:pPr>
      <w:spacing w:before="120"/>
      <w:ind w:left="720" w:right="567"/>
    </w:pPr>
    <w:rPr>
      <w:rFonts w:ascii="Arial Narrow" w:hAnsi="Arial Narrow"/>
      <w:i/>
      <w:iCs/>
    </w:rPr>
  </w:style>
  <w:style w:type="character" w:customStyle="1" w:styleId="QuoteChar">
    <w:name w:val="Quote Char"/>
    <w:basedOn w:val="DefaultParagraphFont"/>
    <w:link w:val="Quote"/>
    <w:uiPriority w:val="29"/>
    <w:rsid w:val="004E179C"/>
    <w:rPr>
      <w:rFonts w:ascii="Arial Narrow" w:hAnsi="Arial Narrow"/>
      <w:i/>
      <w:iCs/>
      <w:sz w:val="22"/>
      <w:szCs w:val="24"/>
      <w:lang w:eastAsia="en-US"/>
    </w:rPr>
  </w:style>
  <w:style w:type="paragraph" w:styleId="Title">
    <w:name w:val="Title"/>
    <w:basedOn w:val="Normal"/>
    <w:next w:val="Normal"/>
    <w:link w:val="TitleChar"/>
    <w:uiPriority w:val="10"/>
    <w:qFormat/>
    <w:rsid w:val="004E179C"/>
    <w:pPr>
      <w:spacing w:before="240" w:after="180"/>
      <w:jc w:val="center"/>
      <w:outlineLvl w:val="0"/>
    </w:pPr>
    <w:rPr>
      <w:rFonts w:ascii="Arial Bold" w:eastAsiaTheme="majorEastAsia" w:hAnsi="Arial Bold" w:cstheme="majorBidi"/>
      <w:b/>
      <w:bCs/>
      <w:smallCaps/>
      <w:kern w:val="28"/>
      <w:sz w:val="36"/>
      <w:szCs w:val="32"/>
    </w:rPr>
  </w:style>
  <w:style w:type="character" w:customStyle="1" w:styleId="TitleChar">
    <w:name w:val="Title Char"/>
    <w:basedOn w:val="DefaultParagraphFont"/>
    <w:link w:val="Title"/>
    <w:uiPriority w:val="10"/>
    <w:rsid w:val="004E179C"/>
    <w:rPr>
      <w:rFonts w:ascii="Arial Bold" w:eastAsiaTheme="majorEastAsia" w:hAnsi="Arial Bold" w:cstheme="majorBidi"/>
      <w:b/>
      <w:bCs/>
      <w:smallCaps/>
      <w:kern w:val="28"/>
      <w:sz w:val="36"/>
      <w:szCs w:val="32"/>
      <w:lang w:eastAsia="en-US"/>
    </w:rPr>
  </w:style>
  <w:style w:type="paragraph" w:customStyle="1" w:styleId="Bullets">
    <w:name w:val="Bullets"/>
    <w:basedOn w:val="Normal"/>
    <w:qFormat/>
    <w:rsid w:val="004E179C"/>
    <w:pPr>
      <w:numPr>
        <w:numId w:val="1"/>
      </w:numPr>
      <w:spacing w:before="120"/>
      <w:ind w:hanging="578"/>
    </w:pPr>
  </w:style>
  <w:style w:type="paragraph" w:styleId="Subtitle">
    <w:name w:val="Subtitle"/>
    <w:basedOn w:val="Normal"/>
    <w:next w:val="Normal"/>
    <w:link w:val="SubtitleChar"/>
    <w:uiPriority w:val="11"/>
    <w:qFormat/>
    <w:rsid w:val="00AB569C"/>
    <w:pPr>
      <w:numPr>
        <w:ilvl w:val="1"/>
      </w:numPr>
    </w:pPr>
    <w:rPr>
      <w:rFonts w:ascii="Calibri" w:eastAsiaTheme="majorEastAsia" w:hAnsi="Calibri" w:cstheme="majorBidi"/>
      <w:i/>
      <w:iCs/>
      <w:spacing w:val="15"/>
      <w:sz w:val="24"/>
    </w:rPr>
  </w:style>
  <w:style w:type="character" w:customStyle="1" w:styleId="Heading3Char">
    <w:name w:val="Heading 3 Char"/>
    <w:basedOn w:val="DefaultParagraphFont"/>
    <w:link w:val="Heading3"/>
    <w:uiPriority w:val="9"/>
    <w:semiHidden/>
    <w:rsid w:val="00874793"/>
    <w:rPr>
      <w:rFonts w:ascii="Arial" w:eastAsiaTheme="majorEastAsia" w:hAnsi="Arial" w:cstheme="majorBidi"/>
      <w:b/>
      <w:bCs/>
      <w:i/>
      <w:sz w:val="22"/>
      <w:szCs w:val="24"/>
      <w:lang w:eastAsia="en-US"/>
    </w:rPr>
  </w:style>
  <w:style w:type="character" w:customStyle="1" w:styleId="Heading4Char">
    <w:name w:val="Heading 4 Char"/>
    <w:basedOn w:val="DefaultParagraphFont"/>
    <w:link w:val="Heading4"/>
    <w:uiPriority w:val="9"/>
    <w:semiHidden/>
    <w:rsid w:val="00874793"/>
    <w:rPr>
      <w:rFonts w:ascii="Arial" w:eastAsiaTheme="majorEastAsia" w:hAnsi="Arial" w:cstheme="majorBidi"/>
      <w:bCs/>
      <w:i/>
      <w:iCs/>
      <w:sz w:val="22"/>
      <w:szCs w:val="24"/>
      <w:lang w:eastAsia="en-US"/>
    </w:rPr>
  </w:style>
  <w:style w:type="paragraph" w:styleId="TOC1">
    <w:name w:val="toc 1"/>
    <w:basedOn w:val="Normal"/>
    <w:next w:val="Normal"/>
    <w:autoRedefine/>
    <w:uiPriority w:val="39"/>
    <w:semiHidden/>
    <w:unhideWhenUsed/>
    <w:rsid w:val="00874793"/>
    <w:pPr>
      <w:spacing w:after="120"/>
    </w:pPr>
    <w:rPr>
      <w:rFonts w:ascii="Arial Bold" w:hAnsi="Arial Bold"/>
      <w:b/>
      <w:smallCaps/>
      <w:sz w:val="24"/>
    </w:rPr>
  </w:style>
  <w:style w:type="paragraph" w:styleId="TOC2">
    <w:name w:val="toc 2"/>
    <w:basedOn w:val="Normal"/>
    <w:next w:val="Normal"/>
    <w:autoRedefine/>
    <w:uiPriority w:val="39"/>
    <w:semiHidden/>
    <w:unhideWhenUsed/>
    <w:rsid w:val="00874793"/>
    <w:pPr>
      <w:spacing w:after="60"/>
      <w:ind w:left="221"/>
    </w:pPr>
    <w:rPr>
      <w:b/>
      <w:sz w:val="24"/>
    </w:rPr>
  </w:style>
  <w:style w:type="paragraph" w:styleId="TOC3">
    <w:name w:val="toc 3"/>
    <w:basedOn w:val="Normal"/>
    <w:next w:val="Normal"/>
    <w:autoRedefine/>
    <w:uiPriority w:val="39"/>
    <w:semiHidden/>
    <w:unhideWhenUsed/>
    <w:rsid w:val="00874793"/>
    <w:pPr>
      <w:ind w:left="170"/>
    </w:pPr>
  </w:style>
  <w:style w:type="character" w:customStyle="1" w:styleId="SubtitleChar">
    <w:name w:val="Subtitle Char"/>
    <w:basedOn w:val="DefaultParagraphFont"/>
    <w:link w:val="Subtitle"/>
    <w:uiPriority w:val="11"/>
    <w:rsid w:val="00AB569C"/>
    <w:rPr>
      <w:rFonts w:ascii="Calibri" w:eastAsiaTheme="majorEastAsia" w:hAnsi="Calibri" w:cstheme="majorBidi"/>
      <w:i/>
      <w:iCs/>
      <w:spacing w:val="15"/>
      <w:sz w:val="24"/>
      <w:szCs w:val="24"/>
      <w:lang w:eastAsia="en-US"/>
    </w:rPr>
  </w:style>
  <w:style w:type="character" w:styleId="IntenseEmphasis">
    <w:name w:val="Intense Emphasis"/>
    <w:basedOn w:val="DefaultParagraphFont"/>
    <w:uiPriority w:val="21"/>
    <w:qFormat/>
    <w:rsid w:val="00AB569C"/>
    <w:rPr>
      <w:b/>
      <w:bCs/>
      <w:i/>
      <w:iCs/>
      <w:color w:val="auto"/>
    </w:rPr>
  </w:style>
  <w:style w:type="paragraph" w:styleId="EnvelopeAddress">
    <w:name w:val="envelope address"/>
    <w:basedOn w:val="Normal"/>
    <w:uiPriority w:val="99"/>
    <w:unhideWhenUsed/>
    <w:rsid w:val="007C3E69"/>
    <w:pPr>
      <w:framePr w:w="7920" w:h="1980" w:hRule="exact" w:hSpace="180" w:wrap="auto" w:hAnchor="page" w:xAlign="center" w:yAlign="bottom"/>
      <w:ind w:left="2880"/>
    </w:pPr>
    <w:rPr>
      <w:rFonts w:asciiTheme="minorHAnsi" w:eastAsiaTheme="majorEastAsia" w:hAnsiTheme="minorHAnsi" w:cstheme="majorBidi"/>
      <w:sz w:val="24"/>
    </w:rPr>
  </w:style>
  <w:style w:type="paragraph" w:styleId="EnvelopeReturn">
    <w:name w:val="envelope return"/>
    <w:basedOn w:val="Normal"/>
    <w:uiPriority w:val="99"/>
    <w:unhideWhenUsed/>
    <w:rsid w:val="007C3E69"/>
    <w:rPr>
      <w:rFonts w:asciiTheme="minorHAnsi" w:eastAsiaTheme="majorEastAsia" w:hAnsiTheme="minorHAnsi" w:cstheme="majorBidi"/>
      <w:sz w:val="20"/>
      <w:szCs w:val="20"/>
    </w:rPr>
  </w:style>
  <w:style w:type="paragraph" w:customStyle="1" w:styleId="subsection">
    <w:name w:val="subsection"/>
    <w:aliases w:val="ss"/>
    <w:basedOn w:val="Normal"/>
    <w:rsid w:val="00C45FA9"/>
    <w:pPr>
      <w:spacing w:before="100" w:beforeAutospacing="1" w:after="100" w:afterAutospacing="1"/>
    </w:pPr>
    <w:rPr>
      <w:rFonts w:ascii="Times New Roman" w:hAnsi="Times New Roman"/>
      <w:sz w:val="24"/>
      <w:lang w:eastAsia="en-AU"/>
    </w:rPr>
  </w:style>
  <w:style w:type="character" w:styleId="Hyperlink">
    <w:name w:val="Hyperlink"/>
    <w:basedOn w:val="DefaultParagraphFont"/>
    <w:uiPriority w:val="99"/>
    <w:semiHidden/>
    <w:unhideWhenUsed/>
    <w:rsid w:val="00C45FA9"/>
    <w:rPr>
      <w:color w:val="0000FF"/>
      <w:u w:val="single"/>
    </w:rPr>
  </w:style>
  <w:style w:type="paragraph" w:customStyle="1" w:styleId="paragraph">
    <w:name w:val="paragraph"/>
    <w:basedOn w:val="Normal"/>
    <w:rsid w:val="00C45FA9"/>
    <w:pPr>
      <w:spacing w:before="100" w:beforeAutospacing="1" w:after="100" w:afterAutospacing="1"/>
    </w:pPr>
    <w:rPr>
      <w:rFonts w:ascii="Times New Roman" w:hAnsi="Times New Roman"/>
      <w:sz w:val="24"/>
      <w:lang w:eastAsia="en-AU"/>
    </w:rPr>
  </w:style>
  <w:style w:type="paragraph" w:styleId="FootnoteText">
    <w:name w:val="footnote text"/>
    <w:basedOn w:val="Normal"/>
    <w:link w:val="FootnoteTextChar"/>
    <w:uiPriority w:val="99"/>
    <w:semiHidden/>
    <w:unhideWhenUsed/>
    <w:rsid w:val="00880201"/>
    <w:rPr>
      <w:sz w:val="20"/>
      <w:szCs w:val="20"/>
    </w:rPr>
  </w:style>
  <w:style w:type="character" w:customStyle="1" w:styleId="FootnoteTextChar">
    <w:name w:val="Footnote Text Char"/>
    <w:basedOn w:val="DefaultParagraphFont"/>
    <w:link w:val="FootnoteText"/>
    <w:uiPriority w:val="99"/>
    <w:semiHidden/>
    <w:rsid w:val="00880201"/>
    <w:rPr>
      <w:rFonts w:ascii="Arial" w:hAnsi="Arial"/>
      <w:lang w:eastAsia="en-US"/>
    </w:rPr>
  </w:style>
  <w:style w:type="character" w:styleId="FootnoteReference">
    <w:name w:val="footnote reference"/>
    <w:basedOn w:val="DefaultParagraphFont"/>
    <w:uiPriority w:val="99"/>
    <w:semiHidden/>
    <w:unhideWhenUsed/>
    <w:rsid w:val="00880201"/>
    <w:rPr>
      <w:vertAlign w:val="superscript"/>
    </w:rPr>
  </w:style>
  <w:style w:type="paragraph" w:styleId="BalloonText">
    <w:name w:val="Balloon Text"/>
    <w:basedOn w:val="Normal"/>
    <w:link w:val="BalloonTextChar"/>
    <w:uiPriority w:val="99"/>
    <w:semiHidden/>
    <w:unhideWhenUsed/>
    <w:rsid w:val="00EF3CFE"/>
    <w:rPr>
      <w:rFonts w:ascii="Tahoma" w:hAnsi="Tahoma" w:cs="Tahoma"/>
      <w:sz w:val="16"/>
      <w:szCs w:val="16"/>
    </w:rPr>
  </w:style>
  <w:style w:type="character" w:customStyle="1" w:styleId="BalloonTextChar">
    <w:name w:val="Balloon Text Char"/>
    <w:basedOn w:val="DefaultParagraphFont"/>
    <w:link w:val="BalloonText"/>
    <w:uiPriority w:val="99"/>
    <w:semiHidden/>
    <w:rsid w:val="00EF3CF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6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DD2C1-8ED4-4246-970A-5E5FF16A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Commonwealth Ombudsman Template</vt:lpstr>
    </vt:vector>
  </TitlesOfParts>
  <Company>Commonwealth Ombudsman</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Ombudsman Template</dc:title>
  <dc:subject>Commonwealth Ombudsman Template</dc:subject>
  <dc:creator>Laura Thomas</dc:creator>
  <cp:lastModifiedBy>Elisa Harris</cp:lastModifiedBy>
  <cp:revision>2</cp:revision>
  <cp:lastPrinted>2014-07-01T04:02:00Z</cp:lastPrinted>
  <dcterms:created xsi:type="dcterms:W3CDTF">2014-07-07T02:27:00Z</dcterms:created>
  <dcterms:modified xsi:type="dcterms:W3CDTF">2014-07-07T02:27:00Z</dcterms:modified>
</cp:coreProperties>
</file>