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995" w:rsidRPr="009A2975" w:rsidRDefault="003D39BA" w:rsidP="00A30995">
      <w:r>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A30995" w:rsidRDefault="00A30995" w:rsidP="00A30995">
      <w:pPr>
        <w:pStyle w:val="Title"/>
      </w:pPr>
      <w:bookmarkStart w:id="0" w:name="Citation"/>
      <w:r>
        <w:t>Radiocommunications (Electromagnetic Radiatio</w:t>
      </w:r>
      <w:r w:rsidR="00FD1106">
        <w:t xml:space="preserve">n — Human Exposure) Standard </w:t>
      </w:r>
      <w:bookmarkEnd w:id="0"/>
      <w:r w:rsidR="00842339">
        <w:t>2014</w:t>
      </w:r>
    </w:p>
    <w:p w:rsidR="00A30995" w:rsidRDefault="00A30995" w:rsidP="00A30995">
      <w:pPr>
        <w:pStyle w:val="CoverAct"/>
        <w:rPr>
          <w:lang w:val="en-US"/>
        </w:rPr>
      </w:pPr>
      <w:bookmarkStart w:id="1" w:name="Act"/>
      <w:r>
        <w:t>Radiocommunications Act 1992</w:t>
      </w:r>
      <w:bookmarkEnd w:id="1"/>
      <w:r>
        <w:t xml:space="preserve"> </w:t>
      </w:r>
    </w:p>
    <w:p w:rsidR="00FD1106" w:rsidRPr="00C55F64" w:rsidRDefault="00FD1106" w:rsidP="00FD1106">
      <w:pPr>
        <w:spacing w:before="360"/>
        <w:jc w:val="both"/>
      </w:pPr>
      <w:r>
        <w:t xml:space="preserve">The AUSTRALIAN COMMUNICATIONS AND MEDIA AUTHORITY makes this Standard under subsection 162(1) of the </w:t>
      </w:r>
      <w:r w:rsidRPr="00C55F64">
        <w:rPr>
          <w:i/>
        </w:rPr>
        <w:t>Radiocommunications Act 1992</w:t>
      </w:r>
      <w:r>
        <w:t>.</w:t>
      </w:r>
    </w:p>
    <w:p w:rsidR="00FD1106" w:rsidRDefault="00FD1106" w:rsidP="00FD1106">
      <w:pPr>
        <w:tabs>
          <w:tab w:val="right" w:pos="3686"/>
        </w:tabs>
        <w:spacing w:before="300" w:line="300" w:lineRule="exact"/>
      </w:pPr>
      <w:r>
        <w:t xml:space="preserve">Dated </w:t>
      </w:r>
      <w:bookmarkStart w:id="2" w:name="MadeDate"/>
      <w:bookmarkEnd w:id="2"/>
      <w:r w:rsidR="002F5E48" w:rsidRPr="002F5E48">
        <w:rPr>
          <w:i/>
        </w:rPr>
        <w:t>30</w:t>
      </w:r>
      <w:r w:rsidR="002F5E48" w:rsidRPr="002F5E48">
        <w:rPr>
          <w:i/>
          <w:vertAlign w:val="superscript"/>
        </w:rPr>
        <w:t>th</w:t>
      </w:r>
      <w:r w:rsidR="002F5E48" w:rsidRPr="002F5E48">
        <w:rPr>
          <w:i/>
        </w:rPr>
        <w:t xml:space="preserve"> June 2014</w:t>
      </w:r>
    </w:p>
    <w:p w:rsidR="00FD1106" w:rsidRDefault="002F5E48" w:rsidP="000C7EA1">
      <w:pPr>
        <w:tabs>
          <w:tab w:val="right" w:pos="3686"/>
        </w:tabs>
        <w:spacing w:before="240" w:after="120" w:line="300" w:lineRule="exact"/>
        <w:jc w:val="right"/>
      </w:pPr>
      <w:r w:rsidRPr="002F5E48">
        <w:rPr>
          <w:i/>
        </w:rPr>
        <w:t>Chris Chapman</w:t>
      </w:r>
      <w:r>
        <w:t xml:space="preserve"> </w:t>
      </w:r>
      <w:r w:rsidR="000C7EA1">
        <w:br/>
      </w:r>
      <w:r>
        <w:t xml:space="preserve">[signed] </w:t>
      </w:r>
      <w:r w:rsidR="000C7EA1">
        <w:br/>
      </w:r>
      <w:r w:rsidR="00FD1106">
        <w:t>Member</w:t>
      </w:r>
    </w:p>
    <w:p w:rsidR="00FD1106" w:rsidRDefault="002F5E48" w:rsidP="00FD1106">
      <w:pPr>
        <w:tabs>
          <w:tab w:val="right" w:pos="3686"/>
        </w:tabs>
        <w:spacing w:before="600"/>
        <w:jc w:val="right"/>
        <w:rPr>
          <w:strike/>
        </w:rPr>
      </w:pPr>
      <w:r w:rsidRPr="002F5E48">
        <w:rPr>
          <w:i/>
        </w:rPr>
        <w:t>Richard Bean</w:t>
      </w:r>
      <w:r>
        <w:t xml:space="preserve"> </w:t>
      </w:r>
      <w:r w:rsidR="000C7EA1">
        <w:br/>
      </w:r>
      <w:r>
        <w:t xml:space="preserve">[signed] </w:t>
      </w:r>
      <w:r w:rsidR="000C7EA1">
        <w:br/>
      </w:r>
      <w:r w:rsidR="00FD1106" w:rsidRPr="009F2F94">
        <w:t>Member/</w:t>
      </w:r>
      <w:r w:rsidR="00FD1106" w:rsidRPr="002F5E48">
        <w:rPr>
          <w:strike/>
        </w:rPr>
        <w:t>General Manager</w:t>
      </w:r>
    </w:p>
    <w:p w:rsidR="000C7EA1" w:rsidRDefault="000C7EA1" w:rsidP="00FD1106">
      <w:pPr>
        <w:tabs>
          <w:tab w:val="right" w:pos="3686"/>
        </w:tabs>
        <w:spacing w:before="600"/>
        <w:jc w:val="right"/>
        <w:rPr>
          <w:strike/>
        </w:rPr>
      </w:pPr>
      <w:bookmarkStart w:id="3" w:name="_GoBack"/>
      <w:bookmarkEnd w:id="3"/>
    </w:p>
    <w:p w:rsidR="00A30995" w:rsidRDefault="00FD1106" w:rsidP="00FD1106">
      <w:pPr>
        <w:pBdr>
          <w:bottom w:val="single" w:sz="4" w:space="12" w:color="auto"/>
        </w:pBdr>
        <w:spacing w:line="240" w:lineRule="exact"/>
      </w:pPr>
      <w:bookmarkStart w:id="4" w:name="MinisterSign"/>
      <w:bookmarkEnd w:id="4"/>
      <w:r>
        <w:t>Australian Communications and Media Authority</w:t>
      </w:r>
      <w:r w:rsidR="00A30995">
        <w:rPr>
          <w:rStyle w:val="CharPartText"/>
        </w:rPr>
        <w:t xml:space="preserve"> </w:t>
      </w:r>
    </w:p>
    <w:p w:rsidR="00A30995" w:rsidRDefault="00A30995" w:rsidP="00A30995">
      <w:pPr>
        <w:pStyle w:val="Header"/>
      </w:pPr>
      <w:r>
        <w:rPr>
          <w:rStyle w:val="CharDivNo"/>
        </w:rPr>
        <w:t xml:space="preserve"> </w:t>
      </w:r>
      <w:r>
        <w:rPr>
          <w:rStyle w:val="CharDivText"/>
        </w:rPr>
        <w:t xml:space="preserve"> </w:t>
      </w:r>
    </w:p>
    <w:p w:rsidR="00A30995" w:rsidRPr="003910D7" w:rsidRDefault="00A30995" w:rsidP="00A30995">
      <w:pPr>
        <w:pStyle w:val="HR"/>
        <w:rPr>
          <w:b w:val="0"/>
          <w:sz w:val="18"/>
        </w:rPr>
      </w:pPr>
      <w:bookmarkStart w:id="5" w:name="_Toc288485850"/>
      <w:r w:rsidRPr="00C940BA">
        <w:rPr>
          <w:rStyle w:val="CharSectno"/>
        </w:rPr>
        <w:t>1</w:t>
      </w:r>
      <w:r w:rsidR="00FD1106">
        <w:tab/>
        <w:t>Name of Standard</w:t>
      </w:r>
      <w:r>
        <w:rPr>
          <w:b w:val="0"/>
          <w:i/>
          <w:sz w:val="18"/>
        </w:rPr>
        <w:t xml:space="preserve"> </w:t>
      </w:r>
      <w:bookmarkEnd w:id="5"/>
    </w:p>
    <w:p w:rsidR="00A30995" w:rsidRDefault="00A30995" w:rsidP="00A30995">
      <w:pPr>
        <w:pStyle w:val="R1"/>
        <w:keepLines w:val="0"/>
      </w:pPr>
      <w:r>
        <w:tab/>
      </w:r>
      <w:r>
        <w:tab/>
        <w:t xml:space="preserve">This Standard is the </w:t>
      </w:r>
      <w:r w:rsidRPr="0012403A">
        <w:rPr>
          <w:i/>
          <w:iCs/>
        </w:rPr>
        <w:t>Radiocommunications (Electromagnetic Radiatio</w:t>
      </w:r>
      <w:r w:rsidR="00FD1106">
        <w:rPr>
          <w:i/>
          <w:iCs/>
        </w:rPr>
        <w:t xml:space="preserve">n — Human Exposure) Standard </w:t>
      </w:r>
      <w:r w:rsidR="00842339">
        <w:rPr>
          <w:i/>
          <w:iCs/>
        </w:rPr>
        <w:t>2014</w:t>
      </w:r>
      <w:r>
        <w:t>.</w:t>
      </w:r>
    </w:p>
    <w:p w:rsidR="00A30995" w:rsidRDefault="00A30995" w:rsidP="00A30995">
      <w:pPr>
        <w:pStyle w:val="HR"/>
        <w:keepNext w:val="0"/>
      </w:pPr>
      <w:bookmarkStart w:id="6" w:name="_Toc288485851"/>
      <w:r w:rsidRPr="00C940BA">
        <w:rPr>
          <w:rStyle w:val="CharSectno"/>
        </w:rPr>
        <w:t>2</w:t>
      </w:r>
      <w:r>
        <w:tab/>
        <w:t>Commencement</w:t>
      </w:r>
      <w:bookmarkEnd w:id="6"/>
    </w:p>
    <w:p w:rsidR="00A30995" w:rsidRDefault="00A30995" w:rsidP="00A30995">
      <w:pPr>
        <w:pStyle w:val="R1"/>
        <w:keepLines w:val="0"/>
      </w:pPr>
      <w:r>
        <w:tab/>
      </w:r>
      <w:r>
        <w:tab/>
        <w:t xml:space="preserve">This Standard commences on </w:t>
      </w:r>
      <w:r w:rsidR="004E3605">
        <w:t>the day after it is registered</w:t>
      </w:r>
      <w:r w:rsidRPr="00A112BB">
        <w:t>.</w:t>
      </w:r>
    </w:p>
    <w:p w:rsidR="004E3605" w:rsidRPr="004E3605" w:rsidRDefault="004E3605" w:rsidP="004E3605">
      <w:pPr>
        <w:pStyle w:val="Note"/>
        <w:rPr>
          <w:i/>
          <w:iCs/>
        </w:rPr>
      </w:pPr>
      <w:r w:rsidRPr="00B81BAA">
        <w:rPr>
          <w:i/>
          <w:iCs/>
        </w:rPr>
        <w:t>Note  </w:t>
      </w:r>
      <w:r>
        <w:rPr>
          <w:i/>
          <w:iCs/>
        </w:rPr>
        <w:t> </w:t>
      </w:r>
      <w:r>
        <w:rPr>
          <w:iCs/>
        </w:rPr>
        <w:t>All legislative instruments a</w:t>
      </w:r>
      <w:r w:rsidR="007A5876">
        <w:rPr>
          <w:iCs/>
        </w:rPr>
        <w:t xml:space="preserve">nd compilations are registered on the Federal Register of Legislative Instruments kept under the </w:t>
      </w:r>
      <w:r w:rsidR="007A5876">
        <w:rPr>
          <w:i/>
          <w:iCs/>
        </w:rPr>
        <w:t>Legislative Instruments Act 2003</w:t>
      </w:r>
      <w:r w:rsidR="007A5876">
        <w:rPr>
          <w:iCs/>
        </w:rPr>
        <w:t xml:space="preserve">.  See </w:t>
      </w:r>
      <w:hyperlink r:id="rId14" w:history="1">
        <w:r w:rsidR="007A5876" w:rsidRPr="005540F8">
          <w:rPr>
            <w:rStyle w:val="Hyperlink"/>
            <w:iCs/>
          </w:rPr>
          <w:t>http://www.comlaw.gov.au</w:t>
        </w:r>
      </w:hyperlink>
      <w:r w:rsidRPr="004E3605">
        <w:rPr>
          <w:i/>
          <w:iCs/>
        </w:rPr>
        <w:t>.</w:t>
      </w:r>
    </w:p>
    <w:p w:rsidR="00A30995" w:rsidRDefault="00A30995" w:rsidP="00772B91">
      <w:pPr>
        <w:pStyle w:val="HR"/>
      </w:pPr>
      <w:bookmarkStart w:id="7" w:name="_Toc288485852"/>
      <w:r w:rsidRPr="00C940BA">
        <w:rPr>
          <w:rStyle w:val="CharSectno"/>
        </w:rPr>
        <w:t>3</w:t>
      </w:r>
      <w:r>
        <w:tab/>
        <w:t>Revocation</w:t>
      </w:r>
      <w:bookmarkEnd w:id="7"/>
    </w:p>
    <w:p w:rsidR="00A30995" w:rsidRDefault="00A30995" w:rsidP="00A30995">
      <w:pPr>
        <w:pStyle w:val="R1"/>
        <w:keepLines w:val="0"/>
      </w:pPr>
      <w:r>
        <w:tab/>
      </w:r>
      <w:r>
        <w:tab/>
        <w:t xml:space="preserve">The </w:t>
      </w:r>
      <w:r>
        <w:rPr>
          <w:i/>
          <w:iCs/>
        </w:rPr>
        <w:t>Radiocommunications (Electromagnetic Radiation</w:t>
      </w:r>
      <w:r w:rsidR="00535884">
        <w:rPr>
          <w:i/>
          <w:iCs/>
        </w:rPr>
        <w:t> —Human Exposure) Standard 2003</w:t>
      </w:r>
      <w:r>
        <w:t xml:space="preserve"> </w:t>
      </w:r>
      <w:r w:rsidR="004144A9">
        <w:t xml:space="preserve">[F2005B00258] </w:t>
      </w:r>
      <w:r>
        <w:t>is revoked.</w:t>
      </w:r>
    </w:p>
    <w:p w:rsidR="00A30995" w:rsidRDefault="00A30995" w:rsidP="00A30995">
      <w:pPr>
        <w:pStyle w:val="HR"/>
        <w:keepNext w:val="0"/>
      </w:pPr>
      <w:bookmarkStart w:id="8" w:name="_Toc288485853"/>
      <w:r w:rsidRPr="00C940BA">
        <w:rPr>
          <w:rStyle w:val="CharSectno"/>
        </w:rPr>
        <w:lastRenderedPageBreak/>
        <w:t>4</w:t>
      </w:r>
      <w:r>
        <w:tab/>
        <w:t>Object of Standard</w:t>
      </w:r>
      <w:bookmarkEnd w:id="8"/>
    </w:p>
    <w:p w:rsidR="00BA4F43" w:rsidRPr="00535884" w:rsidRDefault="00A30995" w:rsidP="00EC0462">
      <w:pPr>
        <w:pStyle w:val="R1"/>
        <w:keepLines w:val="0"/>
      </w:pPr>
      <w:r>
        <w:tab/>
      </w:r>
      <w:r>
        <w:tab/>
      </w:r>
      <w:r w:rsidRPr="00B81BAA">
        <w:t>This Standard regulates the performance of particular radiocommunications transmitters</w:t>
      </w:r>
      <w:r w:rsidR="00BA4F43" w:rsidRPr="00B81BAA">
        <w:t xml:space="preserve"> </w:t>
      </w:r>
      <w:r w:rsidRPr="00B81BAA">
        <w:t>to protect the health and safety of persons</w:t>
      </w:r>
      <w:r w:rsidR="00535884" w:rsidRPr="00B81BAA">
        <w:t xml:space="preserve"> who</w:t>
      </w:r>
      <w:r w:rsidR="00EC0462" w:rsidRPr="00B81BAA">
        <w:t xml:space="preserve"> may be exposed to electromagnetic radiation from such transmitters.</w:t>
      </w:r>
    </w:p>
    <w:p w:rsidR="00A30995" w:rsidRDefault="00A30995" w:rsidP="00A30995">
      <w:pPr>
        <w:pStyle w:val="HR"/>
        <w:keepNext w:val="0"/>
      </w:pPr>
      <w:bookmarkStart w:id="9" w:name="_Toc288485854"/>
      <w:r w:rsidRPr="00C940BA">
        <w:rPr>
          <w:rStyle w:val="CharSectno"/>
        </w:rPr>
        <w:t>5</w:t>
      </w:r>
      <w:r>
        <w:tab/>
        <w:t>Definitions</w:t>
      </w:r>
      <w:bookmarkEnd w:id="9"/>
    </w:p>
    <w:p w:rsidR="00A30995" w:rsidRDefault="00A30995" w:rsidP="00BA4F43">
      <w:pPr>
        <w:pStyle w:val="R1"/>
        <w:keepLines w:val="0"/>
      </w:pPr>
      <w:r>
        <w:tab/>
        <w:t>(1)</w:t>
      </w:r>
      <w:r>
        <w:tab/>
        <w:t>In this Standard:</w:t>
      </w:r>
    </w:p>
    <w:p w:rsidR="00A30995" w:rsidRDefault="00A30995" w:rsidP="00A30995">
      <w:pPr>
        <w:pStyle w:val="definition"/>
      </w:pPr>
      <w:r>
        <w:rPr>
          <w:b/>
          <w:bCs/>
          <w:i/>
          <w:iCs/>
        </w:rPr>
        <w:t>Act</w:t>
      </w:r>
      <w:r>
        <w:t xml:space="preserve"> means the </w:t>
      </w:r>
      <w:r>
        <w:rPr>
          <w:i/>
          <w:iCs/>
        </w:rPr>
        <w:t>Radiocommunications Act 1992</w:t>
      </w:r>
      <w:r>
        <w:t>.</w:t>
      </w:r>
    </w:p>
    <w:p w:rsidR="00A30995" w:rsidRDefault="00A30995" w:rsidP="00A30995">
      <w:pPr>
        <w:pStyle w:val="definition"/>
      </w:pPr>
      <w:r>
        <w:rPr>
          <w:b/>
          <w:bCs/>
          <w:i/>
          <w:iCs/>
        </w:rPr>
        <w:t>ARPANSA Standard</w:t>
      </w:r>
      <w:r>
        <w:rPr>
          <w:b/>
          <w:bCs/>
        </w:rPr>
        <w:t xml:space="preserve"> </w:t>
      </w:r>
      <w:r>
        <w:t xml:space="preserve">means the </w:t>
      </w:r>
      <w:r>
        <w:rPr>
          <w:i/>
          <w:iCs/>
        </w:rPr>
        <w:t>Radiation Protection Standard for Maximum Exposure Levels to Radiofrequency Fields – 3 kHz to 300 GHz</w:t>
      </w:r>
      <w:r>
        <w:t xml:space="preserve"> published by the Australian Radiation Protection and Nuclear Safety Agency.</w:t>
      </w:r>
    </w:p>
    <w:p w:rsidR="00A30995" w:rsidRDefault="00A30995" w:rsidP="00A30995">
      <w:pPr>
        <w:pStyle w:val="Note"/>
      </w:pPr>
      <w:r>
        <w:rPr>
          <w:i/>
          <w:iCs/>
        </w:rPr>
        <w:t>Note   </w:t>
      </w:r>
      <w:r w:rsidR="00836CA1" w:rsidRPr="00836CA1">
        <w:rPr>
          <w:iCs/>
        </w:rPr>
        <w:t>The ARPANSA Standard</w:t>
      </w:r>
      <w:r>
        <w:t xml:space="preserve"> may be obtained from the Australian Radiation Protection and Nuclear Safety Agency we</w:t>
      </w:r>
      <w:r w:rsidR="00EC0462">
        <w:t xml:space="preserve">bsite </w:t>
      </w:r>
      <w:hyperlink r:id="rId15" w:history="1">
        <w:r w:rsidR="00E30FED" w:rsidRPr="00DC7FC3">
          <w:rPr>
            <w:rStyle w:val="Hyperlink"/>
          </w:rPr>
          <w:t>http://www.arpansa.gov.au</w:t>
        </w:r>
      </w:hyperlink>
      <w:r>
        <w:t>.</w:t>
      </w:r>
    </w:p>
    <w:p w:rsidR="00A30995" w:rsidRDefault="00A30995" w:rsidP="00A30995">
      <w:pPr>
        <w:pStyle w:val="definition"/>
      </w:pPr>
      <w:r w:rsidRPr="001B20FA">
        <w:rPr>
          <w:b/>
          <w:bCs/>
          <w:i/>
          <w:iCs/>
        </w:rPr>
        <w:t>AS</w:t>
      </w:r>
      <w:r w:rsidR="009D058E">
        <w:rPr>
          <w:b/>
          <w:bCs/>
          <w:i/>
          <w:iCs/>
        </w:rPr>
        <w:t>/NZS</w:t>
      </w:r>
      <w:r w:rsidRPr="001B20FA">
        <w:rPr>
          <w:b/>
          <w:bCs/>
          <w:i/>
          <w:iCs/>
        </w:rPr>
        <w:t xml:space="preserve"> 2772</w:t>
      </w:r>
      <w:r w:rsidRPr="009F265D">
        <w:rPr>
          <w:b/>
          <w:bCs/>
          <w:iCs/>
        </w:rPr>
        <w:t>.</w:t>
      </w:r>
      <w:r w:rsidRPr="001B20FA">
        <w:rPr>
          <w:b/>
          <w:bCs/>
          <w:i/>
          <w:iCs/>
        </w:rPr>
        <w:t>2</w:t>
      </w:r>
      <w:r>
        <w:t xml:space="preserve"> means the Australian Standard</w:t>
      </w:r>
      <w:r w:rsidR="009D058E">
        <w:t>/New Zealand Standard</w:t>
      </w:r>
      <w:r>
        <w:t xml:space="preserve"> </w:t>
      </w:r>
      <w:r w:rsidR="009D058E" w:rsidRPr="00D903BE">
        <w:rPr>
          <w:i/>
        </w:rPr>
        <w:t>AS/NZS 277</w:t>
      </w:r>
      <w:r w:rsidR="00D903BE" w:rsidRPr="00D903BE">
        <w:rPr>
          <w:i/>
        </w:rPr>
        <w:t>2</w:t>
      </w:r>
      <w:r w:rsidR="009D058E" w:rsidRPr="00D903BE">
        <w:rPr>
          <w:i/>
        </w:rPr>
        <w:t>.2:2011</w:t>
      </w:r>
      <w:r w:rsidR="009D058E">
        <w:t xml:space="preserve"> </w:t>
      </w:r>
      <w:r w:rsidRPr="00456D16">
        <w:rPr>
          <w:i/>
          <w:iCs/>
        </w:rPr>
        <w:t xml:space="preserve">Radiofrequency </w:t>
      </w:r>
      <w:r w:rsidR="00C54350">
        <w:rPr>
          <w:i/>
          <w:iCs/>
        </w:rPr>
        <w:t>fields</w:t>
      </w:r>
      <w:r w:rsidRPr="00456D16">
        <w:rPr>
          <w:i/>
          <w:iCs/>
        </w:rPr>
        <w:t>: Principles and methods of measurement </w:t>
      </w:r>
      <w:r w:rsidR="00C54350">
        <w:rPr>
          <w:i/>
          <w:iCs/>
        </w:rPr>
        <w:t xml:space="preserve">and computation </w:t>
      </w:r>
      <w:r w:rsidRPr="00456D16">
        <w:rPr>
          <w:i/>
          <w:iCs/>
        </w:rPr>
        <w:t xml:space="preserve">– </w:t>
      </w:r>
      <w:r w:rsidR="000914DF">
        <w:rPr>
          <w:i/>
          <w:iCs/>
        </w:rPr>
        <w:t>3</w:t>
      </w:r>
      <w:r w:rsidR="000914DF" w:rsidRPr="00456D16">
        <w:rPr>
          <w:i/>
          <w:iCs/>
        </w:rPr>
        <w:t> </w:t>
      </w:r>
      <w:r w:rsidRPr="00456D16">
        <w:rPr>
          <w:i/>
          <w:iCs/>
        </w:rPr>
        <w:t xml:space="preserve">kHz to </w:t>
      </w:r>
      <w:r w:rsidR="001A0471">
        <w:rPr>
          <w:i/>
          <w:iCs/>
        </w:rPr>
        <w:t>300</w:t>
      </w:r>
      <w:r w:rsidR="001A0471" w:rsidRPr="00456D16">
        <w:rPr>
          <w:i/>
          <w:iCs/>
        </w:rPr>
        <w:t> </w:t>
      </w:r>
      <w:r w:rsidRPr="00456D16">
        <w:rPr>
          <w:i/>
          <w:iCs/>
        </w:rPr>
        <w:t xml:space="preserve">GHz </w:t>
      </w:r>
      <w:r>
        <w:t>published by Standards Australia.</w:t>
      </w:r>
    </w:p>
    <w:p w:rsidR="00EC0462" w:rsidRDefault="00EC0462" w:rsidP="00EC0462">
      <w:pPr>
        <w:pStyle w:val="Note"/>
      </w:pPr>
      <w:r w:rsidRPr="00B81BAA">
        <w:rPr>
          <w:i/>
          <w:iCs/>
        </w:rPr>
        <w:t>Note   </w:t>
      </w:r>
      <w:r w:rsidR="00836CA1" w:rsidRPr="00836CA1">
        <w:rPr>
          <w:iCs/>
        </w:rPr>
        <w:t>AS 2772.2</w:t>
      </w:r>
      <w:r w:rsidRPr="00B81BAA">
        <w:rPr>
          <w:i/>
          <w:iCs/>
        </w:rPr>
        <w:t xml:space="preserve"> </w:t>
      </w:r>
      <w:r w:rsidRPr="00B81BAA">
        <w:t xml:space="preserve">may be obtained from the </w:t>
      </w:r>
      <w:r w:rsidR="008567A7" w:rsidRPr="00B81BAA">
        <w:t>SAI Global L</w:t>
      </w:r>
      <w:r w:rsidR="00B81BAA" w:rsidRPr="00B81BAA">
        <w:t>imite</w:t>
      </w:r>
      <w:r w:rsidR="008567A7" w:rsidRPr="00B81BAA">
        <w:t>d</w:t>
      </w:r>
      <w:r w:rsidRPr="00B81BAA">
        <w:t xml:space="preserve"> website</w:t>
      </w:r>
      <w:r w:rsidR="00B81BAA" w:rsidRPr="00B81BAA">
        <w:t xml:space="preserve"> </w:t>
      </w:r>
      <w:hyperlink r:id="rId16" w:history="1">
        <w:r w:rsidR="00E30FED" w:rsidRPr="00DC7FC3">
          <w:rPr>
            <w:rStyle w:val="Hyperlink"/>
          </w:rPr>
          <w:t>http://www.saiglobal.com</w:t>
        </w:r>
      </w:hyperlink>
      <w:r w:rsidRPr="00B81BAA">
        <w:t>.</w:t>
      </w:r>
    </w:p>
    <w:p w:rsidR="00A30995" w:rsidRDefault="00A30995" w:rsidP="00A30995">
      <w:pPr>
        <w:pStyle w:val="definition"/>
      </w:pPr>
      <w:r>
        <w:rPr>
          <w:b/>
          <w:bCs/>
          <w:i/>
          <w:iCs/>
        </w:rPr>
        <w:t>aware user device</w:t>
      </w:r>
      <w:r w:rsidRPr="003425AF">
        <w:t xml:space="preserve"> means a hand</w:t>
      </w:r>
      <w:r w:rsidR="00D903BE">
        <w:t>-</w:t>
      </w:r>
      <w:r w:rsidRPr="003425AF">
        <w:t>held or body</w:t>
      </w:r>
      <w:r w:rsidR="00D903BE">
        <w:t>-</w:t>
      </w:r>
      <w:r w:rsidRPr="003425AF">
        <w:t>worn radiocommunications</w:t>
      </w:r>
      <w:r>
        <w:t xml:space="preserve"> transmitter that operates on a push</w:t>
      </w:r>
      <w:r w:rsidR="00D903BE">
        <w:t>-</w:t>
      </w:r>
      <w:r>
        <w:t>to</w:t>
      </w:r>
      <w:r w:rsidR="00D903BE">
        <w:t>-</w:t>
      </w:r>
      <w:r>
        <w:t>talk basis and is intended for use as:</w:t>
      </w:r>
    </w:p>
    <w:p w:rsidR="00A30995" w:rsidRDefault="00A30995" w:rsidP="00A30995">
      <w:pPr>
        <w:pStyle w:val="P1"/>
      </w:pPr>
      <w:r>
        <w:tab/>
        <w:t>(a)</w:t>
      </w:r>
      <w:r>
        <w:tab/>
        <w:t xml:space="preserve">an ambulatory station; or </w:t>
      </w:r>
    </w:p>
    <w:p w:rsidR="00A30995" w:rsidRDefault="00A30995" w:rsidP="00A30995">
      <w:pPr>
        <w:pStyle w:val="P1"/>
      </w:pPr>
      <w:r>
        <w:tab/>
        <w:t>(b)</w:t>
      </w:r>
      <w:r>
        <w:tab/>
        <w:t>a land mobile system station; or</w:t>
      </w:r>
    </w:p>
    <w:p w:rsidR="00A30995" w:rsidRDefault="00A30995" w:rsidP="00A30995">
      <w:pPr>
        <w:pStyle w:val="P1"/>
      </w:pPr>
      <w:r>
        <w:tab/>
        <w:t>(c)</w:t>
      </w:r>
      <w:r>
        <w:tab/>
        <w:t>a maritime ship station; or</w:t>
      </w:r>
    </w:p>
    <w:p w:rsidR="00A30995" w:rsidRDefault="00A30995" w:rsidP="00A30995">
      <w:pPr>
        <w:pStyle w:val="P1"/>
      </w:pPr>
      <w:r>
        <w:tab/>
        <w:t>(d)</w:t>
      </w:r>
      <w:r>
        <w:tab/>
        <w:t>a citizens band radio station; or</w:t>
      </w:r>
    </w:p>
    <w:p w:rsidR="00A30995" w:rsidRDefault="00A30995" w:rsidP="00A30995">
      <w:pPr>
        <w:pStyle w:val="P1"/>
      </w:pPr>
      <w:r>
        <w:tab/>
        <w:t>(e)</w:t>
      </w:r>
      <w:r>
        <w:tab/>
        <w:t>an amateur station.</w:t>
      </w:r>
    </w:p>
    <w:p w:rsidR="00A30995" w:rsidRDefault="00A30995" w:rsidP="00A30995">
      <w:pPr>
        <w:pStyle w:val="definition"/>
      </w:pPr>
      <w:r>
        <w:rPr>
          <w:b/>
          <w:bCs/>
          <w:i/>
          <w:iCs/>
        </w:rPr>
        <w:t>basic restrictions</w:t>
      </w:r>
      <w:r>
        <w:t xml:space="preserve"> means the restrictions in Tables 2 and 6, including the notes to Table</w:t>
      </w:r>
      <w:r w:rsidR="00880286">
        <w:t>s</w:t>
      </w:r>
      <w:r>
        <w:t xml:space="preserve"> 2 and 6, of section 2.3 of the ARPANSA </w:t>
      </w:r>
      <w:r w:rsidR="000C02E6">
        <w:t>Standard</w:t>
      </w:r>
      <w:r>
        <w:t>.</w:t>
      </w:r>
    </w:p>
    <w:p w:rsidR="00A30995" w:rsidRPr="0055445F" w:rsidRDefault="00A30995" w:rsidP="00A30995">
      <w:pPr>
        <w:pStyle w:val="definition"/>
      </w:pPr>
      <w:r w:rsidRPr="00B81BAA">
        <w:rPr>
          <w:b/>
          <w:bCs/>
          <w:i/>
          <w:iCs/>
        </w:rPr>
        <w:t>device</w:t>
      </w:r>
      <w:r w:rsidRPr="00B81BAA">
        <w:t xml:space="preserve"> means a mobile station that section 6 of this Standard appl</w:t>
      </w:r>
      <w:r w:rsidR="0075117D" w:rsidRPr="00B81BAA">
        <w:t>ies</w:t>
      </w:r>
      <w:r w:rsidRPr="00B81BAA">
        <w:t xml:space="preserve"> to.</w:t>
      </w:r>
    </w:p>
    <w:p w:rsidR="00A30995" w:rsidRDefault="00A30995" w:rsidP="00A30995">
      <w:pPr>
        <w:pStyle w:val="definition"/>
      </w:pPr>
      <w:r w:rsidRPr="009D0525">
        <w:rPr>
          <w:b/>
          <w:i/>
        </w:rPr>
        <w:t>EN 62209</w:t>
      </w:r>
      <w:r>
        <w:rPr>
          <w:b/>
          <w:i/>
        </w:rPr>
        <w:noBreakHyphen/>
        <w:t>1</w:t>
      </w:r>
      <w:r>
        <w:t xml:space="preserve"> means </w:t>
      </w:r>
      <w:r w:rsidRPr="009D0525">
        <w:rPr>
          <w:i/>
        </w:rPr>
        <w:t>Human exposure to radio frequency fields from hand</w:t>
      </w:r>
      <w:r>
        <w:rPr>
          <w:i/>
        </w:rPr>
        <w:noBreakHyphen/>
      </w:r>
      <w:r w:rsidRPr="009D0525">
        <w:rPr>
          <w:i/>
        </w:rPr>
        <w:t>held and body</w:t>
      </w:r>
      <w:r>
        <w:rPr>
          <w:i/>
        </w:rPr>
        <w:noBreakHyphen/>
      </w:r>
      <w:r w:rsidRPr="009D0525">
        <w:rPr>
          <w:i/>
        </w:rPr>
        <w:t>mounted wireless communication devices</w:t>
      </w:r>
      <w:r>
        <w:rPr>
          <w:i/>
        </w:rPr>
        <w:t> </w:t>
      </w:r>
      <w:r w:rsidRPr="009D0525">
        <w:rPr>
          <w:i/>
        </w:rPr>
        <w:t>— Human models, instrumentation, and procedures</w:t>
      </w:r>
      <w:r>
        <w:rPr>
          <w:i/>
        </w:rPr>
        <w:t> </w:t>
      </w:r>
      <w:r w:rsidRPr="009D0525">
        <w:rPr>
          <w:i/>
        </w:rPr>
        <w:t>— Part 1: Procedure to determine the specific absorption rate (SAR) for hand</w:t>
      </w:r>
      <w:r>
        <w:rPr>
          <w:i/>
        </w:rPr>
        <w:noBreakHyphen/>
      </w:r>
      <w:r w:rsidRPr="009D0525">
        <w:rPr>
          <w:i/>
        </w:rPr>
        <w:t>held devices used in close proximity to the ear (frequ</w:t>
      </w:r>
      <w:r>
        <w:rPr>
          <w:i/>
        </w:rPr>
        <w:t>ency range of 300 MHz to 3 GHz)</w:t>
      </w:r>
      <w:r>
        <w:t>, published by the European Committee for Electrotechnical Standardisation (CENELEC).</w:t>
      </w:r>
    </w:p>
    <w:p w:rsidR="00B34756" w:rsidRPr="00B34756" w:rsidRDefault="00A30995" w:rsidP="00B34756">
      <w:pPr>
        <w:pStyle w:val="Note"/>
      </w:pPr>
      <w:r w:rsidRPr="00AA7532">
        <w:rPr>
          <w:i/>
        </w:rPr>
        <w:t>Note</w:t>
      </w:r>
      <w:r>
        <w:rPr>
          <w:i/>
        </w:rPr>
        <w:t>   </w:t>
      </w:r>
      <w:r w:rsidRPr="00300738">
        <w:t>EN 62209</w:t>
      </w:r>
      <w:r>
        <w:noBreakHyphen/>
      </w:r>
      <w:r w:rsidRPr="00300738">
        <w:t>1 is a European Union harmonised standard based on IEC 62209</w:t>
      </w:r>
      <w:r>
        <w:noBreakHyphen/>
      </w:r>
      <w:r w:rsidRPr="00300738">
        <w:t xml:space="preserve">1, a standard developed by Technical Committee TC106 of the International Electrotechnical Commission (IEC). Australia has active representation on TC106 through the participation of Standards Australia </w:t>
      </w:r>
      <w:r>
        <w:t>(</w:t>
      </w:r>
      <w:hyperlink r:id="rId17" w:history="1">
        <w:r w:rsidR="00B34756" w:rsidRPr="00B81BAA">
          <w:rPr>
            <w:rStyle w:val="Hyperlink"/>
          </w:rPr>
          <w:t>http://www.standards.org.au/</w:t>
        </w:r>
      </w:hyperlink>
      <w:r w:rsidRPr="00B81BAA">
        <w:t>).</w:t>
      </w:r>
      <w:r w:rsidR="00B34756" w:rsidRPr="00B81BAA">
        <w:t xml:space="preserve"> EN 62209-1 </w:t>
      </w:r>
      <w:r w:rsidR="00B81BAA" w:rsidRPr="00B81BAA">
        <w:t xml:space="preserve">may be obtained from the SAI Global Limited website </w:t>
      </w:r>
      <w:hyperlink r:id="rId18" w:history="1">
        <w:r w:rsidR="000F494B" w:rsidRPr="00DC7FC3">
          <w:rPr>
            <w:rStyle w:val="Hyperlink"/>
          </w:rPr>
          <w:t>http://www,saiglobal.com</w:t>
        </w:r>
      </w:hyperlink>
      <w:r w:rsidR="00B81BAA" w:rsidRPr="00B81BAA">
        <w:t>.</w:t>
      </w:r>
    </w:p>
    <w:p w:rsidR="00A30995" w:rsidRDefault="00A30995" w:rsidP="00B81BAA">
      <w:pPr>
        <w:pStyle w:val="definition"/>
        <w:keepLines/>
      </w:pPr>
      <w:r w:rsidRPr="002D42A7">
        <w:rPr>
          <w:b/>
          <w:bCs/>
          <w:i/>
        </w:rPr>
        <w:lastRenderedPageBreak/>
        <w:t>EN 62209-2</w:t>
      </w:r>
      <w:r>
        <w:t xml:space="preserve"> means </w:t>
      </w:r>
      <w:r w:rsidRPr="002D42A7">
        <w:rPr>
          <w:i/>
        </w:rPr>
        <w:t>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w:t>
      </w:r>
      <w:r>
        <w:t>, published by the European Committee for Electrotechnical Standardisation (CENELEC</w:t>
      </w:r>
      <w:r w:rsidR="0064691F">
        <w:t>)</w:t>
      </w:r>
      <w:r>
        <w:t xml:space="preserve">. </w:t>
      </w:r>
    </w:p>
    <w:p w:rsidR="00A30995" w:rsidRDefault="00A30995" w:rsidP="00B34756">
      <w:pPr>
        <w:pStyle w:val="Note"/>
      </w:pPr>
      <w:r>
        <w:rPr>
          <w:i/>
          <w:iCs/>
        </w:rPr>
        <w:t>Note</w:t>
      </w:r>
      <w:r>
        <w:t xml:space="preserve">   EN 62209-2 is a European Union harmonised standard based on IEC 62209-2, a standard developed by Technical Committee TC106 of the International Electrotechnical Commission (IEC).  Australia has active representation on TC106 through the participation of Standards Australia </w:t>
      </w:r>
      <w:r>
        <w:rPr>
          <w:szCs w:val="20"/>
        </w:rPr>
        <w:t>(</w:t>
      </w:r>
      <w:hyperlink r:id="rId19" w:history="1">
        <w:r w:rsidR="00B34756" w:rsidRPr="00F72EC9">
          <w:rPr>
            <w:rStyle w:val="Hyperlink"/>
            <w:szCs w:val="20"/>
          </w:rPr>
          <w:t>http://www.standards.org.au/</w:t>
        </w:r>
      </w:hyperlink>
      <w:r>
        <w:rPr>
          <w:szCs w:val="20"/>
        </w:rPr>
        <w:t>)</w:t>
      </w:r>
      <w:r>
        <w:t>.</w:t>
      </w:r>
      <w:r w:rsidR="00B34756">
        <w:t xml:space="preserve"> EN 62209-</w:t>
      </w:r>
      <w:r w:rsidR="000C02E6">
        <w:t xml:space="preserve">2 </w:t>
      </w:r>
      <w:r w:rsidR="000F494B" w:rsidRPr="00B81BAA">
        <w:t xml:space="preserve">may be obtained from the SAI Global Limited website </w:t>
      </w:r>
      <w:hyperlink r:id="rId20" w:history="1">
        <w:r w:rsidR="000F494B" w:rsidRPr="00DC7FC3">
          <w:rPr>
            <w:rStyle w:val="Hyperlink"/>
          </w:rPr>
          <w:t>http://www,saiglobal.com</w:t>
        </w:r>
      </w:hyperlink>
      <w:r w:rsidR="00B81BAA" w:rsidRPr="00B81BAA">
        <w:t>.</w:t>
      </w:r>
    </w:p>
    <w:p w:rsidR="00A30995" w:rsidRDefault="00A30995" w:rsidP="00A30995">
      <w:pPr>
        <w:pStyle w:val="definition"/>
      </w:pPr>
      <w:r>
        <w:rPr>
          <w:b/>
          <w:bCs/>
          <w:i/>
          <w:iCs/>
        </w:rPr>
        <w:t>human body</w:t>
      </w:r>
      <w:r>
        <w:t xml:space="preserve"> means the head, neck and trunk but not the limbs.</w:t>
      </w:r>
    </w:p>
    <w:p w:rsidR="00A30995" w:rsidRPr="000773A9" w:rsidRDefault="00A30995" w:rsidP="00A30995">
      <w:pPr>
        <w:pStyle w:val="definition"/>
      </w:pPr>
      <w:r>
        <w:rPr>
          <w:b/>
          <w:i/>
        </w:rPr>
        <w:t>IEC 62209-1</w:t>
      </w:r>
      <w:r>
        <w:t xml:space="preserve"> means </w:t>
      </w:r>
      <w:r w:rsidRPr="00595C91">
        <w:rPr>
          <w:i/>
        </w:rPr>
        <w:t>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w:t>
      </w:r>
      <w:r>
        <w:t xml:space="preserve">, published by </w:t>
      </w:r>
      <w:r>
        <w:rPr>
          <w:szCs w:val="20"/>
        </w:rPr>
        <w:t>the International Electrotechnical Commission (IEC).</w:t>
      </w:r>
    </w:p>
    <w:p w:rsidR="00A30995" w:rsidRDefault="00A30995" w:rsidP="00A30995">
      <w:pPr>
        <w:pStyle w:val="Note"/>
        <w:rPr>
          <w:szCs w:val="20"/>
        </w:rPr>
      </w:pPr>
      <w:r>
        <w:rPr>
          <w:i/>
        </w:rPr>
        <w:t>Note</w:t>
      </w:r>
      <w:r>
        <w:t>   IEC 62209-1 was</w:t>
      </w:r>
      <w:r>
        <w:rPr>
          <w:szCs w:val="20"/>
        </w:rPr>
        <w:t xml:space="preserve"> developed by Technical Committee TC106 of the International Electrotechnical Commission (IEC). Australia has active representation on TC106 through the participation of Standards Australia (</w:t>
      </w:r>
      <w:hyperlink r:id="rId21" w:history="1">
        <w:r w:rsidR="00B34756" w:rsidRPr="00F72EC9">
          <w:rPr>
            <w:rStyle w:val="Hyperlink"/>
            <w:szCs w:val="20"/>
          </w:rPr>
          <w:t>http://www.standards.org.au/</w:t>
        </w:r>
      </w:hyperlink>
      <w:r>
        <w:rPr>
          <w:szCs w:val="20"/>
        </w:rPr>
        <w:t>).</w:t>
      </w:r>
      <w:r w:rsidR="00B34756">
        <w:rPr>
          <w:szCs w:val="20"/>
        </w:rPr>
        <w:t xml:space="preserve"> IEC 62209-1 </w:t>
      </w:r>
      <w:r w:rsidR="00B81BAA" w:rsidRPr="00B81BAA">
        <w:t xml:space="preserve">may be obtained from the SAI Global Limited website </w:t>
      </w:r>
      <w:r w:rsidR="00B81BAA">
        <w:t>http://</w:t>
      </w:r>
      <w:hyperlink r:id="rId22" w:history="1">
        <w:r w:rsidR="00B81BAA" w:rsidRPr="00B81BAA">
          <w:rPr>
            <w:rStyle w:val="Hyperlink"/>
          </w:rPr>
          <w:t>www.saiglobal.com</w:t>
        </w:r>
      </w:hyperlink>
      <w:r w:rsidR="00B81BAA" w:rsidRPr="00B81BAA">
        <w:t>.</w:t>
      </w:r>
    </w:p>
    <w:p w:rsidR="00A30995" w:rsidRDefault="00A30995" w:rsidP="00A30995">
      <w:pPr>
        <w:pStyle w:val="definition"/>
      </w:pPr>
      <w:r w:rsidRPr="00435ADC">
        <w:rPr>
          <w:b/>
          <w:bCs/>
          <w:i/>
        </w:rPr>
        <w:t>IEC 62209-2</w:t>
      </w:r>
      <w:r>
        <w:t xml:space="preserve"> means </w:t>
      </w:r>
      <w:r w:rsidRPr="00AD59C7">
        <w:rPr>
          <w:i/>
        </w:rPr>
        <w:t xml:space="preserve">Human exposure to radio frequency fields from hand-held and body-mounted wireless communication devices </w:t>
      </w:r>
      <w:r>
        <w:rPr>
          <w:i/>
        </w:rPr>
        <w:t>—</w:t>
      </w:r>
      <w:r w:rsidRPr="00AD59C7">
        <w:rPr>
          <w:i/>
        </w:rPr>
        <w:t xml:space="preserve"> Human models, instrumentation, and procedures — Part 2: Procedure to determine the specific absorption rate (SAR) for wireless communication devices used in close proximity to the human body (frequency range of 30 MHz to 6 GHz)</w:t>
      </w:r>
      <w:r>
        <w:t>, published by the International Electrotechnical Commission (IEC</w:t>
      </w:r>
      <w:r w:rsidR="0064691F">
        <w:t>)</w:t>
      </w:r>
      <w:r>
        <w:t xml:space="preserve">. </w:t>
      </w:r>
    </w:p>
    <w:p w:rsidR="00A30995" w:rsidRDefault="00A30995" w:rsidP="00B34756">
      <w:pPr>
        <w:pStyle w:val="Note"/>
        <w:rPr>
          <w:szCs w:val="20"/>
        </w:rPr>
      </w:pPr>
      <w:r>
        <w:rPr>
          <w:i/>
        </w:rPr>
        <w:t>Note</w:t>
      </w:r>
      <w:r>
        <w:t>   IEC 62209-2 was</w:t>
      </w:r>
      <w:r>
        <w:rPr>
          <w:szCs w:val="20"/>
        </w:rPr>
        <w:t xml:space="preserve"> developed by Technical Committee TC106 of the International Electrotechnical Commission (IEC). Australia has active representation on TC106 through the participation of Standards Australia (</w:t>
      </w:r>
      <w:hyperlink r:id="rId23" w:history="1">
        <w:r w:rsidR="00B34756" w:rsidRPr="00F72EC9">
          <w:rPr>
            <w:rStyle w:val="Hyperlink"/>
            <w:szCs w:val="20"/>
          </w:rPr>
          <w:t>http://www.standards.org.au/</w:t>
        </w:r>
      </w:hyperlink>
      <w:r>
        <w:rPr>
          <w:szCs w:val="20"/>
        </w:rPr>
        <w:t>).</w:t>
      </w:r>
      <w:r w:rsidR="00B34756">
        <w:rPr>
          <w:szCs w:val="20"/>
        </w:rPr>
        <w:t xml:space="preserve"> IEC 62209-</w:t>
      </w:r>
      <w:r w:rsidR="000F494B">
        <w:rPr>
          <w:szCs w:val="20"/>
        </w:rPr>
        <w:t xml:space="preserve">2 </w:t>
      </w:r>
      <w:r w:rsidR="000F494B" w:rsidRPr="00B81BAA">
        <w:t xml:space="preserve">may be obtained from the SAI Global Limited website </w:t>
      </w:r>
      <w:hyperlink r:id="rId24" w:history="1">
        <w:r w:rsidR="000F494B" w:rsidRPr="00DC7FC3">
          <w:rPr>
            <w:rStyle w:val="Hyperlink"/>
          </w:rPr>
          <w:t>http://www,saiglobal.com</w:t>
        </w:r>
      </w:hyperlink>
      <w:r w:rsidR="00B34756">
        <w:rPr>
          <w:szCs w:val="20"/>
        </w:rPr>
        <w:t>.</w:t>
      </w:r>
    </w:p>
    <w:p w:rsidR="00A30995" w:rsidRDefault="00A30995" w:rsidP="00A30995">
      <w:pPr>
        <w:pStyle w:val="definition"/>
        <w:rPr>
          <w:snapToGrid w:val="0"/>
        </w:rPr>
      </w:pPr>
      <w:r>
        <w:rPr>
          <w:b/>
          <w:bCs/>
          <w:i/>
          <w:iCs/>
          <w:snapToGrid w:val="0"/>
        </w:rPr>
        <w:t>integral antenna</w:t>
      </w:r>
      <w:r>
        <w:rPr>
          <w:snapToGrid w:val="0"/>
        </w:rPr>
        <w:t xml:space="preserve"> means an antenna:</w:t>
      </w:r>
    </w:p>
    <w:p w:rsidR="00A30995" w:rsidRDefault="00A30995" w:rsidP="00A30995">
      <w:pPr>
        <w:pStyle w:val="P1"/>
        <w:rPr>
          <w:snapToGrid w:val="0"/>
        </w:rPr>
      </w:pPr>
      <w:r>
        <w:rPr>
          <w:snapToGrid w:val="0"/>
        </w:rPr>
        <w:tab/>
        <w:t>(a)</w:t>
      </w:r>
      <w:r>
        <w:rPr>
          <w:snapToGrid w:val="0"/>
        </w:rPr>
        <w:tab/>
        <w:t>permanently attached to equipment; or</w:t>
      </w:r>
    </w:p>
    <w:p w:rsidR="00A30995" w:rsidRDefault="00A30995" w:rsidP="00A30995">
      <w:pPr>
        <w:pStyle w:val="P1"/>
        <w:rPr>
          <w:snapToGrid w:val="0"/>
        </w:rPr>
      </w:pPr>
      <w:r>
        <w:rPr>
          <w:snapToGrid w:val="0"/>
        </w:rPr>
        <w:tab/>
        <w:t>(b)</w:t>
      </w:r>
      <w:r>
        <w:rPr>
          <w:snapToGrid w:val="0"/>
        </w:rPr>
        <w:tab/>
        <w:t>intended for direct attachment to a fixed connector on equipment, without the use of an external cable.</w:t>
      </w:r>
    </w:p>
    <w:p w:rsidR="00A30995" w:rsidRDefault="00A30995" w:rsidP="00A30995">
      <w:pPr>
        <w:pStyle w:val="definition"/>
        <w:rPr>
          <w:snapToGrid w:val="0"/>
        </w:rPr>
      </w:pPr>
      <w:r>
        <w:rPr>
          <w:b/>
          <w:bCs/>
          <w:i/>
          <w:iCs/>
          <w:snapToGrid w:val="0"/>
        </w:rPr>
        <w:t>m</w:t>
      </w:r>
      <w:r w:rsidRPr="00B34AFF">
        <w:rPr>
          <w:b/>
          <w:bCs/>
          <w:i/>
          <w:iCs/>
          <w:snapToGrid w:val="0"/>
        </w:rPr>
        <w:t>obile station</w:t>
      </w:r>
      <w:r w:rsidRPr="00B34AFF">
        <w:rPr>
          <w:snapToGrid w:val="0"/>
        </w:rPr>
        <w:t xml:space="preserve"> </w:t>
      </w:r>
      <w:r>
        <w:rPr>
          <w:snapToGrid w:val="0"/>
        </w:rPr>
        <w:t>means a radiocommunications transmitter that is established for use:</w:t>
      </w:r>
    </w:p>
    <w:p w:rsidR="00A30995" w:rsidRPr="00B81BAA" w:rsidRDefault="00A30995" w:rsidP="00A30995">
      <w:pPr>
        <w:pStyle w:val="P1"/>
        <w:rPr>
          <w:snapToGrid w:val="0"/>
        </w:rPr>
      </w:pPr>
      <w:r>
        <w:rPr>
          <w:snapToGrid w:val="0"/>
        </w:rPr>
        <w:tab/>
      </w:r>
      <w:r w:rsidRPr="00B81BAA">
        <w:rPr>
          <w:snapToGrid w:val="0"/>
        </w:rPr>
        <w:t>(a)</w:t>
      </w:r>
      <w:r w:rsidRPr="00B81BAA">
        <w:rPr>
          <w:snapToGrid w:val="0"/>
        </w:rPr>
        <w:tab/>
        <w:t xml:space="preserve">in motion, </w:t>
      </w:r>
      <w:r w:rsidR="00C37228" w:rsidRPr="00B81BAA">
        <w:rPr>
          <w:snapToGrid w:val="0"/>
        </w:rPr>
        <w:t xml:space="preserve">whether </w:t>
      </w:r>
      <w:r w:rsidRPr="00B81BAA">
        <w:rPr>
          <w:snapToGrid w:val="0"/>
        </w:rPr>
        <w:t xml:space="preserve">on land, </w:t>
      </w:r>
      <w:r w:rsidR="00C37228" w:rsidRPr="00B81BAA">
        <w:rPr>
          <w:snapToGrid w:val="0"/>
        </w:rPr>
        <w:t xml:space="preserve">on </w:t>
      </w:r>
      <w:r w:rsidRPr="00B81BAA">
        <w:rPr>
          <w:snapToGrid w:val="0"/>
        </w:rPr>
        <w:t>water or in the air; or</w:t>
      </w:r>
    </w:p>
    <w:p w:rsidR="00A30995" w:rsidRDefault="00A30995" w:rsidP="00A30995">
      <w:pPr>
        <w:pStyle w:val="P1"/>
        <w:rPr>
          <w:snapToGrid w:val="0"/>
        </w:rPr>
      </w:pPr>
      <w:r w:rsidRPr="00B81BAA">
        <w:rPr>
          <w:snapToGrid w:val="0"/>
        </w:rPr>
        <w:tab/>
        <w:t>(b)</w:t>
      </w:r>
      <w:r w:rsidRPr="00B81BAA">
        <w:rPr>
          <w:snapToGrid w:val="0"/>
        </w:rPr>
        <w:tab/>
        <w:t xml:space="preserve">in a stationary position at unspecified points </w:t>
      </w:r>
      <w:r w:rsidR="00C37228" w:rsidRPr="00B81BAA">
        <w:rPr>
          <w:snapToGrid w:val="0"/>
        </w:rPr>
        <w:t xml:space="preserve">whether </w:t>
      </w:r>
      <w:r w:rsidRPr="00B81BAA">
        <w:rPr>
          <w:snapToGrid w:val="0"/>
        </w:rPr>
        <w:t xml:space="preserve">on land, </w:t>
      </w:r>
      <w:r w:rsidR="00C37228" w:rsidRPr="00B81BAA">
        <w:rPr>
          <w:snapToGrid w:val="0"/>
        </w:rPr>
        <w:t xml:space="preserve">on </w:t>
      </w:r>
      <w:r w:rsidRPr="00B81BAA">
        <w:rPr>
          <w:snapToGrid w:val="0"/>
        </w:rPr>
        <w:t>water or in the air.</w:t>
      </w:r>
    </w:p>
    <w:p w:rsidR="00A30995" w:rsidRDefault="00A30995" w:rsidP="00A30995">
      <w:pPr>
        <w:pStyle w:val="HE"/>
        <w:rPr>
          <w:snapToGrid w:val="0"/>
        </w:rPr>
      </w:pPr>
      <w:r>
        <w:rPr>
          <w:snapToGrid w:val="0"/>
        </w:rPr>
        <w:t>Examples of a mobile station</w:t>
      </w:r>
    </w:p>
    <w:p w:rsidR="00A30995" w:rsidRDefault="00A30995" w:rsidP="00A30995">
      <w:pPr>
        <w:pStyle w:val="ExampleBody"/>
        <w:rPr>
          <w:snapToGrid w:val="0"/>
        </w:rPr>
      </w:pPr>
      <w:r>
        <w:rPr>
          <w:snapToGrid w:val="0"/>
        </w:rPr>
        <w:t>1   A wireless modem operating in a laptop computer.</w:t>
      </w:r>
    </w:p>
    <w:p w:rsidR="00A30995" w:rsidRDefault="00A30995" w:rsidP="00A30995">
      <w:pPr>
        <w:pStyle w:val="ExampleBody"/>
        <w:rPr>
          <w:snapToGrid w:val="0"/>
        </w:rPr>
      </w:pPr>
      <w:r>
        <w:rPr>
          <w:snapToGrid w:val="0"/>
        </w:rPr>
        <w:t>2   A hand–held cellular or PCS telephone with a radiating antenna in the handpiece.</w:t>
      </w:r>
    </w:p>
    <w:p w:rsidR="00A30995" w:rsidRDefault="00A30995" w:rsidP="00A30995">
      <w:pPr>
        <w:pStyle w:val="definition"/>
      </w:pPr>
      <w:r>
        <w:rPr>
          <w:b/>
          <w:bCs/>
          <w:i/>
          <w:iCs/>
        </w:rPr>
        <w:t>non</w:t>
      </w:r>
      <w:r>
        <w:rPr>
          <w:b/>
          <w:bCs/>
          <w:i/>
          <w:iCs/>
        </w:rPr>
        <w:noBreakHyphen/>
        <w:t>aware user device</w:t>
      </w:r>
      <w:r>
        <w:t xml:space="preserve"> means a device other than an aware user device.</w:t>
      </w:r>
    </w:p>
    <w:p w:rsidR="00A30995" w:rsidRPr="003E14ED" w:rsidRDefault="00A30995" w:rsidP="00B81BAA">
      <w:pPr>
        <w:pStyle w:val="definition"/>
        <w:keepNext/>
      </w:pPr>
      <w:r>
        <w:rPr>
          <w:b/>
          <w:bCs/>
          <w:i/>
          <w:iCs/>
        </w:rPr>
        <w:lastRenderedPageBreak/>
        <w:t>n</w:t>
      </w:r>
      <w:r w:rsidRPr="003E14ED">
        <w:rPr>
          <w:b/>
          <w:bCs/>
          <w:i/>
          <w:iCs/>
        </w:rPr>
        <w:t>ormal position of use</w:t>
      </w:r>
      <w:r w:rsidRPr="003E14ED">
        <w:t>, of a device, means:</w:t>
      </w:r>
    </w:p>
    <w:p w:rsidR="00A30995" w:rsidRPr="003E14ED" w:rsidRDefault="00A30995" w:rsidP="00A30995">
      <w:pPr>
        <w:pStyle w:val="P1"/>
      </w:pPr>
      <w:r w:rsidRPr="003E14ED">
        <w:tab/>
        <w:t>(a)</w:t>
      </w:r>
      <w:r w:rsidRPr="003E14ED">
        <w:tab/>
        <w:t>the position specified in the measurement method applicable to the dev</w:t>
      </w:r>
      <w:r w:rsidR="001A0806">
        <w:t>ice under section 9, 10 or 11</w:t>
      </w:r>
      <w:r w:rsidRPr="003E14ED">
        <w:t>; or</w:t>
      </w:r>
    </w:p>
    <w:p w:rsidR="00A30995" w:rsidRPr="003E14ED" w:rsidRDefault="00A30995" w:rsidP="00A30995">
      <w:pPr>
        <w:pStyle w:val="P1"/>
      </w:pPr>
      <w:r w:rsidRPr="003E14ED">
        <w:tab/>
        <w:t>(b)</w:t>
      </w:r>
      <w:r w:rsidRPr="003E14ED">
        <w:tab/>
        <w:t xml:space="preserve">if </w:t>
      </w:r>
      <w:r>
        <w:t>paragraph </w:t>
      </w:r>
      <w:r w:rsidRPr="003E14ED">
        <w:t>(a) does not apply, the common use spatial orientation of the device with respect to the user; or</w:t>
      </w:r>
    </w:p>
    <w:p w:rsidR="0050407D" w:rsidRPr="0050407D" w:rsidRDefault="00A30995" w:rsidP="0050407D">
      <w:pPr>
        <w:pStyle w:val="P1"/>
        <w:tabs>
          <w:tab w:val="left" w:pos="993"/>
        </w:tabs>
        <w:rPr>
          <w:b/>
          <w:i/>
        </w:rPr>
      </w:pPr>
      <w:r w:rsidRPr="003E14ED">
        <w:tab/>
        <w:t>(c)</w:t>
      </w:r>
      <w:r w:rsidRPr="003E14ED">
        <w:tab/>
        <w:t xml:space="preserve">if </w:t>
      </w:r>
      <w:r>
        <w:t>paragraphs </w:t>
      </w:r>
      <w:r w:rsidRPr="003E14ED">
        <w:t xml:space="preserve">(a) and (b) do not apply, the spatial orientation of the device with respect to the user </w:t>
      </w:r>
      <w:r w:rsidR="00B81BAA">
        <w:t>recommended</w:t>
      </w:r>
      <w:r w:rsidRPr="003E14ED">
        <w:t xml:space="preserve"> by the manufacturer.</w:t>
      </w:r>
    </w:p>
    <w:p w:rsidR="00A30995" w:rsidRDefault="00A30995" w:rsidP="00A30995">
      <w:pPr>
        <w:pStyle w:val="definition"/>
      </w:pPr>
      <w:r w:rsidRPr="009D0525">
        <w:rPr>
          <w:b/>
          <w:i/>
        </w:rPr>
        <w:t>old standard</w:t>
      </w:r>
      <w:r w:rsidRPr="009D0525">
        <w:t xml:space="preserve"> means the </w:t>
      </w:r>
      <w:r w:rsidRPr="00074DDD">
        <w:rPr>
          <w:i/>
        </w:rPr>
        <w:t>Radiocommunications (Electromagnetic Radiation</w:t>
      </w:r>
      <w:r>
        <w:rPr>
          <w:i/>
        </w:rPr>
        <w:t> </w:t>
      </w:r>
      <w:r w:rsidRPr="00074DDD">
        <w:rPr>
          <w:i/>
        </w:rPr>
        <w:t>— Human Exposure) Standard 2003</w:t>
      </w:r>
      <w:r w:rsidRPr="009D0525">
        <w:t xml:space="preserve"> as in force immediately before </w:t>
      </w:r>
      <w:r w:rsidR="008E5841">
        <w:t>the commencement of this Standard</w:t>
      </w:r>
      <w:r w:rsidRPr="009D0525">
        <w:t>.</w:t>
      </w:r>
    </w:p>
    <w:p w:rsidR="00A30995" w:rsidRDefault="00A30995" w:rsidP="00A30995">
      <w:pPr>
        <w:pStyle w:val="definition"/>
        <w:rPr>
          <w:snapToGrid w:val="0"/>
        </w:rPr>
      </w:pPr>
      <w:r>
        <w:rPr>
          <w:b/>
          <w:bCs/>
          <w:i/>
          <w:iCs/>
        </w:rPr>
        <w:t>reference levels</w:t>
      </w:r>
      <w:r>
        <w:rPr>
          <w:b/>
          <w:bCs/>
          <w:snapToGrid w:val="0"/>
        </w:rPr>
        <w:t xml:space="preserve"> </w:t>
      </w:r>
      <w:r>
        <w:rPr>
          <w:snapToGrid w:val="0"/>
        </w:rPr>
        <w:t>means the reference levels in Table</w:t>
      </w:r>
      <w:r w:rsidR="00880286">
        <w:rPr>
          <w:snapToGrid w:val="0"/>
        </w:rPr>
        <w:t>s</w:t>
      </w:r>
      <w:r>
        <w:rPr>
          <w:snapToGrid w:val="0"/>
        </w:rPr>
        <w:t xml:space="preserve"> 7 and 8, </w:t>
      </w:r>
      <w:r>
        <w:t>including the notes to Table</w:t>
      </w:r>
      <w:r w:rsidR="00880286">
        <w:t>s</w:t>
      </w:r>
      <w:r>
        <w:t xml:space="preserve"> 7 and </w:t>
      </w:r>
      <w:r>
        <w:rPr>
          <w:snapToGrid w:val="0"/>
        </w:rPr>
        <w:t xml:space="preserve">8, of section 2.4 of the ARPANSA </w:t>
      </w:r>
      <w:r w:rsidR="000C02E6">
        <w:rPr>
          <w:snapToGrid w:val="0"/>
        </w:rPr>
        <w:t>S</w:t>
      </w:r>
      <w:r>
        <w:rPr>
          <w:snapToGrid w:val="0"/>
        </w:rPr>
        <w:t>tandard.</w:t>
      </w:r>
    </w:p>
    <w:p w:rsidR="00A30995" w:rsidRPr="007503E1" w:rsidRDefault="00A30995" w:rsidP="00A30995">
      <w:pPr>
        <w:pStyle w:val="definition"/>
        <w:rPr>
          <w:snapToGrid w:val="0"/>
        </w:rPr>
      </w:pPr>
      <w:r>
        <w:rPr>
          <w:b/>
          <w:bCs/>
          <w:i/>
          <w:iCs/>
          <w:snapToGrid w:val="0"/>
        </w:rPr>
        <w:t>RF field</w:t>
      </w:r>
      <w:r>
        <w:rPr>
          <w:snapToGrid w:val="0"/>
        </w:rPr>
        <w:t xml:space="preserve"> means a physical field that specifies the electric and magnetic states of a medium or free space, quantified by the vectors representing the electric field and the magnetic field.</w:t>
      </w:r>
    </w:p>
    <w:p w:rsidR="0050407D" w:rsidRDefault="0050407D" w:rsidP="00A30995">
      <w:pPr>
        <w:pStyle w:val="definition"/>
      </w:pPr>
      <w:r w:rsidRPr="00177450">
        <w:rPr>
          <w:b/>
          <w:bCs/>
          <w:i/>
          <w:iCs/>
        </w:rPr>
        <w:t>simultaneous multi-band transmission mode</w:t>
      </w:r>
      <w:r w:rsidR="00B81BAA" w:rsidRPr="00177450">
        <w:rPr>
          <w:bCs/>
          <w:iCs/>
        </w:rPr>
        <w:t>, in relation to a device</w:t>
      </w:r>
      <w:r w:rsidRPr="00177450">
        <w:rPr>
          <w:b/>
          <w:bCs/>
          <w:i/>
          <w:iCs/>
        </w:rPr>
        <w:t xml:space="preserve"> </w:t>
      </w:r>
      <w:r w:rsidR="00B34756" w:rsidRPr="00177450">
        <w:rPr>
          <w:bCs/>
          <w:iCs/>
        </w:rPr>
        <w:t xml:space="preserve">means </w:t>
      </w:r>
      <w:r w:rsidR="00B81BAA" w:rsidRPr="00177450">
        <w:rPr>
          <w:bCs/>
          <w:iCs/>
        </w:rPr>
        <w:t xml:space="preserve">an operating mode allowing the device to transmit on more than one frequency band simultaneously. </w:t>
      </w:r>
      <w:r w:rsidR="00B34756">
        <w:rPr>
          <w:bCs/>
          <w:iCs/>
        </w:rPr>
        <w:t xml:space="preserve"> </w:t>
      </w:r>
    </w:p>
    <w:p w:rsidR="00A30995" w:rsidRDefault="00A30995" w:rsidP="00A30995">
      <w:pPr>
        <w:pStyle w:val="ZR2"/>
        <w:keepNext w:val="0"/>
        <w:keepLines w:val="0"/>
      </w:pPr>
      <w:r>
        <w:tab/>
        <w:t>(2)</w:t>
      </w:r>
      <w:r>
        <w:tab/>
        <w:t>A reference in this Standard to a publication or other document of:</w:t>
      </w:r>
    </w:p>
    <w:p w:rsidR="00A30995" w:rsidRDefault="00A30995" w:rsidP="00A30995">
      <w:pPr>
        <w:pStyle w:val="P1"/>
      </w:pPr>
      <w:r>
        <w:tab/>
        <w:t>(a)</w:t>
      </w:r>
      <w:r>
        <w:tab/>
        <w:t>Standards Australia</w:t>
      </w:r>
      <w:r w:rsidR="008E5841">
        <w:t xml:space="preserve"> Limited</w:t>
      </w:r>
      <w:r>
        <w:t>; or</w:t>
      </w:r>
    </w:p>
    <w:p w:rsidR="00A30995" w:rsidRDefault="00A30995" w:rsidP="00A30995">
      <w:pPr>
        <w:pStyle w:val="P1"/>
      </w:pPr>
      <w:r>
        <w:tab/>
        <w:t>(</w:t>
      </w:r>
      <w:r w:rsidR="00880286">
        <w:t>b</w:t>
      </w:r>
      <w:r>
        <w:t>)</w:t>
      </w:r>
      <w:r>
        <w:tab/>
        <w:t>the European Committee for Electrotechnical Standardisation;</w:t>
      </w:r>
      <w:r w:rsidR="003408C2">
        <w:t xml:space="preserve"> or</w:t>
      </w:r>
    </w:p>
    <w:p w:rsidR="003408C2" w:rsidRDefault="00B34756" w:rsidP="00A30995">
      <w:pPr>
        <w:pStyle w:val="P1"/>
      </w:pPr>
      <w:r>
        <w:tab/>
      </w:r>
      <w:r w:rsidR="003408C2" w:rsidRPr="00B81BAA">
        <w:t>(</w:t>
      </w:r>
      <w:r w:rsidR="00880286">
        <w:t>c</w:t>
      </w:r>
      <w:r w:rsidR="003408C2" w:rsidRPr="00B81BAA">
        <w:t>)</w:t>
      </w:r>
      <w:r w:rsidR="003408C2" w:rsidRPr="00B81BAA">
        <w:tab/>
        <w:t>the International E</w:t>
      </w:r>
      <w:r w:rsidR="00CB5013" w:rsidRPr="00B81BAA">
        <w:t>lectrotechnical Commission</w:t>
      </w:r>
      <w:r w:rsidR="003408C2" w:rsidRPr="00B81BAA">
        <w:t>;</w:t>
      </w:r>
      <w:r w:rsidR="003408C2">
        <w:t xml:space="preserve"> </w:t>
      </w:r>
    </w:p>
    <w:p w:rsidR="00A30995" w:rsidRDefault="00A30995" w:rsidP="00A30995">
      <w:pPr>
        <w:pStyle w:val="Rc"/>
      </w:pPr>
      <w:r>
        <w:t>includes a reference to the publication or other document as in force from time to time.</w:t>
      </w:r>
    </w:p>
    <w:p w:rsidR="00A30995" w:rsidRDefault="00A30995" w:rsidP="00A30995">
      <w:pPr>
        <w:pStyle w:val="R2"/>
        <w:keepLines w:val="0"/>
      </w:pPr>
      <w:r>
        <w:tab/>
        <w:t>(3)</w:t>
      </w:r>
      <w:r>
        <w:tab/>
        <w:t>A term that is:</w:t>
      </w:r>
    </w:p>
    <w:p w:rsidR="00A30995" w:rsidRDefault="00A30995" w:rsidP="00A30995">
      <w:pPr>
        <w:pStyle w:val="P1"/>
      </w:pPr>
      <w:r>
        <w:tab/>
        <w:t>(a)</w:t>
      </w:r>
      <w:r>
        <w:tab/>
        <w:t>used (but not defined) in this Standard; and</w:t>
      </w:r>
    </w:p>
    <w:p w:rsidR="00A30995" w:rsidRPr="00DC2AD8" w:rsidRDefault="00A30995" w:rsidP="00A30995">
      <w:pPr>
        <w:pStyle w:val="P1"/>
        <w:rPr>
          <w:color w:val="000000"/>
        </w:rPr>
      </w:pPr>
      <w:r w:rsidRPr="00DC2AD8">
        <w:rPr>
          <w:color w:val="000000"/>
        </w:rPr>
        <w:tab/>
        <w:t>(b)</w:t>
      </w:r>
      <w:r w:rsidRPr="00DC2AD8">
        <w:rPr>
          <w:color w:val="000000"/>
        </w:rPr>
        <w:tab/>
        <w:t xml:space="preserve">defined in the Glossary of the ARPANSA </w:t>
      </w:r>
      <w:r w:rsidR="00880286">
        <w:rPr>
          <w:color w:val="000000"/>
        </w:rPr>
        <w:t>St</w:t>
      </w:r>
      <w:r w:rsidR="00880286" w:rsidRPr="00DC2AD8">
        <w:rPr>
          <w:color w:val="000000"/>
        </w:rPr>
        <w:t>andard</w:t>
      </w:r>
      <w:r w:rsidRPr="00DC2AD8">
        <w:rPr>
          <w:color w:val="000000"/>
        </w:rPr>
        <w:t>;</w:t>
      </w:r>
    </w:p>
    <w:p w:rsidR="00A30995" w:rsidRPr="00DC2AD8" w:rsidRDefault="00A30995" w:rsidP="00A30995">
      <w:pPr>
        <w:pStyle w:val="Rc"/>
        <w:rPr>
          <w:color w:val="000000"/>
        </w:rPr>
      </w:pPr>
      <w:r w:rsidRPr="00DC2AD8">
        <w:rPr>
          <w:color w:val="000000"/>
        </w:rPr>
        <w:t xml:space="preserve">has the meaning given by </w:t>
      </w:r>
      <w:r w:rsidR="00880286">
        <w:rPr>
          <w:color w:val="000000"/>
        </w:rPr>
        <w:t>that</w:t>
      </w:r>
      <w:r w:rsidR="00880286" w:rsidRPr="00DC2AD8">
        <w:rPr>
          <w:color w:val="000000"/>
        </w:rPr>
        <w:t xml:space="preserve"> </w:t>
      </w:r>
      <w:r w:rsidRPr="00DC2AD8">
        <w:rPr>
          <w:color w:val="000000"/>
        </w:rPr>
        <w:t>Glossary.</w:t>
      </w:r>
    </w:p>
    <w:p w:rsidR="00A30995" w:rsidRPr="00937D12" w:rsidRDefault="00A30995" w:rsidP="00A30995">
      <w:pPr>
        <w:pStyle w:val="HR"/>
        <w:keepNext w:val="0"/>
      </w:pPr>
      <w:bookmarkStart w:id="10" w:name="_Toc288485855"/>
      <w:r w:rsidRPr="001A3D73">
        <w:rPr>
          <w:rStyle w:val="CharSectno"/>
        </w:rPr>
        <w:t>6</w:t>
      </w:r>
      <w:r>
        <w:tab/>
        <w:t>Application of Standard: general</w:t>
      </w:r>
      <w:bookmarkEnd w:id="10"/>
    </w:p>
    <w:p w:rsidR="00A30995" w:rsidRPr="00DC2AD8" w:rsidRDefault="00A30995" w:rsidP="00A30995">
      <w:pPr>
        <w:pStyle w:val="R1"/>
        <w:keepLines w:val="0"/>
      </w:pPr>
      <w:r w:rsidRPr="00DC2AD8">
        <w:tab/>
        <w:t>(1)</w:t>
      </w:r>
      <w:r w:rsidRPr="00DC2AD8">
        <w:tab/>
        <w:t>Thi</w:t>
      </w:r>
      <w:r>
        <w:t>s Standard applies to a mobile station</w:t>
      </w:r>
      <w:r w:rsidRPr="00DC2AD8">
        <w:t xml:space="preserve"> that:</w:t>
      </w:r>
    </w:p>
    <w:p w:rsidR="00A30995" w:rsidRPr="00DC2AD8" w:rsidRDefault="00A30995" w:rsidP="00A30995">
      <w:pPr>
        <w:pStyle w:val="P1"/>
      </w:pPr>
      <w:r w:rsidRPr="00DC2AD8">
        <w:tab/>
        <w:t>(a)</w:t>
      </w:r>
      <w:r w:rsidRPr="00DC2AD8">
        <w:tab/>
        <w:t xml:space="preserve">on or after </w:t>
      </w:r>
      <w:r w:rsidR="00B81BAA">
        <w:t>the commencement of this Standard</w:t>
      </w:r>
      <w:r>
        <w:t>,</w:t>
      </w:r>
      <w:r w:rsidRPr="00DC2AD8">
        <w:t xml:space="preserve"> is:</w:t>
      </w:r>
    </w:p>
    <w:p w:rsidR="00A30995" w:rsidRPr="00DC2AD8" w:rsidRDefault="00A30995" w:rsidP="00A30995">
      <w:pPr>
        <w:pStyle w:val="P2"/>
        <w:rPr>
          <w:color w:val="000000"/>
        </w:rPr>
      </w:pPr>
      <w:r w:rsidRPr="00DC2AD8">
        <w:rPr>
          <w:color w:val="000000"/>
        </w:rPr>
        <w:tab/>
        <w:t>(i)</w:t>
      </w:r>
      <w:r w:rsidRPr="00DC2AD8">
        <w:rPr>
          <w:color w:val="000000"/>
        </w:rPr>
        <w:tab/>
        <w:t>manufactured or imported; or</w:t>
      </w:r>
    </w:p>
    <w:p w:rsidR="00A30995" w:rsidRPr="00DC2AD8" w:rsidRDefault="00A30995" w:rsidP="00A30995">
      <w:pPr>
        <w:pStyle w:val="P2"/>
        <w:rPr>
          <w:color w:val="000000"/>
        </w:rPr>
      </w:pPr>
      <w:r w:rsidRPr="00DC2AD8">
        <w:rPr>
          <w:color w:val="000000"/>
        </w:rPr>
        <w:tab/>
        <w:t>(ii)</w:t>
      </w:r>
      <w:r w:rsidRPr="00DC2AD8">
        <w:rPr>
          <w:color w:val="000000"/>
        </w:rPr>
        <w:tab/>
        <w:t>altered or modified in a material respect; and</w:t>
      </w:r>
    </w:p>
    <w:p w:rsidR="00A30995" w:rsidRPr="00DC2AD8" w:rsidRDefault="00A30995" w:rsidP="00A30995">
      <w:pPr>
        <w:pStyle w:val="P1"/>
        <w:rPr>
          <w:color w:val="000000"/>
        </w:rPr>
      </w:pPr>
      <w:r w:rsidRPr="00DC2AD8">
        <w:rPr>
          <w:color w:val="000000"/>
        </w:rPr>
        <w:tab/>
        <w:t>(b)</w:t>
      </w:r>
      <w:r w:rsidRPr="00DC2AD8">
        <w:rPr>
          <w:color w:val="000000"/>
        </w:rPr>
        <w:tab/>
        <w:t xml:space="preserve">is capable of operating in the frequency band </w:t>
      </w:r>
      <w:r w:rsidRPr="00F324AC">
        <w:t xml:space="preserve">100kHz to 300GHz </w:t>
      </w:r>
      <w:r w:rsidRPr="00DC2AD8">
        <w:rPr>
          <w:color w:val="000000"/>
        </w:rPr>
        <w:t>(inclusive); and</w:t>
      </w:r>
    </w:p>
    <w:p w:rsidR="00A30995" w:rsidRPr="00DC2AD8" w:rsidRDefault="00A30995" w:rsidP="00A30995">
      <w:pPr>
        <w:pStyle w:val="P1"/>
        <w:rPr>
          <w:color w:val="000000"/>
        </w:rPr>
      </w:pPr>
      <w:r w:rsidRPr="00DC2AD8">
        <w:rPr>
          <w:color w:val="000000"/>
        </w:rPr>
        <w:tab/>
        <w:t>(c)</w:t>
      </w:r>
      <w:r w:rsidRPr="00DC2AD8">
        <w:rPr>
          <w:color w:val="000000"/>
        </w:rPr>
        <w:tab/>
        <w:t>has an integral antenna; and</w:t>
      </w:r>
    </w:p>
    <w:p w:rsidR="00A30995" w:rsidRPr="00DC2AD8" w:rsidRDefault="00A30995" w:rsidP="00A30995">
      <w:pPr>
        <w:pStyle w:val="P1"/>
        <w:rPr>
          <w:color w:val="000000"/>
        </w:rPr>
      </w:pPr>
      <w:r w:rsidRPr="00DC2AD8">
        <w:rPr>
          <w:color w:val="000000"/>
        </w:rPr>
        <w:tab/>
        <w:t>(d)</w:t>
      </w:r>
      <w:r w:rsidRPr="00DC2AD8">
        <w:rPr>
          <w:color w:val="000000"/>
        </w:rPr>
        <w:tab/>
        <w:t>is not intended to be used as an Emergency Position Indicating Radio Beacon (EPIRB) or distress beacon.</w:t>
      </w:r>
    </w:p>
    <w:p w:rsidR="00A30995" w:rsidRPr="00DC2AD8" w:rsidRDefault="00A30995" w:rsidP="00A30995">
      <w:pPr>
        <w:pStyle w:val="R2"/>
        <w:rPr>
          <w:color w:val="000000"/>
        </w:rPr>
      </w:pPr>
      <w:r w:rsidRPr="00DC2AD8">
        <w:rPr>
          <w:color w:val="000000"/>
        </w:rPr>
        <w:tab/>
        <w:t>(2)</w:t>
      </w:r>
      <w:r w:rsidRPr="00DC2AD8">
        <w:rPr>
          <w:color w:val="000000"/>
        </w:rPr>
        <w:tab/>
        <w:t>However, this Standard does not apply to a mobile station that is:</w:t>
      </w:r>
    </w:p>
    <w:p w:rsidR="00A30995" w:rsidRPr="00DC2AD8" w:rsidRDefault="00A30995" w:rsidP="00A30995">
      <w:pPr>
        <w:pStyle w:val="P1"/>
        <w:rPr>
          <w:color w:val="000000"/>
        </w:rPr>
      </w:pPr>
      <w:r w:rsidRPr="00DC2AD8">
        <w:rPr>
          <w:color w:val="000000"/>
        </w:rPr>
        <w:tab/>
        <w:t>(a)</w:t>
      </w:r>
      <w:r w:rsidRPr="00DC2AD8">
        <w:rPr>
          <w:color w:val="000000"/>
        </w:rPr>
        <w:tab/>
        <w:t>used solely as equipment, or as part of a weapons system, used by the Defence Force; or</w:t>
      </w:r>
    </w:p>
    <w:p w:rsidR="00A30995" w:rsidRPr="00DC2AD8" w:rsidRDefault="00A30995" w:rsidP="00A30995">
      <w:pPr>
        <w:pStyle w:val="P1"/>
        <w:rPr>
          <w:color w:val="000000"/>
        </w:rPr>
      </w:pPr>
      <w:r w:rsidRPr="00DC2AD8">
        <w:rPr>
          <w:color w:val="000000"/>
        </w:rPr>
        <w:lastRenderedPageBreak/>
        <w:tab/>
        <w:t>(b)</w:t>
      </w:r>
      <w:r w:rsidRPr="00DC2AD8">
        <w:rPr>
          <w:color w:val="000000"/>
        </w:rPr>
        <w:tab/>
        <w:t>used solely as equipment, or as part of a weapons system, used by the defence force of another country that is conducting operations with the Defence Force; or</w:t>
      </w:r>
    </w:p>
    <w:p w:rsidR="00A30995" w:rsidRPr="00DC2AD8" w:rsidRDefault="00A30995" w:rsidP="00A30995">
      <w:pPr>
        <w:pStyle w:val="P1"/>
        <w:rPr>
          <w:color w:val="000000"/>
        </w:rPr>
      </w:pPr>
      <w:r w:rsidRPr="00DC2AD8">
        <w:rPr>
          <w:color w:val="000000"/>
        </w:rPr>
        <w:tab/>
        <w:t>(c)</w:t>
      </w:r>
      <w:r w:rsidRPr="00DC2AD8">
        <w:rPr>
          <w:color w:val="000000"/>
        </w:rPr>
        <w:tab/>
        <w:t>used solely for law enforcement activities by any of the following bodies:</w:t>
      </w:r>
    </w:p>
    <w:p w:rsidR="00A30995" w:rsidRPr="00DC2AD8" w:rsidRDefault="00A30995" w:rsidP="00A30995">
      <w:pPr>
        <w:pStyle w:val="P2"/>
        <w:rPr>
          <w:color w:val="000000"/>
        </w:rPr>
      </w:pPr>
      <w:r w:rsidRPr="00DC2AD8">
        <w:rPr>
          <w:color w:val="000000"/>
        </w:rPr>
        <w:tab/>
        <w:t>(i)</w:t>
      </w:r>
      <w:r w:rsidRPr="00DC2AD8">
        <w:rPr>
          <w:color w:val="000000"/>
        </w:rPr>
        <w:tab/>
        <w:t>the Australian Federal Police;</w:t>
      </w:r>
    </w:p>
    <w:p w:rsidR="00A30995" w:rsidRPr="00DC2AD8" w:rsidRDefault="00A30995" w:rsidP="00A30995">
      <w:pPr>
        <w:pStyle w:val="P2"/>
        <w:rPr>
          <w:color w:val="000000"/>
        </w:rPr>
      </w:pPr>
      <w:r w:rsidRPr="00DC2AD8">
        <w:rPr>
          <w:color w:val="000000"/>
        </w:rPr>
        <w:tab/>
        <w:t>(ii)</w:t>
      </w:r>
      <w:r w:rsidRPr="00DC2AD8">
        <w:rPr>
          <w:color w:val="000000"/>
        </w:rPr>
        <w:tab/>
      </w:r>
      <w:r w:rsidRPr="00B81BAA">
        <w:rPr>
          <w:color w:val="000000"/>
        </w:rPr>
        <w:t xml:space="preserve">the </w:t>
      </w:r>
      <w:r w:rsidR="000348CB" w:rsidRPr="00B81BAA">
        <w:rPr>
          <w:color w:val="000000"/>
        </w:rPr>
        <w:t>Australian Crime Commission</w:t>
      </w:r>
      <w:r w:rsidRPr="00B81BAA">
        <w:rPr>
          <w:color w:val="000000"/>
        </w:rPr>
        <w:t>;</w:t>
      </w:r>
    </w:p>
    <w:p w:rsidR="00A30995" w:rsidRPr="00DC2AD8" w:rsidRDefault="00A30995" w:rsidP="00A30995">
      <w:pPr>
        <w:pStyle w:val="P2"/>
        <w:rPr>
          <w:color w:val="000000"/>
        </w:rPr>
      </w:pPr>
      <w:r w:rsidRPr="00DC2AD8">
        <w:rPr>
          <w:color w:val="000000"/>
        </w:rPr>
        <w:tab/>
        <w:t>(iii)</w:t>
      </w:r>
      <w:r w:rsidRPr="00DC2AD8">
        <w:rPr>
          <w:color w:val="000000"/>
        </w:rPr>
        <w:tab/>
        <w:t>the New South Wales Crime Commission;</w:t>
      </w:r>
    </w:p>
    <w:p w:rsidR="00A30995" w:rsidRPr="00DC2AD8" w:rsidRDefault="00A30995" w:rsidP="00A30995">
      <w:pPr>
        <w:pStyle w:val="P2"/>
        <w:rPr>
          <w:color w:val="000000"/>
        </w:rPr>
      </w:pPr>
      <w:r w:rsidRPr="00DC2AD8">
        <w:rPr>
          <w:color w:val="000000"/>
        </w:rPr>
        <w:tab/>
        <w:t>(iv)</w:t>
      </w:r>
      <w:r w:rsidRPr="00DC2AD8">
        <w:rPr>
          <w:color w:val="000000"/>
        </w:rPr>
        <w:tab/>
        <w:t>the Independent Commission Against Corruption of New South Wales;</w:t>
      </w:r>
    </w:p>
    <w:p w:rsidR="00B81BAA" w:rsidRDefault="00A30995" w:rsidP="00A30995">
      <w:pPr>
        <w:pStyle w:val="P2"/>
        <w:rPr>
          <w:color w:val="000000"/>
        </w:rPr>
      </w:pPr>
      <w:r w:rsidRPr="00DC2AD8">
        <w:rPr>
          <w:color w:val="000000"/>
        </w:rPr>
        <w:tab/>
        <w:t>(v)</w:t>
      </w:r>
      <w:r w:rsidRPr="00DC2AD8">
        <w:rPr>
          <w:color w:val="000000"/>
        </w:rPr>
        <w:tab/>
      </w:r>
      <w:r w:rsidR="00B81BAA">
        <w:rPr>
          <w:color w:val="000000"/>
        </w:rPr>
        <w:t>the Police Integrity Commission</w:t>
      </w:r>
      <w:r w:rsidR="008E5841">
        <w:rPr>
          <w:color w:val="000000"/>
        </w:rPr>
        <w:t xml:space="preserve"> of New South Wales</w:t>
      </w:r>
      <w:r w:rsidR="00B81BAA">
        <w:rPr>
          <w:color w:val="000000"/>
        </w:rPr>
        <w:t>;</w:t>
      </w:r>
    </w:p>
    <w:p w:rsidR="00B81BAA" w:rsidRDefault="00B81BAA" w:rsidP="00A30995">
      <w:pPr>
        <w:pStyle w:val="P2"/>
        <w:rPr>
          <w:color w:val="000000"/>
        </w:rPr>
      </w:pPr>
      <w:r>
        <w:rPr>
          <w:color w:val="000000"/>
        </w:rPr>
        <w:tab/>
        <w:t>(vi)</w:t>
      </w:r>
      <w:r>
        <w:rPr>
          <w:color w:val="000000"/>
        </w:rPr>
        <w:tab/>
      </w:r>
      <w:r w:rsidR="00A30995" w:rsidRPr="00DC2AD8">
        <w:rPr>
          <w:color w:val="000000"/>
        </w:rPr>
        <w:t xml:space="preserve">the </w:t>
      </w:r>
      <w:r w:rsidR="005E6A5B">
        <w:rPr>
          <w:color w:val="000000"/>
        </w:rPr>
        <w:t>Crime and Misconduct Commission of Queensland</w:t>
      </w:r>
      <w:r w:rsidR="00A30995" w:rsidRPr="00DC2AD8">
        <w:rPr>
          <w:color w:val="000000"/>
        </w:rPr>
        <w:t xml:space="preserve">; </w:t>
      </w:r>
    </w:p>
    <w:p w:rsidR="00B81BAA" w:rsidRDefault="00B81BAA" w:rsidP="00A30995">
      <w:pPr>
        <w:pStyle w:val="P2"/>
        <w:rPr>
          <w:color w:val="000000"/>
        </w:rPr>
      </w:pPr>
      <w:r>
        <w:rPr>
          <w:color w:val="000000"/>
        </w:rPr>
        <w:tab/>
        <w:t>(vii)</w:t>
      </w:r>
      <w:r>
        <w:rPr>
          <w:color w:val="000000"/>
        </w:rPr>
        <w:tab/>
        <w:t>the Independent Commissioner Against Corruption of South Australia;</w:t>
      </w:r>
    </w:p>
    <w:p w:rsidR="00A30995" w:rsidRPr="00DC2AD8" w:rsidRDefault="00B81BAA" w:rsidP="00A30995">
      <w:pPr>
        <w:pStyle w:val="P2"/>
        <w:rPr>
          <w:color w:val="000000"/>
        </w:rPr>
      </w:pPr>
      <w:r>
        <w:rPr>
          <w:color w:val="000000"/>
        </w:rPr>
        <w:tab/>
        <w:t>(viii)</w:t>
      </w:r>
      <w:r>
        <w:rPr>
          <w:color w:val="000000"/>
        </w:rPr>
        <w:tab/>
        <w:t xml:space="preserve">the Corruption and Crime Commission of Western Australia; </w:t>
      </w:r>
      <w:r w:rsidR="00A30995" w:rsidRPr="00DC2AD8">
        <w:rPr>
          <w:color w:val="000000"/>
        </w:rPr>
        <w:t>or</w:t>
      </w:r>
    </w:p>
    <w:p w:rsidR="00A30995" w:rsidRPr="00DC2AD8" w:rsidRDefault="00A30995" w:rsidP="00A30995">
      <w:pPr>
        <w:pStyle w:val="P1"/>
        <w:rPr>
          <w:color w:val="000000"/>
        </w:rPr>
      </w:pPr>
      <w:r w:rsidRPr="00DC2AD8">
        <w:rPr>
          <w:color w:val="000000"/>
        </w:rPr>
        <w:tab/>
        <w:t>(d)</w:t>
      </w:r>
      <w:r w:rsidRPr="00DC2AD8">
        <w:rPr>
          <w:color w:val="000000"/>
        </w:rPr>
        <w:tab/>
        <w:t>used solely for law enforcement activities by a body that:</w:t>
      </w:r>
    </w:p>
    <w:p w:rsidR="00A30995" w:rsidRPr="00DC2AD8" w:rsidRDefault="00A30995" w:rsidP="00A30995">
      <w:pPr>
        <w:pStyle w:val="P2"/>
        <w:rPr>
          <w:color w:val="000000"/>
        </w:rPr>
      </w:pPr>
      <w:r w:rsidRPr="00DC2AD8">
        <w:rPr>
          <w:color w:val="000000"/>
        </w:rPr>
        <w:tab/>
        <w:t>(i)</w:t>
      </w:r>
      <w:r w:rsidRPr="00DC2AD8">
        <w:rPr>
          <w:color w:val="000000"/>
        </w:rPr>
        <w:tab/>
        <w:t>is not mentioned in paragraph (c); and</w:t>
      </w:r>
    </w:p>
    <w:p w:rsidR="00A30995" w:rsidRPr="00DC2AD8" w:rsidRDefault="00A30995" w:rsidP="00A30995">
      <w:pPr>
        <w:pStyle w:val="P2"/>
        <w:rPr>
          <w:color w:val="000000"/>
        </w:rPr>
      </w:pPr>
      <w:r w:rsidRPr="00DC2AD8">
        <w:rPr>
          <w:color w:val="000000"/>
        </w:rPr>
        <w:tab/>
        <w:t>(ii)</w:t>
      </w:r>
      <w:r w:rsidRPr="00DC2AD8">
        <w:rPr>
          <w:color w:val="000000"/>
        </w:rPr>
        <w:tab/>
        <w:t>is responsible for criminal law enforcement, and established by or under a law of the Commonwealth, a State or a Territory; or</w:t>
      </w:r>
    </w:p>
    <w:p w:rsidR="00A30995" w:rsidRPr="00DC2AD8" w:rsidRDefault="00A30995" w:rsidP="00A30995">
      <w:pPr>
        <w:pStyle w:val="P1"/>
        <w:rPr>
          <w:color w:val="000000"/>
        </w:rPr>
      </w:pPr>
      <w:r w:rsidRPr="00DC2AD8">
        <w:rPr>
          <w:color w:val="000000"/>
        </w:rPr>
        <w:tab/>
        <w:t>(e)</w:t>
      </w:r>
      <w:r w:rsidRPr="00DC2AD8">
        <w:rPr>
          <w:color w:val="000000"/>
        </w:rPr>
        <w:tab/>
        <w:t>used solely for law enforcement activities by a body that:</w:t>
      </w:r>
    </w:p>
    <w:p w:rsidR="00A30995" w:rsidRPr="00DC2AD8" w:rsidRDefault="00A30995" w:rsidP="00A30995">
      <w:pPr>
        <w:pStyle w:val="P2"/>
        <w:rPr>
          <w:color w:val="000000"/>
        </w:rPr>
      </w:pPr>
      <w:r w:rsidRPr="00DC2AD8">
        <w:rPr>
          <w:color w:val="000000"/>
        </w:rPr>
        <w:tab/>
        <w:t>(i)</w:t>
      </w:r>
      <w:r w:rsidRPr="00DC2AD8">
        <w:rPr>
          <w:color w:val="000000"/>
        </w:rPr>
        <w:tab/>
        <w:t>is not mentioned in paragraph (c); and</w:t>
      </w:r>
    </w:p>
    <w:p w:rsidR="00A30995" w:rsidRPr="00DC2AD8" w:rsidRDefault="00A30995" w:rsidP="00A30995">
      <w:pPr>
        <w:pStyle w:val="P2"/>
        <w:rPr>
          <w:color w:val="000000"/>
        </w:rPr>
      </w:pPr>
      <w:r w:rsidRPr="00DC2AD8">
        <w:rPr>
          <w:color w:val="000000"/>
        </w:rPr>
        <w:tab/>
        <w:t>(ii)</w:t>
      </w:r>
      <w:r w:rsidRPr="00DC2AD8">
        <w:rPr>
          <w:color w:val="000000"/>
        </w:rPr>
        <w:tab/>
        <w:t>provides support for law enforcement in Australia; and</w:t>
      </w:r>
    </w:p>
    <w:p w:rsidR="00A30995" w:rsidRPr="00ED5B62" w:rsidRDefault="00A30995" w:rsidP="00A30995">
      <w:pPr>
        <w:pStyle w:val="P2"/>
      </w:pPr>
      <w:r w:rsidRPr="00DC2AD8">
        <w:tab/>
        <w:t>(iii)</w:t>
      </w:r>
      <w:r w:rsidRPr="00DC2AD8">
        <w:tab/>
        <w:t xml:space="preserve">is responsible or accountable to the Australian Police Ministers’ </w:t>
      </w:r>
      <w:r w:rsidRPr="00ED5B62">
        <w:t>Council for the performance of that function; or</w:t>
      </w:r>
    </w:p>
    <w:p w:rsidR="00A30995" w:rsidRPr="00ED5B62" w:rsidRDefault="00A30995" w:rsidP="00A30995">
      <w:pPr>
        <w:pStyle w:val="P1"/>
      </w:pPr>
      <w:r w:rsidRPr="00ED5B62">
        <w:tab/>
        <w:t>(f)</w:t>
      </w:r>
      <w:r w:rsidRPr="00ED5B62">
        <w:tab/>
        <w:t>an aware user device or non</w:t>
      </w:r>
      <w:r>
        <w:noBreakHyphen/>
      </w:r>
      <w:r w:rsidRPr="00ED5B62">
        <w:t xml:space="preserve">aware user device that is not mentioned in subsection </w:t>
      </w:r>
      <w:r w:rsidR="004A4B15">
        <w:t>9</w:t>
      </w:r>
      <w:r w:rsidR="004A4B15" w:rsidRPr="00ED5B62">
        <w:t> </w:t>
      </w:r>
      <w:r w:rsidRPr="00ED5B62">
        <w:t xml:space="preserve">(1), </w:t>
      </w:r>
      <w:r w:rsidR="004A4B15">
        <w:t>10</w:t>
      </w:r>
      <w:r w:rsidR="004A4B15" w:rsidRPr="00ED5B62">
        <w:t> </w:t>
      </w:r>
      <w:r w:rsidRPr="00ED5B62">
        <w:t xml:space="preserve">(1) or </w:t>
      </w:r>
      <w:r w:rsidR="004A4B15">
        <w:t>11</w:t>
      </w:r>
      <w:r w:rsidR="004A4B15" w:rsidRPr="00ED5B62">
        <w:t> </w:t>
      </w:r>
      <w:r w:rsidRPr="00ED5B62">
        <w:t>(1).</w:t>
      </w:r>
    </w:p>
    <w:p w:rsidR="00A30995" w:rsidRPr="00DC2AD8" w:rsidRDefault="00A30995" w:rsidP="00A30995">
      <w:pPr>
        <w:pStyle w:val="Note"/>
        <w:rPr>
          <w:color w:val="000000"/>
        </w:rPr>
      </w:pPr>
      <w:r w:rsidRPr="00DC2AD8">
        <w:rPr>
          <w:i/>
          <w:iCs/>
          <w:color w:val="000000"/>
        </w:rPr>
        <w:t>Note 1</w:t>
      </w:r>
      <w:r w:rsidRPr="00DC2AD8">
        <w:rPr>
          <w:color w:val="000000"/>
        </w:rPr>
        <w:t>   Exemptions from the operation of the Act are also provided for in:</w:t>
      </w:r>
    </w:p>
    <w:p w:rsidR="00A30995" w:rsidRPr="00DC2AD8" w:rsidRDefault="00A30995" w:rsidP="00A30995">
      <w:pPr>
        <w:pStyle w:val="Note"/>
        <w:spacing w:before="60"/>
        <w:ind w:left="1440" w:hanging="476"/>
        <w:rPr>
          <w:color w:val="000000"/>
        </w:rPr>
      </w:pPr>
      <w:r w:rsidRPr="00DC2AD8">
        <w:rPr>
          <w:color w:val="000000"/>
        </w:rPr>
        <w:t>(a)</w:t>
      </w:r>
      <w:r w:rsidRPr="00DC2AD8">
        <w:rPr>
          <w:color w:val="000000"/>
        </w:rPr>
        <w:tab/>
        <w:t>the Act (subsection</w:t>
      </w:r>
      <w:r w:rsidR="00F378C8">
        <w:rPr>
          <w:color w:val="000000"/>
        </w:rPr>
        <w:t>s 24 (1) and (2) and section 25</w:t>
      </w:r>
      <w:r w:rsidR="000348CB">
        <w:rPr>
          <w:color w:val="000000"/>
        </w:rPr>
        <w:t>)</w:t>
      </w:r>
      <w:r w:rsidRPr="00DC2AD8">
        <w:rPr>
          <w:color w:val="000000"/>
        </w:rPr>
        <w:t>; and</w:t>
      </w:r>
    </w:p>
    <w:p w:rsidR="00A30995" w:rsidRPr="00DC2AD8" w:rsidRDefault="00A30995" w:rsidP="00A30995">
      <w:pPr>
        <w:pStyle w:val="Note"/>
        <w:spacing w:before="60"/>
        <w:ind w:left="1440" w:hanging="476"/>
        <w:rPr>
          <w:color w:val="000000"/>
        </w:rPr>
      </w:pPr>
      <w:r w:rsidRPr="00DC2AD8">
        <w:rPr>
          <w:color w:val="000000"/>
        </w:rPr>
        <w:t>(b)</w:t>
      </w:r>
      <w:r w:rsidRPr="00DC2AD8">
        <w:rPr>
          <w:color w:val="000000"/>
        </w:rPr>
        <w:tab/>
        <w:t xml:space="preserve">the </w:t>
      </w:r>
      <w:r>
        <w:rPr>
          <w:i/>
          <w:iCs/>
          <w:color w:val="000000"/>
        </w:rPr>
        <w:t>Radiocommunications</w:t>
      </w:r>
      <w:r w:rsidRPr="00DC2AD8">
        <w:rPr>
          <w:i/>
          <w:iCs/>
          <w:color w:val="000000"/>
        </w:rPr>
        <w:t xml:space="preserve"> Regulations 1993</w:t>
      </w:r>
      <w:r w:rsidRPr="00DC2AD8">
        <w:rPr>
          <w:color w:val="000000"/>
        </w:rPr>
        <w:t xml:space="preserve"> (regulation 6).</w:t>
      </w:r>
    </w:p>
    <w:p w:rsidR="00A30995" w:rsidRPr="00DC2AD8" w:rsidRDefault="00A30995" w:rsidP="00A30995">
      <w:pPr>
        <w:pStyle w:val="Note"/>
        <w:spacing w:before="60"/>
        <w:rPr>
          <w:color w:val="000000"/>
        </w:rPr>
      </w:pPr>
      <w:r w:rsidRPr="00DC2AD8">
        <w:rPr>
          <w:color w:val="000000"/>
        </w:rPr>
        <w:t>The exemptions relate to activities of the Defence Force, the Australian Security Intelligence Service and the Australian Security Intelligence Organisation</w:t>
      </w:r>
      <w:r w:rsidRPr="00EB6AC3">
        <w:rPr>
          <w:color w:val="000000"/>
        </w:rPr>
        <w:t>.</w:t>
      </w:r>
      <w:r w:rsidR="000348CB" w:rsidRPr="00EB6AC3">
        <w:rPr>
          <w:color w:val="000000"/>
        </w:rPr>
        <w:t xml:space="preserve">  Section 6 of this Standard is not intended to limit those exemptions.</w:t>
      </w:r>
    </w:p>
    <w:p w:rsidR="00A30995" w:rsidRDefault="00A30995" w:rsidP="00A30995">
      <w:pPr>
        <w:pStyle w:val="Note"/>
        <w:rPr>
          <w:color w:val="000000"/>
        </w:rPr>
      </w:pPr>
      <w:r w:rsidRPr="00DC2AD8">
        <w:rPr>
          <w:i/>
          <w:iCs/>
          <w:color w:val="000000"/>
        </w:rPr>
        <w:t>Note 2</w:t>
      </w:r>
      <w:r w:rsidRPr="00DC2AD8">
        <w:rPr>
          <w:color w:val="000000"/>
        </w:rPr>
        <w:t xml:space="preserve">   The application of this Standard to a device under this section is not relevant to the definition of </w:t>
      </w:r>
      <w:r w:rsidRPr="00DC2AD8">
        <w:rPr>
          <w:b/>
          <w:bCs/>
          <w:i/>
          <w:iCs/>
          <w:color w:val="000000"/>
        </w:rPr>
        <w:t>non</w:t>
      </w:r>
      <w:r>
        <w:rPr>
          <w:b/>
          <w:bCs/>
          <w:i/>
          <w:iCs/>
          <w:color w:val="000000"/>
        </w:rPr>
        <w:noBreakHyphen/>
      </w:r>
      <w:r w:rsidRPr="00DC2AD8">
        <w:rPr>
          <w:b/>
          <w:bCs/>
          <w:i/>
          <w:iCs/>
          <w:color w:val="000000"/>
        </w:rPr>
        <w:t>standard</w:t>
      </w:r>
      <w:r w:rsidRPr="00DC2AD8">
        <w:rPr>
          <w:color w:val="000000"/>
        </w:rPr>
        <w:t xml:space="preserve"> device in section 9 of the Act because the status of the device (as standard or non</w:t>
      </w:r>
      <w:r>
        <w:rPr>
          <w:color w:val="000000"/>
        </w:rPr>
        <w:noBreakHyphen/>
      </w:r>
      <w:r w:rsidRPr="00DC2AD8">
        <w:rPr>
          <w:color w:val="000000"/>
        </w:rPr>
        <w:t>standard) was established when the device was last manufactured, imported, altered or modified.</w:t>
      </w:r>
    </w:p>
    <w:p w:rsidR="00A30995" w:rsidRPr="00937D12" w:rsidRDefault="00A30995" w:rsidP="00A30995">
      <w:pPr>
        <w:pStyle w:val="HR"/>
      </w:pPr>
      <w:bookmarkStart w:id="11" w:name="_Toc288485856"/>
      <w:r w:rsidRPr="001A3D73">
        <w:rPr>
          <w:rStyle w:val="CharSectno"/>
        </w:rPr>
        <w:t>7</w:t>
      </w:r>
      <w:r>
        <w:tab/>
        <w:t xml:space="preserve">Transitional arrangements </w:t>
      </w:r>
      <w:r w:rsidR="00974AF3">
        <w:t>for one year after commencement of the Standard</w:t>
      </w:r>
      <w:bookmarkEnd w:id="11"/>
    </w:p>
    <w:p w:rsidR="00A30995" w:rsidRDefault="00A30995" w:rsidP="00A30995">
      <w:pPr>
        <w:pStyle w:val="ZR1"/>
      </w:pPr>
      <w:r w:rsidRPr="00DC2AD8">
        <w:tab/>
      </w:r>
      <w:r w:rsidR="00974AF3">
        <w:t>(1)</w:t>
      </w:r>
      <w:r w:rsidRPr="00DC2AD8">
        <w:tab/>
      </w:r>
      <w:r w:rsidR="00974AF3">
        <w:t>If a device to which this Standard applies is manufactured or imported not later than 12 months after the commencement of this Standard, the device will be taken to comply with this Standard if it complies with the old standard.</w:t>
      </w:r>
    </w:p>
    <w:p w:rsidR="008E5841" w:rsidRDefault="00974AF3" w:rsidP="008E5841">
      <w:pPr>
        <w:pStyle w:val="ZR1"/>
        <w:rPr>
          <w:color w:val="000000"/>
        </w:rPr>
      </w:pPr>
      <w:r>
        <w:tab/>
        <w:t>(</w:t>
      </w:r>
      <w:r w:rsidR="002D44C5">
        <w:t>2</w:t>
      </w:r>
      <w:r>
        <w:t>)</w:t>
      </w:r>
      <w:r>
        <w:tab/>
        <w:t>If a device to which this Standard applies</w:t>
      </w:r>
      <w:r>
        <w:rPr>
          <w:color w:val="000000"/>
        </w:rPr>
        <w:t xml:space="preserve"> has been altered or modified in a material respect </w:t>
      </w:r>
      <w:r w:rsidR="008E5841">
        <w:rPr>
          <w:color w:val="000000"/>
        </w:rPr>
        <w:t>at a time that is both:</w:t>
      </w:r>
    </w:p>
    <w:p w:rsidR="008E5841" w:rsidRDefault="008E5841" w:rsidP="008E5841">
      <w:pPr>
        <w:pStyle w:val="P1"/>
      </w:pPr>
      <w:r w:rsidRPr="008E5841">
        <w:tab/>
        <w:t>(a)</w:t>
      </w:r>
      <w:r w:rsidRPr="008E5841">
        <w:tab/>
      </w:r>
      <w:r w:rsidR="00974AF3" w:rsidRPr="008E5841">
        <w:t>after its manufacture or, if it has been imported, after its importation;</w:t>
      </w:r>
      <w:r>
        <w:t xml:space="preserve"> and</w:t>
      </w:r>
    </w:p>
    <w:p w:rsidR="00974AF3" w:rsidRPr="008E5841" w:rsidRDefault="008E5841" w:rsidP="008E5841">
      <w:pPr>
        <w:pStyle w:val="P1"/>
      </w:pPr>
      <w:r>
        <w:lastRenderedPageBreak/>
        <w:tab/>
        <w:t>(b)</w:t>
      </w:r>
      <w:r w:rsidRPr="008E5841">
        <w:t xml:space="preserve"> </w:t>
      </w:r>
      <w:r w:rsidRPr="008E5841">
        <w:tab/>
        <w:t>not later than 12 months after the commencement of this Standard</w:t>
      </w:r>
      <w:r>
        <w:t>;</w:t>
      </w:r>
    </w:p>
    <w:p w:rsidR="00974AF3" w:rsidRPr="00974AF3" w:rsidRDefault="00974AF3" w:rsidP="00974AF3">
      <w:pPr>
        <w:pStyle w:val="P1"/>
        <w:ind w:left="993" w:firstLine="0"/>
        <w:rPr>
          <w:color w:val="000000"/>
        </w:rPr>
      </w:pPr>
      <w:r>
        <w:rPr>
          <w:color w:val="000000"/>
        </w:rPr>
        <w:t>the device will be taken to comply with this Standard if it complies with the old standard.</w:t>
      </w:r>
    </w:p>
    <w:p w:rsidR="009F5657" w:rsidRDefault="009F5657" w:rsidP="00A30995">
      <w:pPr>
        <w:pStyle w:val="ZR1"/>
      </w:pPr>
      <w:r>
        <w:tab/>
        <w:t>(</w:t>
      </w:r>
      <w:r w:rsidR="002D44C5">
        <w:t>3</w:t>
      </w:r>
      <w:r>
        <w:t>)</w:t>
      </w:r>
      <w:r>
        <w:tab/>
        <w:t>Despite the revocation of the old standard, the old standard applies to a device for the purposes of this section as if it had not been revoked.</w:t>
      </w:r>
    </w:p>
    <w:p w:rsidR="00A30995" w:rsidRPr="00974AF3" w:rsidRDefault="00A30995" w:rsidP="00A30995">
      <w:pPr>
        <w:pStyle w:val="Note"/>
        <w:rPr>
          <w:color w:val="000000"/>
        </w:rPr>
      </w:pPr>
      <w:r w:rsidRPr="00974AF3">
        <w:rPr>
          <w:i/>
          <w:iCs/>
          <w:color w:val="000000"/>
        </w:rPr>
        <w:t>Note</w:t>
      </w:r>
      <w:r w:rsidRPr="00974AF3">
        <w:rPr>
          <w:color w:val="000000"/>
        </w:rPr>
        <w:t> </w:t>
      </w:r>
      <w:r w:rsidRPr="00974AF3">
        <w:rPr>
          <w:i/>
          <w:iCs/>
          <w:color w:val="000000"/>
        </w:rPr>
        <w:t>1</w:t>
      </w:r>
      <w:r w:rsidR="00836CA1" w:rsidRPr="00836CA1">
        <w:rPr>
          <w:color w:val="000000"/>
        </w:rPr>
        <w:t xml:space="preserve">   The continued application of this Standard to a device under this section is not relevant to the definition of </w:t>
      </w:r>
      <w:r w:rsidR="00836CA1" w:rsidRPr="00836CA1">
        <w:rPr>
          <w:b/>
          <w:bCs/>
          <w:i/>
          <w:iCs/>
          <w:color w:val="000000"/>
        </w:rPr>
        <w:t>non</w:t>
      </w:r>
      <w:r w:rsidR="00836CA1" w:rsidRPr="00836CA1">
        <w:rPr>
          <w:b/>
          <w:bCs/>
          <w:i/>
          <w:iCs/>
          <w:color w:val="000000"/>
        </w:rPr>
        <w:noBreakHyphen/>
        <w:t>standard device</w:t>
      </w:r>
      <w:r w:rsidR="00836CA1" w:rsidRPr="00836CA1">
        <w:rPr>
          <w:color w:val="000000"/>
        </w:rPr>
        <w:t xml:space="preserve"> in section 9 of the Act because the status </w:t>
      </w:r>
      <w:r w:rsidR="00154234" w:rsidRPr="00154234">
        <w:rPr>
          <w:color w:val="000000"/>
        </w:rPr>
        <w:t>of the device (as standard or non</w:t>
      </w:r>
      <w:r w:rsidR="00154234" w:rsidRPr="00154234">
        <w:rPr>
          <w:color w:val="000000"/>
        </w:rPr>
        <w:noBreakHyphen/>
        <w:t>standard) was established when the device was last manufactured, imported, altered or modified.</w:t>
      </w:r>
    </w:p>
    <w:p w:rsidR="00A30995" w:rsidRPr="00ED5B62" w:rsidRDefault="00836CA1" w:rsidP="00A30995">
      <w:pPr>
        <w:pStyle w:val="Note"/>
      </w:pPr>
      <w:r w:rsidRPr="00836CA1">
        <w:rPr>
          <w:i/>
          <w:iCs/>
        </w:rPr>
        <w:t>Note</w:t>
      </w:r>
      <w:r w:rsidRPr="00836CA1">
        <w:t> </w:t>
      </w:r>
      <w:r w:rsidRPr="00836CA1">
        <w:rPr>
          <w:i/>
          <w:iCs/>
        </w:rPr>
        <w:t>2</w:t>
      </w:r>
      <w:r w:rsidRPr="00836CA1">
        <w:t>   A device that was manufactured, imported, altered</w:t>
      </w:r>
      <w:r w:rsidR="000C02E6">
        <w:t>,</w:t>
      </w:r>
      <w:r w:rsidRPr="00836CA1">
        <w:t xml:space="preserve"> modified </w:t>
      </w:r>
      <w:r w:rsidR="000C02E6">
        <w:t xml:space="preserve">or first offered for supply </w:t>
      </w:r>
      <w:r w:rsidRPr="00836CA1">
        <w:t>before</w:t>
      </w:r>
      <w:r w:rsidR="00A30995" w:rsidRPr="00974AF3">
        <w:t xml:space="preserve"> </w:t>
      </w:r>
      <w:r w:rsidR="00974AF3" w:rsidRPr="00974AF3">
        <w:t xml:space="preserve">the commencement of this Standard </w:t>
      </w:r>
      <w:r w:rsidR="00A30995" w:rsidRPr="00974AF3">
        <w:t>is equipment to which this</w:t>
      </w:r>
      <w:r w:rsidR="00A30995" w:rsidRPr="00ED5B62">
        <w:t xml:space="preserve"> Standard does not apply under section 6.</w:t>
      </w:r>
    </w:p>
    <w:p w:rsidR="00A30995" w:rsidRDefault="00161B14" w:rsidP="00A30995">
      <w:pPr>
        <w:pStyle w:val="HR"/>
        <w:keepNext w:val="0"/>
      </w:pPr>
      <w:bookmarkStart w:id="12" w:name="_Toc288485857"/>
      <w:r>
        <w:rPr>
          <w:rStyle w:val="CharSectno"/>
        </w:rPr>
        <w:t>8</w:t>
      </w:r>
      <w:r w:rsidR="00A30995">
        <w:tab/>
        <w:t>Performance standards</w:t>
      </w:r>
      <w:bookmarkEnd w:id="12"/>
    </w:p>
    <w:p w:rsidR="00A30995" w:rsidRPr="00974AF3" w:rsidRDefault="00A30995" w:rsidP="00A30995">
      <w:pPr>
        <w:pStyle w:val="R1"/>
        <w:keepLines w:val="0"/>
      </w:pPr>
      <w:r>
        <w:tab/>
        <w:t>(1)</w:t>
      </w:r>
      <w:r>
        <w:tab/>
        <w:t xml:space="preserve">For paragraph 162 (1) (a) of the </w:t>
      </w:r>
      <w:r w:rsidRPr="00DA23A3">
        <w:rPr>
          <w:iCs/>
        </w:rPr>
        <w:t>Act</w:t>
      </w:r>
      <w:r>
        <w:t>, th</w:t>
      </w:r>
      <w:r w:rsidRPr="00963D6E">
        <w:t>e standard for performance</w:t>
      </w:r>
      <w:r>
        <w:t xml:space="preserve"> for an aware user device to which this Standard applies is that the device must not expose the user to electromagnetic radiation at a level greater than the basic restrictions for occupational exposure when the device is used in its normal position of </w:t>
      </w:r>
      <w:r w:rsidRPr="00974AF3">
        <w:t>use</w:t>
      </w:r>
      <w:r w:rsidR="0050407D" w:rsidRPr="00974AF3">
        <w:t xml:space="preserve"> and in its normal mode of operation</w:t>
      </w:r>
      <w:r w:rsidR="00D8139E" w:rsidRPr="00974AF3">
        <w:t>, measured using the measurement met</w:t>
      </w:r>
      <w:r w:rsidR="00161B14" w:rsidRPr="00974AF3">
        <w:t>hods set out in section 9</w:t>
      </w:r>
      <w:r w:rsidR="00224C0E">
        <w:t>, 10 or 11</w:t>
      </w:r>
      <w:r w:rsidRPr="00974AF3">
        <w:t>.</w:t>
      </w:r>
    </w:p>
    <w:p w:rsidR="00A30995" w:rsidRDefault="00A30995" w:rsidP="00A30995">
      <w:pPr>
        <w:pStyle w:val="R2"/>
        <w:keepLines w:val="0"/>
      </w:pPr>
      <w:r w:rsidRPr="00974AF3">
        <w:tab/>
        <w:t>(2)</w:t>
      </w:r>
      <w:r w:rsidRPr="00974AF3">
        <w:tab/>
        <w:t>For paragraph 162 (1) (a) of the</w:t>
      </w:r>
      <w:r w:rsidR="00836CA1" w:rsidRPr="00836CA1">
        <w:t xml:space="preserve"> </w:t>
      </w:r>
      <w:r w:rsidR="00836CA1" w:rsidRPr="00836CA1">
        <w:rPr>
          <w:iCs/>
        </w:rPr>
        <w:t>Act</w:t>
      </w:r>
      <w:r w:rsidR="00836CA1" w:rsidRPr="00836CA1">
        <w:t xml:space="preserve">, the standard for performance for a non–aware user device to which </w:t>
      </w:r>
      <w:r w:rsidR="00224C0E">
        <w:t>t</w:t>
      </w:r>
      <w:r w:rsidR="00836CA1" w:rsidRPr="00836CA1">
        <w:t>his Standard applies is that the</w:t>
      </w:r>
      <w:r w:rsidR="00521CEB">
        <w:t xml:space="preserve"> </w:t>
      </w:r>
      <w:r w:rsidR="00836CA1" w:rsidRPr="00836CA1">
        <w:t xml:space="preserve">device must not expose the user to electromagnetic radiation at a level greater than the basic restrictions for general public exposure when the device is used in its normal position of use </w:t>
      </w:r>
      <w:r w:rsidR="0050407D" w:rsidRPr="00974AF3">
        <w:t>and in its normal mode of operation</w:t>
      </w:r>
      <w:r w:rsidR="00A65B7A" w:rsidRPr="00974AF3">
        <w:t xml:space="preserve">, </w:t>
      </w:r>
      <w:r w:rsidR="00D8139E" w:rsidRPr="00974AF3">
        <w:t>measure</w:t>
      </w:r>
      <w:r w:rsidR="00E95538" w:rsidRPr="00974AF3">
        <w:t>d</w:t>
      </w:r>
      <w:r w:rsidR="00D8139E" w:rsidRPr="00974AF3">
        <w:t xml:space="preserve"> using the measurement methods set</w:t>
      </w:r>
      <w:r w:rsidR="00D8139E">
        <w:t xml:space="preserve"> out in section </w:t>
      </w:r>
      <w:r w:rsidR="009B34EA">
        <w:t>9</w:t>
      </w:r>
      <w:r w:rsidR="00224C0E">
        <w:t>, 10 or 11</w:t>
      </w:r>
      <w:r>
        <w:t>.</w:t>
      </w:r>
    </w:p>
    <w:p w:rsidR="009F6100" w:rsidRPr="00963D6E" w:rsidRDefault="009F6100" w:rsidP="00A30995">
      <w:pPr>
        <w:pStyle w:val="R2"/>
        <w:keepLines w:val="0"/>
      </w:pPr>
      <w:r>
        <w:tab/>
      </w:r>
      <w:r w:rsidRPr="00974AF3">
        <w:t>(3)</w:t>
      </w:r>
      <w:r w:rsidRPr="00974AF3">
        <w:tab/>
        <w:t xml:space="preserve">For the purpose of subsections (1) and (2), if a device is capable of operation in simultaneous multi-band transmission mode, </w:t>
      </w:r>
      <w:r w:rsidRPr="00974AF3">
        <w:rPr>
          <w:b/>
          <w:i/>
        </w:rPr>
        <w:t>normal mode of operation</w:t>
      </w:r>
      <w:r w:rsidRPr="00974AF3">
        <w:t xml:space="preserve"> means operation in that mode.</w:t>
      </w:r>
    </w:p>
    <w:p w:rsidR="00A30995" w:rsidRPr="007B4611" w:rsidRDefault="008C4733" w:rsidP="004144A9">
      <w:pPr>
        <w:pStyle w:val="HR"/>
        <w:keepLines/>
      </w:pPr>
      <w:bookmarkStart w:id="13" w:name="_Toc288485858"/>
      <w:r>
        <w:rPr>
          <w:rStyle w:val="CharSectno"/>
        </w:rPr>
        <w:t>9</w:t>
      </w:r>
      <w:r w:rsidR="00A30995">
        <w:tab/>
        <w:t xml:space="preserve">Measurement methods for performance standards: </w:t>
      </w:r>
      <w:r w:rsidR="00A30995" w:rsidRPr="003B6BDA">
        <w:t>aware user device or non</w:t>
      </w:r>
      <w:r w:rsidR="00A30995">
        <w:noBreakHyphen/>
      </w:r>
      <w:r w:rsidR="00A30995" w:rsidRPr="003B6BDA">
        <w:t>aware user device</w:t>
      </w:r>
      <w:r w:rsidR="00A30995" w:rsidRPr="00ED5B62">
        <w:t xml:space="preserve"> in close proximity to the human ea</w:t>
      </w:r>
      <w:r w:rsidR="00A30995" w:rsidRPr="007B4611">
        <w:t>r</w:t>
      </w:r>
      <w:bookmarkEnd w:id="13"/>
    </w:p>
    <w:p w:rsidR="00A30995" w:rsidRPr="00ED5B62" w:rsidRDefault="00A30995" w:rsidP="004144A9">
      <w:pPr>
        <w:pStyle w:val="ZR1"/>
      </w:pPr>
      <w:r>
        <w:tab/>
        <w:t>(1)</w:t>
      </w:r>
      <w:r>
        <w:tab/>
      </w:r>
      <w:r w:rsidRPr="00B37793">
        <w:t>This section applies</w:t>
      </w:r>
      <w:r>
        <w:t xml:space="preserve"> to a</w:t>
      </w:r>
      <w:r w:rsidRPr="003B6BDA">
        <w:t xml:space="preserve">n </w:t>
      </w:r>
      <w:r w:rsidRPr="005A41FC">
        <w:t>aware user device or non</w:t>
      </w:r>
      <w:r>
        <w:noBreakHyphen/>
      </w:r>
      <w:r w:rsidRPr="005A41FC">
        <w:t xml:space="preserve">aware user device </w:t>
      </w:r>
      <w:r>
        <w:t xml:space="preserve">to </w:t>
      </w:r>
      <w:r w:rsidRPr="00ED5B62">
        <w:t>which this Standard applies that:</w:t>
      </w:r>
    </w:p>
    <w:p w:rsidR="00A30995" w:rsidRPr="00ED5B62" w:rsidRDefault="00A30995" w:rsidP="00A30995">
      <w:pPr>
        <w:pStyle w:val="P1"/>
      </w:pPr>
      <w:r w:rsidRPr="00ED5B62">
        <w:tab/>
        <w:t>(a)</w:t>
      </w:r>
      <w:r w:rsidRPr="00ED5B62">
        <w:tab/>
        <w:t>is designed to be used or held with the radiating part of the aware user device or non</w:t>
      </w:r>
      <w:r>
        <w:noBreakHyphen/>
      </w:r>
      <w:r w:rsidRPr="00ED5B62">
        <w:t>aware user device in close proximity to the human ear; and</w:t>
      </w:r>
    </w:p>
    <w:p w:rsidR="00D8139E" w:rsidRPr="00197CCD" w:rsidRDefault="00A30995" w:rsidP="00EF0D82">
      <w:pPr>
        <w:pStyle w:val="P1"/>
      </w:pPr>
      <w:r w:rsidRPr="00B573C8">
        <w:rPr>
          <w:color w:val="FF00FF"/>
        </w:rPr>
        <w:tab/>
      </w:r>
      <w:r w:rsidRPr="00FA3781">
        <w:rPr>
          <w:color w:val="000000"/>
        </w:rPr>
        <w:t>(b)</w:t>
      </w:r>
      <w:r w:rsidRPr="00FA3781">
        <w:rPr>
          <w:color w:val="000000"/>
        </w:rPr>
        <w:tab/>
        <w:t>transmits on a fre</w:t>
      </w:r>
      <w:r>
        <w:t>quency in the frequency band 300MHz to 3GHz (inclusive).</w:t>
      </w:r>
    </w:p>
    <w:p w:rsidR="00A30995" w:rsidRPr="00563273" w:rsidRDefault="00A30995" w:rsidP="001A0806">
      <w:pPr>
        <w:pStyle w:val="R2"/>
      </w:pPr>
      <w:r>
        <w:tab/>
      </w:r>
      <w:r w:rsidRPr="00563273">
        <w:t>(2)</w:t>
      </w:r>
      <w:r w:rsidRPr="00563273">
        <w:tab/>
      </w:r>
      <w:r w:rsidR="00600CF9" w:rsidRPr="00563273">
        <w:t>Subject to subsection (2A), t</w:t>
      </w:r>
      <w:r w:rsidRPr="00563273">
        <w:t>he measurement</w:t>
      </w:r>
      <w:r w:rsidR="0024087B" w:rsidRPr="00563273">
        <w:t xml:space="preserve"> methods </w:t>
      </w:r>
      <w:r w:rsidRPr="00563273">
        <w:t>to determine if the aware user device or non-aware user device meets the standard</w:t>
      </w:r>
      <w:r w:rsidR="00161B14" w:rsidRPr="00563273">
        <w:t xml:space="preserve"> for performance in subsection 8 (1) or 8</w:t>
      </w:r>
      <w:r w:rsidRPr="00563273">
        <w:t> (2) are the measurement</w:t>
      </w:r>
      <w:r w:rsidR="0024087B" w:rsidRPr="00563273">
        <w:t xml:space="preserve"> methods </w:t>
      </w:r>
      <w:r w:rsidRPr="00563273">
        <w:t xml:space="preserve">identified </w:t>
      </w:r>
      <w:r w:rsidR="0050407D" w:rsidRPr="00563273">
        <w:t>in EN 62209-1 or IEC 62209-1</w:t>
      </w:r>
      <w:r w:rsidR="001A0806" w:rsidRPr="00563273">
        <w:t>.</w:t>
      </w:r>
    </w:p>
    <w:p w:rsidR="00600CF9" w:rsidRPr="00563273" w:rsidRDefault="00600CF9" w:rsidP="00A65B7A">
      <w:pPr>
        <w:pStyle w:val="R2"/>
      </w:pPr>
      <w:r w:rsidRPr="00563273">
        <w:lastRenderedPageBreak/>
        <w:tab/>
        <w:t>(2A)</w:t>
      </w:r>
      <w:r w:rsidRPr="00563273">
        <w:tab/>
      </w:r>
      <w:r w:rsidR="003316D6" w:rsidRPr="00563273">
        <w:t xml:space="preserve">If </w:t>
      </w:r>
      <w:r w:rsidR="007911C1" w:rsidRPr="00563273">
        <w:t xml:space="preserve">IEC 62209-1 or EN 62209-1 does not include measurement </w:t>
      </w:r>
      <w:r w:rsidR="00A65B7A" w:rsidRPr="00563273">
        <w:t xml:space="preserve">methods for operation of a device </w:t>
      </w:r>
      <w:r w:rsidR="007911C1" w:rsidRPr="00563273">
        <w:t xml:space="preserve">in </w:t>
      </w:r>
      <w:r w:rsidR="00EF0D82" w:rsidRPr="00563273">
        <w:t xml:space="preserve">simultaneous </w:t>
      </w:r>
      <w:r w:rsidR="007911C1" w:rsidRPr="00563273">
        <w:t xml:space="preserve">multi-band transmission mode, </w:t>
      </w:r>
      <w:r w:rsidR="00EF0D82" w:rsidRPr="00563273">
        <w:t xml:space="preserve">a device to which this section applies that is capable of operation in that mode </w:t>
      </w:r>
      <w:r w:rsidR="007911C1" w:rsidRPr="00563273">
        <w:t xml:space="preserve">must be tested </w:t>
      </w:r>
      <w:r w:rsidR="00EF0D82" w:rsidRPr="00563273">
        <w:t xml:space="preserve">to determine if the device meets the applicable standard for performance in section </w:t>
      </w:r>
      <w:r w:rsidR="00161B14" w:rsidRPr="00563273">
        <w:t>8</w:t>
      </w:r>
      <w:r w:rsidR="00EF0D82" w:rsidRPr="00563273">
        <w:t xml:space="preserve"> </w:t>
      </w:r>
      <w:r w:rsidR="007911C1" w:rsidRPr="00563273">
        <w:t xml:space="preserve">using the </w:t>
      </w:r>
      <w:r w:rsidR="00A65B7A" w:rsidRPr="00563273">
        <w:t>measurement methods</w:t>
      </w:r>
      <w:r w:rsidR="007911C1" w:rsidRPr="00563273">
        <w:t xml:space="preserve"> described in </w:t>
      </w:r>
      <w:r w:rsidR="00663D5A" w:rsidRPr="00563273">
        <w:t>IEC</w:t>
      </w:r>
      <w:r w:rsidR="00663D5A">
        <w:t> </w:t>
      </w:r>
      <w:r w:rsidR="007911C1" w:rsidRPr="00563273">
        <w:t>62209-2</w:t>
      </w:r>
      <w:r w:rsidR="00663D5A">
        <w:t xml:space="preserve"> or EN 62209-2</w:t>
      </w:r>
      <w:r w:rsidR="007911C1" w:rsidRPr="00563273">
        <w:t>.</w:t>
      </w:r>
    </w:p>
    <w:p w:rsidR="00A30995" w:rsidRDefault="00A30995" w:rsidP="00A65B7A">
      <w:pPr>
        <w:pStyle w:val="R2"/>
      </w:pPr>
      <w:r w:rsidRPr="00563273">
        <w:tab/>
        <w:t>(3)</w:t>
      </w:r>
      <w:r w:rsidRPr="00563273">
        <w:tab/>
        <w:t>A test report must comply with the requirements in EN 62209-1</w:t>
      </w:r>
      <w:r w:rsidR="009F6100" w:rsidRPr="00563273">
        <w:t>,</w:t>
      </w:r>
      <w:r w:rsidRPr="00563273">
        <w:t xml:space="preserve"> </w:t>
      </w:r>
      <w:r w:rsidR="00663D5A">
        <w:t xml:space="preserve">EN 62209-2, </w:t>
      </w:r>
      <w:r w:rsidRPr="00563273">
        <w:t>IEC 62209-1</w:t>
      </w:r>
      <w:r w:rsidR="00EF0D82" w:rsidRPr="00563273">
        <w:t xml:space="preserve"> or IEC 62209-2</w:t>
      </w:r>
      <w:r w:rsidRPr="00563273">
        <w:t xml:space="preserve"> which contained the measurement</w:t>
      </w:r>
      <w:r w:rsidR="00BE7C82" w:rsidRPr="00563273">
        <w:t xml:space="preserve"> method</w:t>
      </w:r>
      <w:r w:rsidRPr="00563273">
        <w:t xml:space="preserve">s identified </w:t>
      </w:r>
      <w:r w:rsidR="00BE7C82" w:rsidRPr="00563273">
        <w:t xml:space="preserve">as applicable </w:t>
      </w:r>
      <w:r w:rsidRPr="00563273">
        <w:t>in accordance with subsection (2)</w:t>
      </w:r>
      <w:r w:rsidR="0050407D" w:rsidRPr="00563273">
        <w:t xml:space="preserve"> or (2A</w:t>
      </w:r>
      <w:r w:rsidR="00EF0D82" w:rsidRPr="00563273">
        <w:t>)</w:t>
      </w:r>
      <w:r w:rsidRPr="00563273">
        <w:t>.</w:t>
      </w:r>
    </w:p>
    <w:p w:rsidR="00A30995" w:rsidRPr="007B4611" w:rsidRDefault="00A65B7A" w:rsidP="00A30995">
      <w:pPr>
        <w:pStyle w:val="HR"/>
      </w:pPr>
      <w:bookmarkStart w:id="14" w:name="_Toc288485859"/>
      <w:r>
        <w:rPr>
          <w:rStyle w:val="CharSectno"/>
        </w:rPr>
        <w:t>10</w:t>
      </w:r>
      <w:r w:rsidR="00A30995">
        <w:tab/>
        <w:t xml:space="preserve">Measurement methods for performance standards: </w:t>
      </w:r>
      <w:r w:rsidR="00A30995" w:rsidRPr="003B6BDA">
        <w:t>aware user device or non–aware user device</w:t>
      </w:r>
      <w:r w:rsidR="00A30995">
        <w:rPr>
          <w:i/>
          <w:iCs/>
        </w:rPr>
        <w:t xml:space="preserve"> </w:t>
      </w:r>
      <w:r w:rsidR="00A30995">
        <w:t>20cm or less from the human body</w:t>
      </w:r>
      <w:bookmarkEnd w:id="14"/>
    </w:p>
    <w:p w:rsidR="00A30995" w:rsidRDefault="00A30995" w:rsidP="00A30995">
      <w:pPr>
        <w:pStyle w:val="R1"/>
      </w:pPr>
      <w:r>
        <w:tab/>
        <w:t>(1)</w:t>
      </w:r>
      <w:r>
        <w:tab/>
        <w:t xml:space="preserve">This section applies to an </w:t>
      </w:r>
      <w:r w:rsidRPr="003B6BDA">
        <w:t>aware user</w:t>
      </w:r>
      <w:r w:rsidRPr="006E5B8C">
        <w:t xml:space="preserve"> device </w:t>
      </w:r>
      <w:r w:rsidRPr="003B6BDA">
        <w:t xml:space="preserve">or </w:t>
      </w:r>
      <w:r>
        <w:t xml:space="preserve">a </w:t>
      </w:r>
      <w:r w:rsidRPr="003B6BDA">
        <w:t xml:space="preserve">non–aware user </w:t>
      </w:r>
      <w:r w:rsidRPr="006E5B8C">
        <w:t>device t</w:t>
      </w:r>
      <w:r>
        <w:t>o which this Standard applies that</w:t>
      </w:r>
      <w:r w:rsidRPr="003B6BDA">
        <w:t>:</w:t>
      </w:r>
    </w:p>
    <w:p w:rsidR="00A30995" w:rsidRPr="00ED5B62" w:rsidRDefault="00A30995" w:rsidP="00A30995">
      <w:pPr>
        <w:pStyle w:val="P1"/>
      </w:pPr>
      <w:r w:rsidRPr="00B573C8">
        <w:tab/>
        <w:t>(a)</w:t>
      </w:r>
      <w:r w:rsidRPr="00B573C8">
        <w:tab/>
        <w:t>is designed to be used or held with the radiating part of the aware user device or non</w:t>
      </w:r>
      <w:r>
        <w:noBreakHyphen/>
      </w:r>
      <w:r w:rsidRPr="00B573C8">
        <w:t>aware user device</w:t>
      </w:r>
      <w:r>
        <w:t xml:space="preserve"> in close proximity to the human body but</w:t>
      </w:r>
      <w:r w:rsidRPr="00ED5B62">
        <w:t xml:space="preserve"> </w:t>
      </w:r>
      <w:r>
        <w:t>not more than 20cm from the human body</w:t>
      </w:r>
      <w:r w:rsidRPr="00ED5B62">
        <w:t>; and</w:t>
      </w:r>
    </w:p>
    <w:p w:rsidR="00A30995" w:rsidRDefault="00A30995" w:rsidP="00A30995">
      <w:pPr>
        <w:pStyle w:val="P1"/>
      </w:pPr>
      <w:r>
        <w:tab/>
        <w:t>(b)</w:t>
      </w:r>
      <w:r>
        <w:tab/>
        <w:t>transmits on a frequency in the frequency band 150MHz to 5.8GHz (inclusive); and</w:t>
      </w:r>
    </w:p>
    <w:p w:rsidR="00A30995" w:rsidRDefault="00A30995" w:rsidP="00A30995">
      <w:pPr>
        <w:pStyle w:val="P1"/>
      </w:pPr>
      <w:r>
        <w:tab/>
        <w:t>(c)</w:t>
      </w:r>
      <w:r>
        <w:tab/>
        <w:t>i</w:t>
      </w:r>
      <w:r w:rsidR="00161B14">
        <w:t xml:space="preserve">s not mentioned in subsection </w:t>
      </w:r>
      <w:r w:rsidR="00A65B7A">
        <w:t>9</w:t>
      </w:r>
      <w:r>
        <w:t> (1).</w:t>
      </w:r>
    </w:p>
    <w:p w:rsidR="00A30995" w:rsidRDefault="00A30995" w:rsidP="00A30995">
      <w:pPr>
        <w:pStyle w:val="R2"/>
      </w:pPr>
      <w:r>
        <w:tab/>
      </w:r>
      <w:r w:rsidRPr="001636B1">
        <w:t>(2)</w:t>
      </w:r>
      <w:r w:rsidRPr="001636B1">
        <w:tab/>
        <w:t>The measurement</w:t>
      </w:r>
      <w:r w:rsidR="00EA388F" w:rsidRPr="001636B1">
        <w:t xml:space="preserve"> methods </w:t>
      </w:r>
      <w:r w:rsidRPr="001636B1">
        <w:t>to determine if the aware user device or non-aware user device meets the standard</w:t>
      </w:r>
      <w:r w:rsidR="00161B14" w:rsidRPr="001636B1">
        <w:t xml:space="preserve"> for performance in subsection 8</w:t>
      </w:r>
      <w:r w:rsidR="00A65B7A" w:rsidRPr="001636B1">
        <w:t> (1) or 8</w:t>
      </w:r>
      <w:r w:rsidRPr="001636B1">
        <w:t> (2) are the measurement</w:t>
      </w:r>
      <w:r w:rsidR="00EA388F" w:rsidRPr="001636B1">
        <w:t xml:space="preserve"> method</w:t>
      </w:r>
      <w:r w:rsidR="009F6100" w:rsidRPr="001636B1">
        <w:t>s</w:t>
      </w:r>
      <w:r w:rsidR="00EA388F" w:rsidRPr="001636B1">
        <w:t xml:space="preserve"> identified in</w:t>
      </w:r>
      <w:r w:rsidR="008C4733" w:rsidRPr="001636B1">
        <w:t xml:space="preserve"> </w:t>
      </w:r>
      <w:r w:rsidR="00EA388F" w:rsidRPr="001636B1">
        <w:t>EN 62209-2 or IEC 62209-2</w:t>
      </w:r>
      <w:r w:rsidR="008C4733" w:rsidRPr="001636B1">
        <w:t>.</w:t>
      </w:r>
    </w:p>
    <w:p w:rsidR="00A30995" w:rsidRDefault="00A30995" w:rsidP="00A30995">
      <w:pPr>
        <w:pStyle w:val="R2"/>
      </w:pPr>
      <w:r>
        <w:tab/>
        <w:t>(3)</w:t>
      </w:r>
      <w:r>
        <w:tab/>
        <w:t>A test report must comply with the requirements in EN 62209-2 or IEC 62209-2 which contained the measurement</w:t>
      </w:r>
      <w:r w:rsidR="00A74714">
        <w:t xml:space="preserve"> methods</w:t>
      </w:r>
      <w:r>
        <w:t xml:space="preserve"> identified in accordance with subsection (2).</w:t>
      </w:r>
    </w:p>
    <w:p w:rsidR="00A30995" w:rsidRDefault="00A65B7A" w:rsidP="00A30995">
      <w:pPr>
        <w:pStyle w:val="HR"/>
        <w:keepNext w:val="0"/>
      </w:pPr>
      <w:bookmarkStart w:id="15" w:name="_Toc288485860"/>
      <w:r>
        <w:rPr>
          <w:rStyle w:val="CharSectno"/>
        </w:rPr>
        <w:t>11</w:t>
      </w:r>
      <w:r w:rsidR="00A30995">
        <w:tab/>
        <w:t>Assessment methods for performance standards: aware user devices and non</w:t>
      </w:r>
      <w:r w:rsidR="00A30995">
        <w:noBreakHyphen/>
        <w:t>aware user devices more than 20cm from the human body</w:t>
      </w:r>
      <w:bookmarkEnd w:id="15"/>
    </w:p>
    <w:p w:rsidR="00A30995" w:rsidRDefault="00A30995" w:rsidP="00A30995">
      <w:pPr>
        <w:pStyle w:val="ZR1"/>
        <w:keepNext w:val="0"/>
        <w:keepLines w:val="0"/>
      </w:pPr>
      <w:r>
        <w:tab/>
        <w:t>(1)</w:t>
      </w:r>
      <w:r>
        <w:tab/>
        <w:t>This section applies to an aware user device or a non</w:t>
      </w:r>
      <w:r>
        <w:noBreakHyphen/>
        <w:t>aware user device to which this Standard applies that:</w:t>
      </w:r>
    </w:p>
    <w:p w:rsidR="00A30995" w:rsidRDefault="00A30995" w:rsidP="00A30995">
      <w:pPr>
        <w:pStyle w:val="P1"/>
      </w:pPr>
      <w:r>
        <w:tab/>
        <w:t>(a)</w:t>
      </w:r>
      <w:r>
        <w:tab/>
        <w:t>is designed to be used, or held, more than 20cm from the human body; and</w:t>
      </w:r>
    </w:p>
    <w:p w:rsidR="00A30995" w:rsidRDefault="00A30995" w:rsidP="00A30995">
      <w:pPr>
        <w:pStyle w:val="P1"/>
      </w:pPr>
      <w:r>
        <w:tab/>
        <w:t>(b)</w:t>
      </w:r>
      <w:r>
        <w:tab/>
        <w:t>transmits in the frequency band 300kHz to 100GHz (inclusive).</w:t>
      </w:r>
    </w:p>
    <w:p w:rsidR="00A30995" w:rsidRDefault="00A30995" w:rsidP="00A30995">
      <w:pPr>
        <w:pStyle w:val="R2"/>
        <w:keepLines w:val="0"/>
      </w:pPr>
      <w:r>
        <w:tab/>
        <w:t>(2)</w:t>
      </w:r>
      <w:r>
        <w:tab/>
        <w:t>The RF field produced by an aware user device or a non</w:t>
      </w:r>
      <w:r>
        <w:noBreakHyphen/>
        <w:t xml:space="preserve">aware user device, </w:t>
      </w:r>
      <w:r w:rsidRPr="007B4611">
        <w:t xml:space="preserve">at the </w:t>
      </w:r>
      <w:r>
        <w:t>position of the user with the device operated at the normal position of use,</w:t>
      </w:r>
      <w:r w:rsidRPr="007B4611">
        <w:t xml:space="preserve"> </w:t>
      </w:r>
      <w:r>
        <w:t>must be assessed in accordance with the requirements in AS</w:t>
      </w:r>
      <w:r w:rsidR="00037CD1">
        <w:t>/NZS</w:t>
      </w:r>
      <w:r>
        <w:t> 2772.2.</w:t>
      </w:r>
    </w:p>
    <w:p w:rsidR="00A30995" w:rsidRDefault="00A30995" w:rsidP="00A30995">
      <w:pPr>
        <w:pStyle w:val="R2"/>
        <w:keepLines w:val="0"/>
      </w:pPr>
      <w:r>
        <w:tab/>
        <w:t>(3)</w:t>
      </w:r>
      <w:r>
        <w:tab/>
        <w:t>An aware user device is taken to meet the standard</w:t>
      </w:r>
      <w:r w:rsidR="00161B14">
        <w:t xml:space="preserve"> for performance of subsection 8</w:t>
      </w:r>
      <w:r>
        <w:t> (1) if the RF field assessed under subsection (2) is less than the relevant reference levels for occupational exposure.</w:t>
      </w:r>
    </w:p>
    <w:p w:rsidR="00A30995" w:rsidRDefault="00A30995" w:rsidP="00A30995">
      <w:pPr>
        <w:pStyle w:val="R2"/>
        <w:keepLines w:val="0"/>
      </w:pPr>
      <w:r>
        <w:lastRenderedPageBreak/>
        <w:tab/>
        <w:t>(4)</w:t>
      </w:r>
      <w:r>
        <w:tab/>
        <w:t>A non</w:t>
      </w:r>
      <w:r>
        <w:noBreakHyphen/>
        <w:t xml:space="preserve">aware user device is taken to meet the standard for performance of subsection </w:t>
      </w:r>
      <w:r w:rsidR="00161B14">
        <w:t>8</w:t>
      </w:r>
      <w:r>
        <w:t> (2) if the RF field assessed is less than the relevant reference levels for general public exposure.</w:t>
      </w:r>
    </w:p>
    <w:p w:rsidR="00A30995" w:rsidRDefault="00A30995" w:rsidP="00A30995">
      <w:pPr>
        <w:pStyle w:val="MainBodySectionBreak"/>
        <w:sectPr w:rsidR="00A30995" w:rsidSect="006D173D">
          <w:headerReference w:type="even" r:id="rId25"/>
          <w:headerReference w:type="default" r:id="rId26"/>
          <w:footerReference w:type="even" r:id="rId27"/>
          <w:footerReference w:type="default" r:id="rId28"/>
          <w:type w:val="continuous"/>
          <w:pgSz w:w="11907" w:h="16839" w:code="9"/>
          <w:pgMar w:top="1440" w:right="1797" w:bottom="1440" w:left="1797" w:header="709" w:footer="709" w:gutter="0"/>
          <w:cols w:space="708"/>
          <w:titlePg/>
          <w:docGrid w:linePitch="360"/>
        </w:sectPr>
      </w:pPr>
    </w:p>
    <w:p w:rsidR="00A30995" w:rsidRDefault="00A30995" w:rsidP="00A30995"/>
    <w:p w:rsidR="00D512C5" w:rsidRDefault="00D512C5" w:rsidP="00A30995"/>
    <w:sectPr w:rsidR="00D512C5" w:rsidSect="00BA46A3">
      <w:headerReference w:type="first" r:id="rId29"/>
      <w:footerReference w:type="first" r:id="rId30"/>
      <w:type w:val="continuous"/>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24F" w:rsidRDefault="00B5224F">
      <w:r>
        <w:separator/>
      </w:r>
    </w:p>
  </w:endnote>
  <w:endnote w:type="continuationSeparator" w:id="0">
    <w:p w:rsidR="00B5224F" w:rsidRDefault="00B5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4F" w:rsidRDefault="00F47C2F">
    <w:pPr>
      <w:pStyle w:val="Footer"/>
      <w:jc w:val="right"/>
    </w:pPr>
    <w:r>
      <w:fldChar w:fldCharType="begin"/>
    </w:r>
    <w:r w:rsidR="00037CD1">
      <w:instrText xml:space="preserve"> PAGE   \* MERGEFORMAT </w:instrText>
    </w:r>
    <w:r>
      <w:fldChar w:fldCharType="separate"/>
    </w:r>
    <w:r w:rsidR="00B5224F">
      <w:rPr>
        <w:noProof/>
      </w:rPr>
      <w:t>2</w:t>
    </w:r>
    <w:r>
      <w:rPr>
        <w:noProof/>
      </w:rPr>
      <w:fldChar w:fldCharType="end"/>
    </w:r>
  </w:p>
  <w:p w:rsidR="00B5224F" w:rsidRDefault="00B5224F">
    <w:pPr>
      <w:pStyle w:val="Footer"/>
      <w:jc w:val="center"/>
      <w:rPr>
        <w:i/>
      </w:rPr>
    </w:pPr>
    <w:r>
      <w:rPr>
        <w:i/>
      </w:rPr>
      <w:t>Radiocommunications (Electromagnetic Radiation – Human Exposure) Standard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4F" w:rsidRDefault="00F47C2F">
    <w:pPr>
      <w:pStyle w:val="Footer"/>
      <w:jc w:val="right"/>
    </w:pPr>
    <w:r>
      <w:fldChar w:fldCharType="begin"/>
    </w:r>
    <w:r w:rsidR="00037CD1">
      <w:instrText xml:space="preserve"> PAGE   \* MERGEFORMAT </w:instrText>
    </w:r>
    <w:r>
      <w:fldChar w:fldCharType="separate"/>
    </w:r>
    <w:r w:rsidR="00CF0EB3">
      <w:rPr>
        <w:noProof/>
      </w:rPr>
      <w:t>8</w:t>
    </w:r>
    <w:r>
      <w:rPr>
        <w:noProof/>
      </w:rPr>
      <w:fldChar w:fldCharType="end"/>
    </w:r>
  </w:p>
  <w:p w:rsidR="00B5224F" w:rsidRDefault="00B5224F">
    <w:pPr>
      <w:pStyle w:val="Footer"/>
      <w:jc w:val="center"/>
      <w:rPr>
        <w:i/>
      </w:rPr>
    </w:pPr>
    <w:r>
      <w:rPr>
        <w:i/>
      </w:rPr>
      <w:t>Radiocommunications (Electromagnetic Radiation – Human Exposure) Standard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4F" w:rsidRDefault="00B5224F" w:rsidP="00962521">
    <w:pPr>
      <w:pStyle w:val="Footer"/>
    </w:pPr>
  </w:p>
  <w:p w:rsidR="00B5224F" w:rsidRPr="00962521" w:rsidRDefault="00B5224F" w:rsidP="0096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24F" w:rsidRDefault="00B5224F">
      <w:r>
        <w:separator/>
      </w:r>
    </w:p>
  </w:footnote>
  <w:footnote w:type="continuationSeparator" w:id="0">
    <w:p w:rsidR="00B5224F" w:rsidRDefault="00B52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B5224F" w:rsidTr="00173542">
      <w:tc>
        <w:tcPr>
          <w:tcW w:w="1494" w:type="dxa"/>
        </w:tcPr>
        <w:p w:rsidR="00B5224F" w:rsidRDefault="00B5224F">
          <w:pPr>
            <w:pStyle w:val="HeaderLiteEven"/>
          </w:pPr>
        </w:p>
      </w:tc>
      <w:tc>
        <w:tcPr>
          <w:tcW w:w="6891" w:type="dxa"/>
        </w:tcPr>
        <w:p w:rsidR="00B5224F" w:rsidRDefault="00B5224F">
          <w:pPr>
            <w:pStyle w:val="HeaderLiteEven"/>
          </w:pPr>
        </w:p>
      </w:tc>
    </w:tr>
    <w:tr w:rsidR="00B5224F" w:rsidTr="00173542">
      <w:tc>
        <w:tcPr>
          <w:tcW w:w="1494" w:type="dxa"/>
        </w:tcPr>
        <w:p w:rsidR="00B5224F" w:rsidRDefault="00B5224F">
          <w:pPr>
            <w:pStyle w:val="HeaderLiteEven"/>
          </w:pPr>
        </w:p>
      </w:tc>
      <w:tc>
        <w:tcPr>
          <w:tcW w:w="6891" w:type="dxa"/>
        </w:tcPr>
        <w:p w:rsidR="00B5224F" w:rsidRDefault="00F47C2F">
          <w:pPr>
            <w:pStyle w:val="HeaderLiteEven"/>
          </w:pPr>
          <w:r>
            <w:fldChar w:fldCharType="begin"/>
          </w:r>
          <w:r w:rsidR="00B5224F">
            <w:instrText xml:space="preserve"> STYLEREF CharDivText \*Charformat </w:instrText>
          </w:r>
          <w:r>
            <w:fldChar w:fldCharType="end"/>
          </w:r>
        </w:p>
      </w:tc>
    </w:tr>
    <w:tr w:rsidR="00B5224F" w:rsidRPr="00C004BC" w:rsidTr="00173542">
      <w:tc>
        <w:tcPr>
          <w:tcW w:w="8385" w:type="dxa"/>
          <w:gridSpan w:val="2"/>
          <w:tcBorders>
            <w:top w:val="nil"/>
            <w:left w:val="nil"/>
            <w:bottom w:val="single" w:sz="4" w:space="0" w:color="auto"/>
            <w:right w:val="nil"/>
            <w:tl2br w:val="nil"/>
            <w:tr2bl w:val="nil"/>
          </w:tcBorders>
        </w:tcPr>
        <w:p w:rsidR="00B5224F" w:rsidRDefault="00B5224F" w:rsidP="00173542">
          <w:pPr>
            <w:pStyle w:val="HeaderBoldEven"/>
          </w:pPr>
        </w:p>
      </w:tc>
    </w:tr>
  </w:tbl>
  <w:p w:rsidR="00B5224F" w:rsidRDefault="00CF0EB3">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99" w:type="dxa"/>
      <w:tblInd w:w="80" w:type="dxa"/>
      <w:tblBorders>
        <w:bottom w:val="single" w:sz="4" w:space="0" w:color="auto"/>
      </w:tblBorders>
      <w:tblLook w:val="01E0" w:firstRow="1" w:lastRow="1" w:firstColumn="1" w:lastColumn="1" w:noHBand="0" w:noVBand="0"/>
    </w:tblPr>
    <w:tblGrid>
      <w:gridCol w:w="6914"/>
      <w:gridCol w:w="1485"/>
    </w:tblGrid>
    <w:tr w:rsidR="00B5224F" w:rsidTr="00173542">
      <w:tc>
        <w:tcPr>
          <w:tcW w:w="6914" w:type="dxa"/>
        </w:tcPr>
        <w:p w:rsidR="00B5224F" w:rsidRDefault="00F47C2F">
          <w:pPr>
            <w:pStyle w:val="HeaderLiteOdd"/>
          </w:pPr>
          <w:r>
            <w:fldChar w:fldCharType="begin"/>
          </w:r>
          <w:r w:rsidR="00B5224F">
            <w:instrText xml:space="preserve"> STYLEREF CharPartText \*Charformat \l  </w:instrText>
          </w:r>
          <w:r>
            <w:fldChar w:fldCharType="end"/>
          </w:r>
        </w:p>
      </w:tc>
      <w:tc>
        <w:tcPr>
          <w:tcW w:w="1485" w:type="dxa"/>
        </w:tcPr>
        <w:p w:rsidR="00B5224F" w:rsidRDefault="00B5224F">
          <w:pPr>
            <w:pStyle w:val="HeaderLiteOdd"/>
          </w:pPr>
        </w:p>
      </w:tc>
    </w:tr>
    <w:tr w:rsidR="00B5224F" w:rsidTr="00173542">
      <w:tc>
        <w:tcPr>
          <w:tcW w:w="6914" w:type="dxa"/>
        </w:tcPr>
        <w:p w:rsidR="00B5224F" w:rsidRDefault="00F47C2F">
          <w:pPr>
            <w:pStyle w:val="HeaderLiteOdd"/>
          </w:pPr>
          <w:r>
            <w:fldChar w:fldCharType="begin"/>
          </w:r>
          <w:r w:rsidR="00B5224F">
            <w:instrText xml:space="preserve"> STYLEREF CharDivText \*Charformat \l  </w:instrText>
          </w:r>
          <w:r>
            <w:fldChar w:fldCharType="end"/>
          </w:r>
        </w:p>
      </w:tc>
      <w:tc>
        <w:tcPr>
          <w:tcW w:w="1485" w:type="dxa"/>
        </w:tcPr>
        <w:p w:rsidR="00B5224F" w:rsidRDefault="00F47C2F">
          <w:pPr>
            <w:pStyle w:val="HeaderLiteOdd"/>
          </w:pPr>
          <w:r>
            <w:fldChar w:fldCharType="begin"/>
          </w:r>
          <w:r w:rsidR="00B5224F">
            <w:instrText xml:space="preserve"> STYLEREF CharDivNo \*Charformat \l  </w:instrText>
          </w:r>
          <w:r>
            <w:fldChar w:fldCharType="end"/>
          </w:r>
        </w:p>
      </w:tc>
    </w:tr>
    <w:tr w:rsidR="00B5224F" w:rsidRPr="00C004BC" w:rsidTr="00173542">
      <w:tc>
        <w:tcPr>
          <w:tcW w:w="8399" w:type="dxa"/>
          <w:gridSpan w:val="2"/>
          <w:tcBorders>
            <w:top w:val="nil"/>
            <w:left w:val="nil"/>
            <w:bottom w:val="single" w:sz="4" w:space="0" w:color="auto"/>
            <w:right w:val="nil"/>
            <w:tl2br w:val="nil"/>
            <w:tr2bl w:val="nil"/>
          </w:tcBorders>
        </w:tcPr>
        <w:p w:rsidR="00B5224F" w:rsidRDefault="00B5224F" w:rsidP="00173542">
          <w:pPr>
            <w:pStyle w:val="HeaderBoldOdd"/>
          </w:pPr>
        </w:p>
      </w:tc>
    </w:tr>
  </w:tbl>
  <w:p w:rsidR="00B5224F" w:rsidRDefault="00B522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4F" w:rsidRDefault="00B5224F" w:rsidP="00962521">
    <w:pPr>
      <w:pStyle w:val="Header"/>
    </w:pPr>
  </w:p>
  <w:p w:rsidR="00B5224F" w:rsidRPr="00962521" w:rsidRDefault="00B5224F" w:rsidP="0096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6630FC8"/>
    <w:multiLevelType w:val="hybridMultilevel"/>
    <w:tmpl w:val="B3C082E0"/>
    <w:lvl w:ilvl="0" w:tplc="2132FB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D805110"/>
    <w:multiLevelType w:val="multilevel"/>
    <w:tmpl w:val="E9DAF0E6"/>
    <w:lvl w:ilvl="0">
      <w:start w:val="1"/>
      <w:numFmt w:val="upperLetter"/>
      <w:lvlText w:val="%1."/>
      <w:lvlJc w:val="left"/>
      <w:pPr>
        <w:tabs>
          <w:tab w:val="num" w:pos="1080"/>
        </w:tabs>
        <w:ind w:left="1080" w:hanging="360"/>
      </w:pPr>
    </w:lvl>
    <w:lvl w:ilvl="1">
      <w:start w:val="1"/>
      <w:numFmt w:val="upperRoman"/>
      <w:lvlText w:val="%2."/>
      <w:lvlJc w:val="left"/>
      <w:pPr>
        <w:tabs>
          <w:tab w:val="num" w:pos="1800"/>
        </w:tabs>
        <w:ind w:left="1440" w:hanging="360"/>
      </w:pPr>
    </w:lvl>
    <w:lvl w:ilvl="2">
      <w:start w:val="1"/>
      <w:numFmt w:val="decimal"/>
      <w:lvlText w:val="%3."/>
      <w:lvlJc w:val="left"/>
      <w:pPr>
        <w:tabs>
          <w:tab w:val="num" w:pos="1800"/>
        </w:tabs>
        <w:ind w:left="1800" w:hanging="36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05C4A35"/>
    <w:multiLevelType w:val="multilevel"/>
    <w:tmpl w:val="341228A4"/>
    <w:lvl w:ilvl="0">
      <w:start w:val="1"/>
      <w:numFmt w:val="upperLetter"/>
      <w:lvlText w:val="%1."/>
      <w:lvlJc w:val="left"/>
      <w:pPr>
        <w:tabs>
          <w:tab w:val="num" w:pos="1080"/>
        </w:tabs>
        <w:ind w:left="1080" w:hanging="360"/>
      </w:pPr>
    </w:lvl>
    <w:lvl w:ilvl="1">
      <w:start w:val="1"/>
      <w:numFmt w:val="upperRoman"/>
      <w:lvlText w:val="%2."/>
      <w:lvlJc w:val="left"/>
      <w:pPr>
        <w:tabs>
          <w:tab w:val="num" w:pos="1800"/>
        </w:tabs>
        <w:ind w:left="1440" w:hanging="360"/>
      </w:pPr>
    </w:lvl>
    <w:lvl w:ilvl="2">
      <w:start w:val="1"/>
      <w:numFmt w:val="decimal"/>
      <w:lvlText w:val="%3."/>
      <w:lvlJc w:val="left"/>
      <w:pPr>
        <w:tabs>
          <w:tab w:val="num" w:pos="1800"/>
        </w:tabs>
        <w:ind w:left="1800" w:hanging="36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6">
    <w:nsid w:val="40E26A36"/>
    <w:multiLevelType w:val="hybridMultilevel"/>
    <w:tmpl w:val="ADD2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BF"/>
    <w:rsid w:val="000056EE"/>
    <w:rsid w:val="00011852"/>
    <w:rsid w:val="00012690"/>
    <w:rsid w:val="00012EF8"/>
    <w:rsid w:val="00013E3A"/>
    <w:rsid w:val="00021676"/>
    <w:rsid w:val="00024697"/>
    <w:rsid w:val="00027EB9"/>
    <w:rsid w:val="00032756"/>
    <w:rsid w:val="000348CB"/>
    <w:rsid w:val="0003498B"/>
    <w:rsid w:val="00037CD1"/>
    <w:rsid w:val="000533D4"/>
    <w:rsid w:val="0005680C"/>
    <w:rsid w:val="00070A26"/>
    <w:rsid w:val="00074A4E"/>
    <w:rsid w:val="000821BA"/>
    <w:rsid w:val="000914DF"/>
    <w:rsid w:val="00094A16"/>
    <w:rsid w:val="000A705B"/>
    <w:rsid w:val="000A7AF2"/>
    <w:rsid w:val="000B52F3"/>
    <w:rsid w:val="000C02E6"/>
    <w:rsid w:val="000C0E9A"/>
    <w:rsid w:val="000C49DC"/>
    <w:rsid w:val="000C55F8"/>
    <w:rsid w:val="000C7EA1"/>
    <w:rsid w:val="000E16F3"/>
    <w:rsid w:val="000E6727"/>
    <w:rsid w:val="000E7015"/>
    <w:rsid w:val="000F494B"/>
    <w:rsid w:val="000F5C9B"/>
    <w:rsid w:val="00110751"/>
    <w:rsid w:val="00114286"/>
    <w:rsid w:val="001241C9"/>
    <w:rsid w:val="001312CF"/>
    <w:rsid w:val="00137445"/>
    <w:rsid w:val="00137655"/>
    <w:rsid w:val="001410A9"/>
    <w:rsid w:val="001415D1"/>
    <w:rsid w:val="00141B4E"/>
    <w:rsid w:val="00142CB2"/>
    <w:rsid w:val="00145C33"/>
    <w:rsid w:val="0014660D"/>
    <w:rsid w:val="00147077"/>
    <w:rsid w:val="0015004C"/>
    <w:rsid w:val="00150F5C"/>
    <w:rsid w:val="001537AD"/>
    <w:rsid w:val="00154234"/>
    <w:rsid w:val="00157674"/>
    <w:rsid w:val="00160DB0"/>
    <w:rsid w:val="00161B14"/>
    <w:rsid w:val="001636B1"/>
    <w:rsid w:val="00165EF5"/>
    <w:rsid w:val="0017099C"/>
    <w:rsid w:val="00173542"/>
    <w:rsid w:val="00174936"/>
    <w:rsid w:val="00177450"/>
    <w:rsid w:val="00183AC8"/>
    <w:rsid w:val="00183FC5"/>
    <w:rsid w:val="00187B15"/>
    <w:rsid w:val="00187EC5"/>
    <w:rsid w:val="00190752"/>
    <w:rsid w:val="0019199A"/>
    <w:rsid w:val="00195BFB"/>
    <w:rsid w:val="001A0471"/>
    <w:rsid w:val="001A0806"/>
    <w:rsid w:val="001A200E"/>
    <w:rsid w:val="001B2225"/>
    <w:rsid w:val="001B4AE0"/>
    <w:rsid w:val="001B503D"/>
    <w:rsid w:val="001B680B"/>
    <w:rsid w:val="001B7538"/>
    <w:rsid w:val="001D09D3"/>
    <w:rsid w:val="001D217A"/>
    <w:rsid w:val="001D49E7"/>
    <w:rsid w:val="001F16BA"/>
    <w:rsid w:val="001F3D4C"/>
    <w:rsid w:val="002019B4"/>
    <w:rsid w:val="00204409"/>
    <w:rsid w:val="0020771F"/>
    <w:rsid w:val="002108D2"/>
    <w:rsid w:val="00211F14"/>
    <w:rsid w:val="002125DA"/>
    <w:rsid w:val="00213748"/>
    <w:rsid w:val="00213EC8"/>
    <w:rsid w:val="0021465E"/>
    <w:rsid w:val="00217C64"/>
    <w:rsid w:val="00220EDA"/>
    <w:rsid w:val="00222DA1"/>
    <w:rsid w:val="0022369F"/>
    <w:rsid w:val="00223A7F"/>
    <w:rsid w:val="002245FC"/>
    <w:rsid w:val="00224C0E"/>
    <w:rsid w:val="00224DA4"/>
    <w:rsid w:val="00234FDE"/>
    <w:rsid w:val="0024087B"/>
    <w:rsid w:val="00251437"/>
    <w:rsid w:val="00253675"/>
    <w:rsid w:val="00254B2F"/>
    <w:rsid w:val="00256425"/>
    <w:rsid w:val="00263CA6"/>
    <w:rsid w:val="0027113F"/>
    <w:rsid w:val="00275227"/>
    <w:rsid w:val="00281438"/>
    <w:rsid w:val="00284A2C"/>
    <w:rsid w:val="002919EE"/>
    <w:rsid w:val="002929F2"/>
    <w:rsid w:val="00296E69"/>
    <w:rsid w:val="002A57A4"/>
    <w:rsid w:val="002B0FB1"/>
    <w:rsid w:val="002B4431"/>
    <w:rsid w:val="002C2F88"/>
    <w:rsid w:val="002C34B3"/>
    <w:rsid w:val="002C6352"/>
    <w:rsid w:val="002D24DD"/>
    <w:rsid w:val="002D3EED"/>
    <w:rsid w:val="002D44C5"/>
    <w:rsid w:val="002D68AE"/>
    <w:rsid w:val="002E0C9A"/>
    <w:rsid w:val="002F5E48"/>
    <w:rsid w:val="002F6E92"/>
    <w:rsid w:val="0030627F"/>
    <w:rsid w:val="00320A40"/>
    <w:rsid w:val="003263DD"/>
    <w:rsid w:val="003316D6"/>
    <w:rsid w:val="00331F91"/>
    <w:rsid w:val="003327E3"/>
    <w:rsid w:val="003408C2"/>
    <w:rsid w:val="00342DD9"/>
    <w:rsid w:val="00347278"/>
    <w:rsid w:val="00347ABE"/>
    <w:rsid w:val="00352893"/>
    <w:rsid w:val="003535E0"/>
    <w:rsid w:val="003570F6"/>
    <w:rsid w:val="00360F57"/>
    <w:rsid w:val="003658E6"/>
    <w:rsid w:val="00366209"/>
    <w:rsid w:val="00376D04"/>
    <w:rsid w:val="0038236C"/>
    <w:rsid w:val="00382EAF"/>
    <w:rsid w:val="00383571"/>
    <w:rsid w:val="00383D0E"/>
    <w:rsid w:val="00384027"/>
    <w:rsid w:val="003843EC"/>
    <w:rsid w:val="00396732"/>
    <w:rsid w:val="003A2BF9"/>
    <w:rsid w:val="003A3291"/>
    <w:rsid w:val="003C3C69"/>
    <w:rsid w:val="003C700C"/>
    <w:rsid w:val="003C7D9A"/>
    <w:rsid w:val="003D20DD"/>
    <w:rsid w:val="003D318F"/>
    <w:rsid w:val="003D39BA"/>
    <w:rsid w:val="003D4FCC"/>
    <w:rsid w:val="003D6610"/>
    <w:rsid w:val="003F1A0A"/>
    <w:rsid w:val="003F43C5"/>
    <w:rsid w:val="0040208C"/>
    <w:rsid w:val="00402294"/>
    <w:rsid w:val="00403CA6"/>
    <w:rsid w:val="00405625"/>
    <w:rsid w:val="00410288"/>
    <w:rsid w:val="00411C6B"/>
    <w:rsid w:val="004144A9"/>
    <w:rsid w:val="004162D6"/>
    <w:rsid w:val="004174C2"/>
    <w:rsid w:val="00420A7B"/>
    <w:rsid w:val="0043600E"/>
    <w:rsid w:val="00440BE1"/>
    <w:rsid w:val="00447669"/>
    <w:rsid w:val="00454D0B"/>
    <w:rsid w:val="0046344B"/>
    <w:rsid w:val="00471C7B"/>
    <w:rsid w:val="0047221D"/>
    <w:rsid w:val="00473443"/>
    <w:rsid w:val="00482B0A"/>
    <w:rsid w:val="00484DBA"/>
    <w:rsid w:val="004853CC"/>
    <w:rsid w:val="00487822"/>
    <w:rsid w:val="00490A06"/>
    <w:rsid w:val="00497857"/>
    <w:rsid w:val="004A28F1"/>
    <w:rsid w:val="004A4722"/>
    <w:rsid w:val="004A4B15"/>
    <w:rsid w:val="004B7844"/>
    <w:rsid w:val="004C0E42"/>
    <w:rsid w:val="004C4F5D"/>
    <w:rsid w:val="004C52A2"/>
    <w:rsid w:val="004D2CCB"/>
    <w:rsid w:val="004D3B69"/>
    <w:rsid w:val="004D7964"/>
    <w:rsid w:val="004E01BE"/>
    <w:rsid w:val="004E3605"/>
    <w:rsid w:val="004E3648"/>
    <w:rsid w:val="004E6AFA"/>
    <w:rsid w:val="004F3A0D"/>
    <w:rsid w:val="004F4139"/>
    <w:rsid w:val="004F4E12"/>
    <w:rsid w:val="004F523E"/>
    <w:rsid w:val="004F6457"/>
    <w:rsid w:val="004F66D8"/>
    <w:rsid w:val="004F6DDA"/>
    <w:rsid w:val="004F7DD7"/>
    <w:rsid w:val="0050017F"/>
    <w:rsid w:val="00500459"/>
    <w:rsid w:val="00501675"/>
    <w:rsid w:val="0050407D"/>
    <w:rsid w:val="00505817"/>
    <w:rsid w:val="00515DE3"/>
    <w:rsid w:val="00516F09"/>
    <w:rsid w:val="00521CEB"/>
    <w:rsid w:val="005228C1"/>
    <w:rsid w:val="00522941"/>
    <w:rsid w:val="00524D7C"/>
    <w:rsid w:val="00526A68"/>
    <w:rsid w:val="00530A4B"/>
    <w:rsid w:val="00533AB5"/>
    <w:rsid w:val="00535884"/>
    <w:rsid w:val="00551FD3"/>
    <w:rsid w:val="00552309"/>
    <w:rsid w:val="00563273"/>
    <w:rsid w:val="00564001"/>
    <w:rsid w:val="00564A57"/>
    <w:rsid w:val="0056737D"/>
    <w:rsid w:val="005719CF"/>
    <w:rsid w:val="00575576"/>
    <w:rsid w:val="00584A71"/>
    <w:rsid w:val="00590B66"/>
    <w:rsid w:val="00593C41"/>
    <w:rsid w:val="005944CF"/>
    <w:rsid w:val="00596122"/>
    <w:rsid w:val="00596F0D"/>
    <w:rsid w:val="005971A1"/>
    <w:rsid w:val="005A0F53"/>
    <w:rsid w:val="005A2A56"/>
    <w:rsid w:val="005A45DD"/>
    <w:rsid w:val="005B6D02"/>
    <w:rsid w:val="005C00F6"/>
    <w:rsid w:val="005C1E35"/>
    <w:rsid w:val="005C3646"/>
    <w:rsid w:val="005D0E13"/>
    <w:rsid w:val="005D2A38"/>
    <w:rsid w:val="005D3C76"/>
    <w:rsid w:val="005D6F22"/>
    <w:rsid w:val="005D7FE4"/>
    <w:rsid w:val="005E0960"/>
    <w:rsid w:val="005E5309"/>
    <w:rsid w:val="005E5395"/>
    <w:rsid w:val="005E6A5B"/>
    <w:rsid w:val="005F0786"/>
    <w:rsid w:val="005F5365"/>
    <w:rsid w:val="00600CF9"/>
    <w:rsid w:val="00606FC9"/>
    <w:rsid w:val="006133D2"/>
    <w:rsid w:val="006136E1"/>
    <w:rsid w:val="0061472F"/>
    <w:rsid w:val="006165B3"/>
    <w:rsid w:val="00616FD6"/>
    <w:rsid w:val="00617061"/>
    <w:rsid w:val="00623919"/>
    <w:rsid w:val="0062619F"/>
    <w:rsid w:val="00636345"/>
    <w:rsid w:val="006378C3"/>
    <w:rsid w:val="00644B8D"/>
    <w:rsid w:val="00645B40"/>
    <w:rsid w:val="0064691F"/>
    <w:rsid w:val="00646DC2"/>
    <w:rsid w:val="006503AC"/>
    <w:rsid w:val="00657047"/>
    <w:rsid w:val="00663D5A"/>
    <w:rsid w:val="00672003"/>
    <w:rsid w:val="00686231"/>
    <w:rsid w:val="00693D62"/>
    <w:rsid w:val="006A0473"/>
    <w:rsid w:val="006B27F1"/>
    <w:rsid w:val="006B28EE"/>
    <w:rsid w:val="006C2F02"/>
    <w:rsid w:val="006C42CE"/>
    <w:rsid w:val="006C4BED"/>
    <w:rsid w:val="006C53D2"/>
    <w:rsid w:val="006D173D"/>
    <w:rsid w:val="006D1971"/>
    <w:rsid w:val="006D35D5"/>
    <w:rsid w:val="006D41A0"/>
    <w:rsid w:val="006D4B7F"/>
    <w:rsid w:val="006D6872"/>
    <w:rsid w:val="006E06EA"/>
    <w:rsid w:val="006E69DC"/>
    <w:rsid w:val="006F3964"/>
    <w:rsid w:val="006F5607"/>
    <w:rsid w:val="00701D36"/>
    <w:rsid w:val="007037DD"/>
    <w:rsid w:val="00703B38"/>
    <w:rsid w:val="00710DC7"/>
    <w:rsid w:val="00717563"/>
    <w:rsid w:val="007208FA"/>
    <w:rsid w:val="00720E12"/>
    <w:rsid w:val="00722943"/>
    <w:rsid w:val="00724886"/>
    <w:rsid w:val="00727EE7"/>
    <w:rsid w:val="00735B24"/>
    <w:rsid w:val="00742BE4"/>
    <w:rsid w:val="007436B9"/>
    <w:rsid w:val="00750F54"/>
    <w:rsid w:val="0075117D"/>
    <w:rsid w:val="0075789A"/>
    <w:rsid w:val="00761759"/>
    <w:rsid w:val="00771B1D"/>
    <w:rsid w:val="00772B91"/>
    <w:rsid w:val="007757A0"/>
    <w:rsid w:val="0078269A"/>
    <w:rsid w:val="00787D5F"/>
    <w:rsid w:val="007911C1"/>
    <w:rsid w:val="007A1349"/>
    <w:rsid w:val="007A3567"/>
    <w:rsid w:val="007A56B8"/>
    <w:rsid w:val="007A5876"/>
    <w:rsid w:val="007C0378"/>
    <w:rsid w:val="007D2042"/>
    <w:rsid w:val="007D2FBB"/>
    <w:rsid w:val="007E21C3"/>
    <w:rsid w:val="007E2AB6"/>
    <w:rsid w:val="007E4DC1"/>
    <w:rsid w:val="007E6801"/>
    <w:rsid w:val="007F3913"/>
    <w:rsid w:val="00802693"/>
    <w:rsid w:val="00802C50"/>
    <w:rsid w:val="0080309D"/>
    <w:rsid w:val="00804233"/>
    <w:rsid w:val="00805665"/>
    <w:rsid w:val="00806B35"/>
    <w:rsid w:val="00812C6A"/>
    <w:rsid w:val="00814437"/>
    <w:rsid w:val="008200F1"/>
    <w:rsid w:val="00820E6A"/>
    <w:rsid w:val="00821F9F"/>
    <w:rsid w:val="0082241C"/>
    <w:rsid w:val="00827C9C"/>
    <w:rsid w:val="00833587"/>
    <w:rsid w:val="00833F72"/>
    <w:rsid w:val="00836CA1"/>
    <w:rsid w:val="00842339"/>
    <w:rsid w:val="00851BB2"/>
    <w:rsid w:val="00853492"/>
    <w:rsid w:val="008536D8"/>
    <w:rsid w:val="00855B7C"/>
    <w:rsid w:val="008567A7"/>
    <w:rsid w:val="00856AC8"/>
    <w:rsid w:val="008621D6"/>
    <w:rsid w:val="00870B97"/>
    <w:rsid w:val="00880286"/>
    <w:rsid w:val="00890A16"/>
    <w:rsid w:val="00890A7F"/>
    <w:rsid w:val="00891412"/>
    <w:rsid w:val="008949D1"/>
    <w:rsid w:val="0089764D"/>
    <w:rsid w:val="008A0372"/>
    <w:rsid w:val="008A0D3A"/>
    <w:rsid w:val="008A483B"/>
    <w:rsid w:val="008A5870"/>
    <w:rsid w:val="008A73B2"/>
    <w:rsid w:val="008B0732"/>
    <w:rsid w:val="008C4733"/>
    <w:rsid w:val="008C5BD2"/>
    <w:rsid w:val="008D68C0"/>
    <w:rsid w:val="008E02E5"/>
    <w:rsid w:val="008E3156"/>
    <w:rsid w:val="008E5537"/>
    <w:rsid w:val="008E5841"/>
    <w:rsid w:val="008E74ED"/>
    <w:rsid w:val="008F5EC2"/>
    <w:rsid w:val="00900781"/>
    <w:rsid w:val="00901865"/>
    <w:rsid w:val="009070F5"/>
    <w:rsid w:val="00914CC9"/>
    <w:rsid w:val="00915B19"/>
    <w:rsid w:val="0093033C"/>
    <w:rsid w:val="009356C5"/>
    <w:rsid w:val="009553F5"/>
    <w:rsid w:val="00962521"/>
    <w:rsid w:val="009625BC"/>
    <w:rsid w:val="00964CE0"/>
    <w:rsid w:val="00966024"/>
    <w:rsid w:val="0096686E"/>
    <w:rsid w:val="0096767F"/>
    <w:rsid w:val="0097307E"/>
    <w:rsid w:val="00974AF3"/>
    <w:rsid w:val="00977116"/>
    <w:rsid w:val="00982FFF"/>
    <w:rsid w:val="009830DC"/>
    <w:rsid w:val="00992710"/>
    <w:rsid w:val="00992CEC"/>
    <w:rsid w:val="009A0DED"/>
    <w:rsid w:val="009A43F4"/>
    <w:rsid w:val="009A595E"/>
    <w:rsid w:val="009B34EA"/>
    <w:rsid w:val="009B68AD"/>
    <w:rsid w:val="009C0DE1"/>
    <w:rsid w:val="009C1C01"/>
    <w:rsid w:val="009C27D7"/>
    <w:rsid w:val="009C7B2F"/>
    <w:rsid w:val="009D058E"/>
    <w:rsid w:val="009D13E9"/>
    <w:rsid w:val="009D17D3"/>
    <w:rsid w:val="009E08B8"/>
    <w:rsid w:val="009E3171"/>
    <w:rsid w:val="009E329C"/>
    <w:rsid w:val="009F00B3"/>
    <w:rsid w:val="009F47BC"/>
    <w:rsid w:val="009F5657"/>
    <w:rsid w:val="009F6100"/>
    <w:rsid w:val="00A00812"/>
    <w:rsid w:val="00A112BB"/>
    <w:rsid w:val="00A1281A"/>
    <w:rsid w:val="00A208AB"/>
    <w:rsid w:val="00A232BF"/>
    <w:rsid w:val="00A30995"/>
    <w:rsid w:val="00A31BE9"/>
    <w:rsid w:val="00A32AFB"/>
    <w:rsid w:val="00A37AC5"/>
    <w:rsid w:val="00A40923"/>
    <w:rsid w:val="00A40D7D"/>
    <w:rsid w:val="00A429A5"/>
    <w:rsid w:val="00A453B8"/>
    <w:rsid w:val="00A45D09"/>
    <w:rsid w:val="00A518E6"/>
    <w:rsid w:val="00A6199B"/>
    <w:rsid w:val="00A64F24"/>
    <w:rsid w:val="00A65B7A"/>
    <w:rsid w:val="00A7238F"/>
    <w:rsid w:val="00A72A46"/>
    <w:rsid w:val="00A742C6"/>
    <w:rsid w:val="00A74570"/>
    <w:rsid w:val="00A74714"/>
    <w:rsid w:val="00A74A29"/>
    <w:rsid w:val="00A778BF"/>
    <w:rsid w:val="00A82D4B"/>
    <w:rsid w:val="00A867B2"/>
    <w:rsid w:val="00A87051"/>
    <w:rsid w:val="00A93472"/>
    <w:rsid w:val="00A93484"/>
    <w:rsid w:val="00A96E0C"/>
    <w:rsid w:val="00AA1CA9"/>
    <w:rsid w:val="00AA2C0E"/>
    <w:rsid w:val="00AA31CC"/>
    <w:rsid w:val="00AC1914"/>
    <w:rsid w:val="00AD3815"/>
    <w:rsid w:val="00AD4C82"/>
    <w:rsid w:val="00AE2AE8"/>
    <w:rsid w:val="00AE6EF9"/>
    <w:rsid w:val="00AF3C0B"/>
    <w:rsid w:val="00B02301"/>
    <w:rsid w:val="00B056E2"/>
    <w:rsid w:val="00B06605"/>
    <w:rsid w:val="00B117D1"/>
    <w:rsid w:val="00B11FF4"/>
    <w:rsid w:val="00B1490D"/>
    <w:rsid w:val="00B27130"/>
    <w:rsid w:val="00B27402"/>
    <w:rsid w:val="00B34756"/>
    <w:rsid w:val="00B41A08"/>
    <w:rsid w:val="00B4372D"/>
    <w:rsid w:val="00B440EB"/>
    <w:rsid w:val="00B50B2D"/>
    <w:rsid w:val="00B5224F"/>
    <w:rsid w:val="00B564FE"/>
    <w:rsid w:val="00B61AED"/>
    <w:rsid w:val="00B61BD7"/>
    <w:rsid w:val="00B64D46"/>
    <w:rsid w:val="00B65355"/>
    <w:rsid w:val="00B65B18"/>
    <w:rsid w:val="00B71C99"/>
    <w:rsid w:val="00B7226E"/>
    <w:rsid w:val="00B73ED2"/>
    <w:rsid w:val="00B74AE5"/>
    <w:rsid w:val="00B7758C"/>
    <w:rsid w:val="00B8004D"/>
    <w:rsid w:val="00B8110F"/>
    <w:rsid w:val="00B81BAA"/>
    <w:rsid w:val="00B82564"/>
    <w:rsid w:val="00B82B9D"/>
    <w:rsid w:val="00B82EAA"/>
    <w:rsid w:val="00B93121"/>
    <w:rsid w:val="00B97B95"/>
    <w:rsid w:val="00BA10F1"/>
    <w:rsid w:val="00BA1E28"/>
    <w:rsid w:val="00BA46A3"/>
    <w:rsid w:val="00BA4F43"/>
    <w:rsid w:val="00BA5A4E"/>
    <w:rsid w:val="00BA61EE"/>
    <w:rsid w:val="00BB2781"/>
    <w:rsid w:val="00BB5CE5"/>
    <w:rsid w:val="00BB726C"/>
    <w:rsid w:val="00BC053C"/>
    <w:rsid w:val="00BD2512"/>
    <w:rsid w:val="00BE2947"/>
    <w:rsid w:val="00BE33E7"/>
    <w:rsid w:val="00BE3D22"/>
    <w:rsid w:val="00BE6504"/>
    <w:rsid w:val="00BE7C82"/>
    <w:rsid w:val="00BF25FA"/>
    <w:rsid w:val="00BF365C"/>
    <w:rsid w:val="00BF6656"/>
    <w:rsid w:val="00BF7E18"/>
    <w:rsid w:val="00C00813"/>
    <w:rsid w:val="00C02DBF"/>
    <w:rsid w:val="00C03332"/>
    <w:rsid w:val="00C12CA3"/>
    <w:rsid w:val="00C143E8"/>
    <w:rsid w:val="00C144DF"/>
    <w:rsid w:val="00C15633"/>
    <w:rsid w:val="00C21C3D"/>
    <w:rsid w:val="00C24593"/>
    <w:rsid w:val="00C25519"/>
    <w:rsid w:val="00C354E3"/>
    <w:rsid w:val="00C37228"/>
    <w:rsid w:val="00C4697F"/>
    <w:rsid w:val="00C54350"/>
    <w:rsid w:val="00C56466"/>
    <w:rsid w:val="00C62CF6"/>
    <w:rsid w:val="00C63448"/>
    <w:rsid w:val="00C63F35"/>
    <w:rsid w:val="00C65018"/>
    <w:rsid w:val="00C7037E"/>
    <w:rsid w:val="00C71889"/>
    <w:rsid w:val="00C71A74"/>
    <w:rsid w:val="00C7214E"/>
    <w:rsid w:val="00C73541"/>
    <w:rsid w:val="00C74ABA"/>
    <w:rsid w:val="00C7648E"/>
    <w:rsid w:val="00C8165C"/>
    <w:rsid w:val="00C82D38"/>
    <w:rsid w:val="00C849ED"/>
    <w:rsid w:val="00C85D0E"/>
    <w:rsid w:val="00C86D30"/>
    <w:rsid w:val="00C92281"/>
    <w:rsid w:val="00C9472B"/>
    <w:rsid w:val="00C95A4E"/>
    <w:rsid w:val="00C97166"/>
    <w:rsid w:val="00C97A82"/>
    <w:rsid w:val="00CA0CFF"/>
    <w:rsid w:val="00CA5580"/>
    <w:rsid w:val="00CB5013"/>
    <w:rsid w:val="00CB50B4"/>
    <w:rsid w:val="00CB5EDC"/>
    <w:rsid w:val="00CC03EF"/>
    <w:rsid w:val="00CC4EF4"/>
    <w:rsid w:val="00CC7753"/>
    <w:rsid w:val="00CD2F61"/>
    <w:rsid w:val="00CD3F29"/>
    <w:rsid w:val="00CF0EB3"/>
    <w:rsid w:val="00CF6B79"/>
    <w:rsid w:val="00CF7042"/>
    <w:rsid w:val="00D00741"/>
    <w:rsid w:val="00D02CCC"/>
    <w:rsid w:val="00D064C9"/>
    <w:rsid w:val="00D10555"/>
    <w:rsid w:val="00D108FD"/>
    <w:rsid w:val="00D12ACA"/>
    <w:rsid w:val="00D22684"/>
    <w:rsid w:val="00D305D7"/>
    <w:rsid w:val="00D3264B"/>
    <w:rsid w:val="00D405C2"/>
    <w:rsid w:val="00D411A0"/>
    <w:rsid w:val="00D42B02"/>
    <w:rsid w:val="00D4341A"/>
    <w:rsid w:val="00D449AE"/>
    <w:rsid w:val="00D50ABE"/>
    <w:rsid w:val="00D512C5"/>
    <w:rsid w:val="00D53085"/>
    <w:rsid w:val="00D558BA"/>
    <w:rsid w:val="00D55BBF"/>
    <w:rsid w:val="00D5643B"/>
    <w:rsid w:val="00D62BA7"/>
    <w:rsid w:val="00D62C81"/>
    <w:rsid w:val="00D632AF"/>
    <w:rsid w:val="00D74843"/>
    <w:rsid w:val="00D771D4"/>
    <w:rsid w:val="00D779B3"/>
    <w:rsid w:val="00D8139E"/>
    <w:rsid w:val="00D86301"/>
    <w:rsid w:val="00D903BE"/>
    <w:rsid w:val="00D90FBC"/>
    <w:rsid w:val="00D9415C"/>
    <w:rsid w:val="00D96401"/>
    <w:rsid w:val="00D96FAA"/>
    <w:rsid w:val="00DA23A3"/>
    <w:rsid w:val="00DA270C"/>
    <w:rsid w:val="00DB3C97"/>
    <w:rsid w:val="00DB78AA"/>
    <w:rsid w:val="00DC1628"/>
    <w:rsid w:val="00DC413A"/>
    <w:rsid w:val="00DC442A"/>
    <w:rsid w:val="00DD0812"/>
    <w:rsid w:val="00DD3616"/>
    <w:rsid w:val="00DD4B9E"/>
    <w:rsid w:val="00DD7F49"/>
    <w:rsid w:val="00DE0A50"/>
    <w:rsid w:val="00DE4D4D"/>
    <w:rsid w:val="00DE4F37"/>
    <w:rsid w:val="00DF49CD"/>
    <w:rsid w:val="00E01F26"/>
    <w:rsid w:val="00E0273C"/>
    <w:rsid w:val="00E07150"/>
    <w:rsid w:val="00E16795"/>
    <w:rsid w:val="00E236B6"/>
    <w:rsid w:val="00E30FED"/>
    <w:rsid w:val="00E371BB"/>
    <w:rsid w:val="00E56B25"/>
    <w:rsid w:val="00E654E4"/>
    <w:rsid w:val="00E72770"/>
    <w:rsid w:val="00E759B1"/>
    <w:rsid w:val="00E77EFF"/>
    <w:rsid w:val="00E84625"/>
    <w:rsid w:val="00E92EA3"/>
    <w:rsid w:val="00E95538"/>
    <w:rsid w:val="00E955F5"/>
    <w:rsid w:val="00E96D8A"/>
    <w:rsid w:val="00EA388F"/>
    <w:rsid w:val="00EA3E08"/>
    <w:rsid w:val="00EA50AA"/>
    <w:rsid w:val="00EA521A"/>
    <w:rsid w:val="00EB160C"/>
    <w:rsid w:val="00EB4EA0"/>
    <w:rsid w:val="00EB6AC3"/>
    <w:rsid w:val="00EC0462"/>
    <w:rsid w:val="00EC533B"/>
    <w:rsid w:val="00EC6938"/>
    <w:rsid w:val="00ED07E0"/>
    <w:rsid w:val="00ED2990"/>
    <w:rsid w:val="00ED3960"/>
    <w:rsid w:val="00EE7D3C"/>
    <w:rsid w:val="00EF0D82"/>
    <w:rsid w:val="00EF2854"/>
    <w:rsid w:val="00EF4189"/>
    <w:rsid w:val="00EF4628"/>
    <w:rsid w:val="00F014EB"/>
    <w:rsid w:val="00F166A3"/>
    <w:rsid w:val="00F253A0"/>
    <w:rsid w:val="00F25838"/>
    <w:rsid w:val="00F325AA"/>
    <w:rsid w:val="00F32A42"/>
    <w:rsid w:val="00F3607A"/>
    <w:rsid w:val="00F378C8"/>
    <w:rsid w:val="00F47C2F"/>
    <w:rsid w:val="00F532FC"/>
    <w:rsid w:val="00F63A79"/>
    <w:rsid w:val="00F72662"/>
    <w:rsid w:val="00F72C5B"/>
    <w:rsid w:val="00F74980"/>
    <w:rsid w:val="00F74DBD"/>
    <w:rsid w:val="00F83E23"/>
    <w:rsid w:val="00F86AD1"/>
    <w:rsid w:val="00F9390A"/>
    <w:rsid w:val="00F974D5"/>
    <w:rsid w:val="00FA108D"/>
    <w:rsid w:val="00FA6EF6"/>
    <w:rsid w:val="00FB2A3E"/>
    <w:rsid w:val="00FB515C"/>
    <w:rsid w:val="00FB522F"/>
    <w:rsid w:val="00FB68C5"/>
    <w:rsid w:val="00FC1CF1"/>
    <w:rsid w:val="00FC45BD"/>
    <w:rsid w:val="00FD1106"/>
    <w:rsid w:val="00FD212A"/>
    <w:rsid w:val="00FD4B3A"/>
    <w:rsid w:val="00FE3FC6"/>
    <w:rsid w:val="00FE6EEA"/>
    <w:rsid w:val="00FF2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0"/>
    <o:shapelayout v:ext="edit">
      <o:idmap v:ext="edit" data="1"/>
    </o:shapelayout>
  </w:shapeDefaults>
  <w:doNotEmbedSmartTags/>
  <w:decimalSymbol w:val="."/>
  <w:listSeparator w:val=","/>
  <w15:docId w15:val="{1DD87787-BB8F-421E-9F6C-F4FADB9E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link w:val="FooterChar"/>
    <w:uiPriority w:val="99"/>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uiPriority w:val="99"/>
    <w:rsid w:val="008A483B"/>
    <w:rPr>
      <w:sz w:val="16"/>
      <w:szCs w:val="16"/>
    </w:rPr>
  </w:style>
  <w:style w:type="paragraph" w:styleId="CommentText">
    <w:name w:val="annotation text"/>
    <w:basedOn w:val="Normal"/>
    <w:link w:val="CommentTextChar"/>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CHS">
    <w:name w:val="CHS"/>
    <w:aliases w:val="CASA Subdivision Heading"/>
    <w:basedOn w:val="HS"/>
    <w:next w:val="HR"/>
    <w:rsid w:val="00F74DBD"/>
    <w:rPr>
      <w:b w:val="0"/>
      <w:i/>
    </w:rPr>
  </w:style>
  <w:style w:type="paragraph" w:customStyle="1" w:styleId="FooterInfo0">
    <w:name w:val="FooterInfo"/>
    <w:basedOn w:val="Normal"/>
    <w:semiHidden/>
    <w:rsid w:val="00A30995"/>
    <w:rPr>
      <w:rFonts w:ascii="Arial" w:hAnsi="Arial" w:cs="Arial"/>
      <w:sz w:val="12"/>
      <w:szCs w:val="12"/>
    </w:rPr>
  </w:style>
  <w:style w:type="paragraph" w:customStyle="1" w:styleId="Scheduleheading0">
    <w:name w:val="Schedule heading"/>
    <w:basedOn w:val="Normal"/>
    <w:next w:val="R1"/>
    <w:rsid w:val="00A30995"/>
    <w:pPr>
      <w:keepNext/>
      <w:tabs>
        <w:tab w:val="left" w:pos="1985"/>
      </w:tabs>
      <w:autoSpaceDE w:val="0"/>
      <w:autoSpaceDN w:val="0"/>
      <w:spacing w:before="360"/>
      <w:ind w:left="964" w:hanging="964"/>
    </w:pPr>
    <w:rPr>
      <w:rFonts w:ascii="Arial" w:hAnsi="Arial" w:cs="Arial"/>
      <w:b/>
      <w:bCs/>
    </w:rPr>
  </w:style>
  <w:style w:type="paragraph" w:customStyle="1" w:styleId="Firstpage-Bar">
    <w:name w:val="First page - Bar"/>
    <w:basedOn w:val="Normal"/>
    <w:rsid w:val="00A30995"/>
    <w:pPr>
      <w:tabs>
        <w:tab w:val="bar" w:pos="2700"/>
      </w:tabs>
      <w:autoSpaceDE w:val="0"/>
      <w:autoSpaceDN w:val="0"/>
      <w:ind w:left="3060"/>
    </w:pPr>
    <w:rPr>
      <w:rFonts w:ascii="Times" w:hAnsi="Times" w:cs="Times"/>
    </w:rPr>
  </w:style>
  <w:style w:type="paragraph" w:customStyle="1" w:styleId="Firstpagetitle">
    <w:name w:val="First page title"/>
    <w:basedOn w:val="Normal"/>
    <w:rsid w:val="00A30995"/>
    <w:pPr>
      <w:tabs>
        <w:tab w:val="bar" w:pos="2700"/>
      </w:tabs>
      <w:autoSpaceDE w:val="0"/>
      <w:autoSpaceDN w:val="0"/>
      <w:spacing w:line="240" w:lineRule="atLeast"/>
      <w:ind w:left="2880"/>
      <w:jc w:val="center"/>
    </w:pPr>
    <w:rPr>
      <w:rFonts w:ascii="Times" w:hAnsi="Times" w:cs="Times"/>
      <w:b/>
      <w:bCs/>
      <w:sz w:val="44"/>
      <w:szCs w:val="44"/>
    </w:rPr>
  </w:style>
  <w:style w:type="paragraph" w:customStyle="1" w:styleId="FirstpagedescnBar">
    <w:name w:val="First page descn Bar"/>
    <w:basedOn w:val="Normal"/>
    <w:rsid w:val="00A30995"/>
    <w:pPr>
      <w:tabs>
        <w:tab w:val="bar" w:pos="2699"/>
        <w:tab w:val="right" w:pos="9356"/>
      </w:tabs>
      <w:autoSpaceDE w:val="0"/>
      <w:autoSpaceDN w:val="0"/>
      <w:spacing w:line="240" w:lineRule="atLeast"/>
      <w:ind w:left="2880"/>
    </w:pPr>
    <w:rPr>
      <w:rFonts w:ascii="Times" w:hAnsi="Times" w:cs="Times"/>
      <w:b/>
      <w:bCs/>
      <w:sz w:val="36"/>
      <w:szCs w:val="36"/>
    </w:rPr>
  </w:style>
  <w:style w:type="paragraph" w:customStyle="1" w:styleId="Paratextnonumber">
    <w:name w:val="Para text (no number)"/>
    <w:basedOn w:val="Normal"/>
    <w:rsid w:val="00A30995"/>
    <w:pPr>
      <w:autoSpaceDE w:val="0"/>
      <w:autoSpaceDN w:val="0"/>
      <w:spacing w:before="240" w:line="240" w:lineRule="atLeast"/>
      <w:ind w:left="1440"/>
    </w:pPr>
    <w:rPr>
      <w:rFonts w:ascii="Times" w:hAnsi="Times" w:cs="Times"/>
    </w:rPr>
  </w:style>
  <w:style w:type="paragraph" w:customStyle="1" w:styleId="Referencestext">
    <w:name w:val="References text"/>
    <w:basedOn w:val="Normal"/>
    <w:rsid w:val="00A30995"/>
    <w:pPr>
      <w:tabs>
        <w:tab w:val="left" w:pos="720"/>
      </w:tabs>
      <w:autoSpaceDE w:val="0"/>
      <w:autoSpaceDN w:val="0"/>
      <w:spacing w:before="480"/>
      <w:ind w:left="4962" w:hanging="4962"/>
    </w:pPr>
    <w:rPr>
      <w:rFonts w:ascii="Times" w:hAnsi="Times" w:cs="Times"/>
    </w:rPr>
  </w:style>
  <w:style w:type="paragraph" w:customStyle="1" w:styleId="Paratextnumbered">
    <w:name w:val="Para text (numbered)"/>
    <w:basedOn w:val="Paratextnonumber"/>
    <w:rsid w:val="00A30995"/>
    <w:pPr>
      <w:spacing w:line="240" w:lineRule="auto"/>
      <w:ind w:hanging="1440"/>
    </w:pPr>
  </w:style>
  <w:style w:type="paragraph" w:customStyle="1" w:styleId="ParaTextNote">
    <w:name w:val="Para Text Note"/>
    <w:basedOn w:val="Normal"/>
    <w:rsid w:val="00A30995"/>
    <w:pPr>
      <w:keepNext/>
      <w:keepLines/>
      <w:autoSpaceDE w:val="0"/>
      <w:autoSpaceDN w:val="0"/>
      <w:spacing w:before="120" w:after="120"/>
      <w:ind w:left="2342" w:hanging="902"/>
    </w:pPr>
    <w:rPr>
      <w:rFonts w:ascii="Times" w:hAnsi="Times" w:cs="Times"/>
      <w:sz w:val="20"/>
      <w:szCs w:val="20"/>
    </w:rPr>
  </w:style>
  <w:style w:type="paragraph" w:customStyle="1" w:styleId="Referece">
    <w:name w:val="Referece"/>
    <w:basedOn w:val="Normal"/>
    <w:autoRedefine/>
    <w:rsid w:val="00A30995"/>
    <w:pPr>
      <w:suppressAutoHyphens/>
      <w:spacing w:before="120" w:after="120"/>
    </w:pPr>
    <w:rPr>
      <w:lang w:val="en-US"/>
    </w:rPr>
  </w:style>
  <w:style w:type="paragraph" w:customStyle="1" w:styleId="NormalArial">
    <w:name w:val="Normal + Arial"/>
    <w:basedOn w:val="Normal"/>
    <w:rsid w:val="00A30995"/>
    <w:rPr>
      <w:rFonts w:ascii="Arial" w:hAnsi="Arial" w:cs="Arial"/>
      <w:b/>
      <w:bCs/>
      <w:sz w:val="32"/>
      <w:szCs w:val="32"/>
    </w:rPr>
  </w:style>
  <w:style w:type="table" w:customStyle="1" w:styleId="TableGeneral">
    <w:name w:val="TableGeneral"/>
    <w:rsid w:val="00A30995"/>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character" w:customStyle="1" w:styleId="CommentTextChar">
    <w:name w:val="Comment Text Char"/>
    <w:basedOn w:val="DefaultParagraphFont"/>
    <w:link w:val="CommentText"/>
    <w:uiPriority w:val="99"/>
    <w:rsid w:val="009F6100"/>
  </w:style>
  <w:style w:type="paragraph" w:styleId="Revision">
    <w:name w:val="Revision"/>
    <w:hidden/>
    <w:uiPriority w:val="99"/>
    <w:semiHidden/>
    <w:rsid w:val="003D6610"/>
    <w:rPr>
      <w:sz w:val="24"/>
      <w:szCs w:val="24"/>
    </w:rPr>
  </w:style>
  <w:style w:type="character" w:customStyle="1" w:styleId="FooterChar">
    <w:name w:val="Footer Char"/>
    <w:basedOn w:val="DefaultParagraphFont"/>
    <w:link w:val="Footer"/>
    <w:uiPriority w:val="99"/>
    <w:rsid w:val="006D173D"/>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www,saiglobal.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tandards.org.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tandards.org.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iglobal.com" TargetMode="External"/><Relationship Id="rId20" Type="http://schemas.openxmlformats.org/officeDocument/2006/relationships/hyperlink" Target="http://www,saigloba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aiglobal.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rpansa.gov.au" TargetMode="External"/><Relationship Id="rId23" Type="http://schemas.openxmlformats.org/officeDocument/2006/relationships/hyperlink" Target="http://www.standards.org.a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standards.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mlaw.gov.au" TargetMode="External"/><Relationship Id="rId22" Type="http://schemas.openxmlformats.org/officeDocument/2006/relationships/hyperlink" Target="http://www.saiglobal.com"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Instr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cord" ma:contentTypeID="0x01010070E27D6A746B5B48ADF22C2128054D5500A693152E1C35154185216143C34A3F31" ma:contentTypeVersion="35" ma:contentTypeDescription="A document enhanced so that it is automatically captured by RecordPoint." ma:contentTypeScope="" ma:versionID="1b072fbd30c1a63ea8e63a2c0385c599">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5cb7b8efecd42c539099e757c2687b6"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KNAH4PPFC442-2667-508</_dlc_DocId>
    <_dlc_DocIdUrl xmlns="6db8f3c6-01a1-4322-b043-a3b2a190f7a8">
      <Url>http://collaboration/organisation/Auth/Chair/Auth/_layouts/DocIdRedir.aspx?ID=KNAH4PPFC442-2667-508</Url>
      <Description>KNAH4PPFC442-2667-508</Description>
    </_dlc_DocIdUrl>
    <Record_x0020_Number xmlns="83630db1-6fc2-4dfd-b3fe-d61d34e1440c">ER2014/072143</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3.xml><?xml version="1.0" encoding="utf-8"?>
<?mso-contentType ?>
<SharedContentType xmlns="Microsoft.SharePoint.Taxonomy.ContentTypeSync" SourceId="c033047a-93aa-421b-8aef-52cbfb63cf36" ContentTypeId="0x01010070E27D6A746B5B48ADF22C2128054D5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ED437-F61C-4A46-A2F0-3542105A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4BD0-31D5-4564-90DE-EE2CB3282E94}">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3.xml><?xml version="1.0" encoding="utf-8"?>
<ds:datastoreItem xmlns:ds="http://schemas.openxmlformats.org/officeDocument/2006/customXml" ds:itemID="{082495CA-3626-4BB8-95D8-F634B0C28CB2}">
  <ds:schemaRefs>
    <ds:schemaRef ds:uri="Microsoft.SharePoint.Taxonomy.ContentTypeSync"/>
  </ds:schemaRefs>
</ds:datastoreItem>
</file>

<file path=customXml/itemProps4.xml><?xml version="1.0" encoding="utf-8"?>
<ds:datastoreItem xmlns:ds="http://schemas.openxmlformats.org/officeDocument/2006/customXml" ds:itemID="{33EF253A-72F6-4229-AB08-050E8F3EE99B}">
  <ds:schemaRefs>
    <ds:schemaRef ds:uri="http://schemas.microsoft.com/sharepoint/events"/>
  </ds:schemaRefs>
</ds:datastoreItem>
</file>

<file path=customXml/itemProps5.xml><?xml version="1.0" encoding="utf-8"?>
<ds:datastoreItem xmlns:ds="http://schemas.openxmlformats.org/officeDocument/2006/customXml" ds:itemID="{6B15BF12-8888-419C-87F8-1F4817F00121}">
  <ds:schemaRefs>
    <ds:schemaRef ds:uri="http://schemas.microsoft.com/sharepoint/v3/contenttype/forms"/>
  </ds:schemaRefs>
</ds:datastoreItem>
</file>

<file path=customXml/itemProps6.xml><?xml version="1.0" encoding="utf-8"?>
<ds:datastoreItem xmlns:ds="http://schemas.openxmlformats.org/officeDocument/2006/customXml" ds:itemID="{59E99350-302F-41FD-BDB0-6281D7AB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CONSOLInstruments</Template>
  <TotalTime>9</TotalTime>
  <Pages>8</Pages>
  <Words>2539</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16726</CharactersWithSpaces>
  <SharedDoc>false</SharedDoc>
  <HLinks>
    <vt:vector size="60" baseType="variant">
      <vt:variant>
        <vt:i4>6094875</vt:i4>
      </vt:variant>
      <vt:variant>
        <vt:i4>27</vt:i4>
      </vt:variant>
      <vt:variant>
        <vt:i4>0</vt:i4>
      </vt:variant>
      <vt:variant>
        <vt:i4>5</vt:i4>
      </vt:variant>
      <vt:variant>
        <vt:lpwstr>http://www,saiglobal.com/</vt:lpwstr>
      </vt:variant>
      <vt:variant>
        <vt:lpwstr/>
      </vt:variant>
      <vt:variant>
        <vt:i4>1704008</vt:i4>
      </vt:variant>
      <vt:variant>
        <vt:i4>24</vt:i4>
      </vt:variant>
      <vt:variant>
        <vt:i4>0</vt:i4>
      </vt:variant>
      <vt:variant>
        <vt:i4>5</vt:i4>
      </vt:variant>
      <vt:variant>
        <vt:lpwstr>http://www.standards.org.au/</vt:lpwstr>
      </vt:variant>
      <vt:variant>
        <vt:lpwstr/>
      </vt:variant>
      <vt:variant>
        <vt:i4>6094873</vt:i4>
      </vt:variant>
      <vt:variant>
        <vt:i4>21</vt:i4>
      </vt:variant>
      <vt:variant>
        <vt:i4>0</vt:i4>
      </vt:variant>
      <vt:variant>
        <vt:i4>5</vt:i4>
      </vt:variant>
      <vt:variant>
        <vt:lpwstr>http://www.saiglobal.com/</vt:lpwstr>
      </vt:variant>
      <vt:variant>
        <vt:lpwstr/>
      </vt:variant>
      <vt:variant>
        <vt:i4>1704008</vt:i4>
      </vt:variant>
      <vt:variant>
        <vt:i4>18</vt:i4>
      </vt:variant>
      <vt:variant>
        <vt:i4>0</vt:i4>
      </vt:variant>
      <vt:variant>
        <vt:i4>5</vt:i4>
      </vt:variant>
      <vt:variant>
        <vt:lpwstr>http://www.standards.org.au/</vt:lpwstr>
      </vt:variant>
      <vt:variant>
        <vt:lpwstr/>
      </vt:variant>
      <vt:variant>
        <vt:i4>6094875</vt:i4>
      </vt:variant>
      <vt:variant>
        <vt:i4>15</vt:i4>
      </vt:variant>
      <vt:variant>
        <vt:i4>0</vt:i4>
      </vt:variant>
      <vt:variant>
        <vt:i4>5</vt:i4>
      </vt:variant>
      <vt:variant>
        <vt:lpwstr>http://www,saiglobal.com/</vt:lpwstr>
      </vt:variant>
      <vt:variant>
        <vt:lpwstr/>
      </vt:variant>
      <vt:variant>
        <vt:i4>1704008</vt:i4>
      </vt:variant>
      <vt:variant>
        <vt:i4>12</vt:i4>
      </vt:variant>
      <vt:variant>
        <vt:i4>0</vt:i4>
      </vt:variant>
      <vt:variant>
        <vt:i4>5</vt:i4>
      </vt:variant>
      <vt:variant>
        <vt:lpwstr>http://www.standards.org.au/</vt:lpwstr>
      </vt:variant>
      <vt:variant>
        <vt:lpwstr/>
      </vt:variant>
      <vt:variant>
        <vt:i4>6094875</vt:i4>
      </vt:variant>
      <vt:variant>
        <vt:i4>9</vt:i4>
      </vt:variant>
      <vt:variant>
        <vt:i4>0</vt:i4>
      </vt:variant>
      <vt:variant>
        <vt:i4>5</vt:i4>
      </vt:variant>
      <vt:variant>
        <vt:lpwstr>http://www,saiglobal.com/</vt:lpwstr>
      </vt:variant>
      <vt:variant>
        <vt:lpwstr/>
      </vt:variant>
      <vt:variant>
        <vt:i4>1704008</vt:i4>
      </vt:variant>
      <vt:variant>
        <vt:i4>6</vt:i4>
      </vt:variant>
      <vt:variant>
        <vt:i4>0</vt:i4>
      </vt:variant>
      <vt:variant>
        <vt:i4>5</vt:i4>
      </vt:variant>
      <vt:variant>
        <vt:lpwstr>http://www.standards.org.au/</vt:lpwstr>
      </vt:variant>
      <vt:variant>
        <vt:lpwstr/>
      </vt:variant>
      <vt:variant>
        <vt:i4>6094873</vt:i4>
      </vt:variant>
      <vt:variant>
        <vt:i4>3</vt:i4>
      </vt:variant>
      <vt:variant>
        <vt:i4>0</vt:i4>
      </vt:variant>
      <vt:variant>
        <vt:i4>5</vt:i4>
      </vt:variant>
      <vt:variant>
        <vt:lpwstr>http://www.saiglobal.com/</vt:lpwstr>
      </vt:variant>
      <vt:variant>
        <vt:lpwstr/>
      </vt:variant>
      <vt:variant>
        <vt:i4>6946858</vt:i4>
      </vt:variant>
      <vt:variant>
        <vt:i4>0</vt:i4>
      </vt:variant>
      <vt:variant>
        <vt:i4>0</vt:i4>
      </vt:variant>
      <vt:variant>
        <vt:i4>5</vt:i4>
      </vt:variant>
      <vt:variant>
        <vt:lpwstr>http://www.arpansa.gov.au/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imb1jo</dc:creator>
  <cp:lastModifiedBy>Helen Turnbull</cp:lastModifiedBy>
  <cp:revision>5</cp:revision>
  <cp:lastPrinted>2014-01-13T23:24:00Z</cp:lastPrinted>
  <dcterms:created xsi:type="dcterms:W3CDTF">2014-06-25T00:56:00Z</dcterms:created>
  <dcterms:modified xsi:type="dcterms:W3CDTF">2014-07-01T23:46:00Z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3a90b8e1-1b07-4946-9542-486f901d330a</vt:lpwstr>
  </property>
  <property fmtid="{D5CDD505-2E9C-101B-9397-08002B2CF9AE}" pid="3" name="ContentTypeId">
    <vt:lpwstr>0x01010070E27D6A746B5B48ADF22C2128054D5500A693152E1C35154185216143C34A3F31</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{aa02821a-f0b7-4f59-9c9d-33ae55ea486f}</vt:lpwstr>
  </property>
  <property fmtid="{D5CDD505-2E9C-101B-9397-08002B2CF9AE}" pid="7" name="RecordPoint_RecordFormat">
    <vt:lpwstr/>
  </property>
  <property fmtid="{D5CDD505-2E9C-101B-9397-08002B2CF9AE}" pid="8" name="RecordPoint_ActiveItemUniqueId">
    <vt:lpwstr>{3a90b8e1-1b07-4946-9542-486f901d330a}</vt:lpwstr>
  </property>
  <property fmtid="{D5CDD505-2E9C-101B-9397-08002B2CF9AE}" pid="9" name="RecordPoint_SubmissionCompleted">
    <vt:lpwstr>2014-06-18T13:55:56.1779623+10:00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