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84" w:rsidRDefault="00FD4084">
      <w:pPr>
        <w:spacing w:before="80" w:after="120" w:line="280" w:lineRule="atLeast"/>
        <w:jc w:val="center"/>
        <w:rPr>
          <w:rFonts w:ascii="Arial" w:hAnsi="Arial" w:cs="Arial"/>
          <w:b/>
          <w:sz w:val="20"/>
          <w:szCs w:val="20"/>
        </w:rPr>
      </w:pPr>
      <w:r w:rsidRPr="00993194">
        <w:rPr>
          <w:rFonts w:ascii="Arial" w:hAnsi="Arial" w:cs="Arial"/>
          <w:b/>
          <w:sz w:val="20"/>
          <w:szCs w:val="20"/>
        </w:rPr>
        <w:t>EX</w:t>
      </w:r>
      <w:r w:rsidR="00377035">
        <w:rPr>
          <w:rFonts w:ascii="Arial" w:hAnsi="Arial" w:cs="Arial"/>
          <w:b/>
          <w:sz w:val="20"/>
          <w:szCs w:val="20"/>
        </w:rPr>
        <w:t>P</w:t>
      </w:r>
      <w:r w:rsidRPr="00993194">
        <w:rPr>
          <w:rFonts w:ascii="Arial" w:hAnsi="Arial" w:cs="Arial"/>
          <w:b/>
          <w:sz w:val="20"/>
          <w:szCs w:val="20"/>
        </w:rPr>
        <w:t>LANATORY STATEMENT</w:t>
      </w:r>
    </w:p>
    <w:p w:rsidR="00FD4084" w:rsidRPr="00993194" w:rsidRDefault="00FD4084">
      <w:pPr>
        <w:spacing w:before="80" w:after="120" w:line="280" w:lineRule="atLeast"/>
        <w:jc w:val="center"/>
        <w:rPr>
          <w:rFonts w:ascii="Arial" w:hAnsi="Arial" w:cs="Arial"/>
          <w:b/>
          <w:sz w:val="20"/>
          <w:szCs w:val="20"/>
        </w:rPr>
      </w:pPr>
      <w:r w:rsidRPr="00993194">
        <w:rPr>
          <w:rFonts w:ascii="Arial" w:hAnsi="Arial" w:cs="Arial"/>
          <w:b/>
          <w:sz w:val="20"/>
          <w:szCs w:val="20"/>
        </w:rPr>
        <w:t>Issued by the Australian Communications and Media Authority</w:t>
      </w:r>
    </w:p>
    <w:p w:rsidR="008D77C0" w:rsidRDefault="008D77C0" w:rsidP="00993194">
      <w:pPr>
        <w:spacing w:before="80" w:after="120" w:line="280" w:lineRule="atLeast"/>
        <w:jc w:val="both"/>
        <w:rPr>
          <w:rFonts w:ascii="Arial" w:hAnsi="Arial" w:cs="Arial"/>
          <w:b/>
          <w:i/>
          <w:sz w:val="20"/>
          <w:szCs w:val="20"/>
        </w:rPr>
      </w:pPr>
      <w:r w:rsidRPr="008D77C0">
        <w:rPr>
          <w:rFonts w:ascii="Arial" w:hAnsi="Arial" w:cs="Arial"/>
          <w:b/>
          <w:i/>
          <w:sz w:val="20"/>
          <w:szCs w:val="20"/>
        </w:rPr>
        <w:t>Radiocommunications (Electromagnetic Radiation — Human Exposure) Standard 2014</w:t>
      </w:r>
    </w:p>
    <w:p w:rsidR="00FD4084" w:rsidRPr="00993194" w:rsidRDefault="00FD4084" w:rsidP="00993194">
      <w:pPr>
        <w:spacing w:before="80" w:after="120" w:line="280" w:lineRule="atLeast"/>
        <w:jc w:val="both"/>
        <w:rPr>
          <w:rFonts w:ascii="Arial" w:hAnsi="Arial" w:cs="Arial"/>
          <w:b/>
          <w:sz w:val="20"/>
          <w:szCs w:val="20"/>
        </w:rPr>
      </w:pPr>
      <w:r w:rsidRPr="00993194">
        <w:rPr>
          <w:rFonts w:ascii="Arial" w:hAnsi="Arial" w:cs="Arial"/>
          <w:b/>
          <w:sz w:val="20"/>
          <w:szCs w:val="20"/>
        </w:rPr>
        <w:t>Purpose</w:t>
      </w:r>
    </w:p>
    <w:p w:rsidR="00652721" w:rsidRDefault="00491BCC" w:rsidP="00993194">
      <w:pPr>
        <w:spacing w:before="80" w:after="120" w:line="280" w:lineRule="atLeast"/>
        <w:jc w:val="both"/>
        <w:rPr>
          <w:rFonts w:ascii="Arial" w:hAnsi="Arial" w:cs="Arial"/>
          <w:sz w:val="20"/>
          <w:szCs w:val="20"/>
        </w:rPr>
      </w:pPr>
      <w:r>
        <w:rPr>
          <w:rFonts w:ascii="Arial" w:hAnsi="Arial" w:cs="Arial"/>
          <w:sz w:val="20"/>
          <w:szCs w:val="20"/>
        </w:rPr>
        <w:t>T</w:t>
      </w:r>
      <w:r w:rsidR="00652721" w:rsidRPr="00652721">
        <w:rPr>
          <w:rFonts w:ascii="Arial" w:hAnsi="Arial" w:cs="Arial"/>
          <w:sz w:val="20"/>
          <w:szCs w:val="20"/>
        </w:rPr>
        <w:t xml:space="preserve">he Australian Communications and Media Authority (the ACMA) </w:t>
      </w:r>
      <w:r>
        <w:rPr>
          <w:rFonts w:ascii="Arial" w:hAnsi="Arial" w:cs="Arial"/>
          <w:sz w:val="20"/>
          <w:szCs w:val="20"/>
        </w:rPr>
        <w:t xml:space="preserve">has </w:t>
      </w:r>
      <w:r w:rsidR="00652721" w:rsidRPr="00652721">
        <w:rPr>
          <w:rFonts w:ascii="Arial" w:hAnsi="Arial" w:cs="Arial"/>
          <w:sz w:val="20"/>
          <w:szCs w:val="20"/>
        </w:rPr>
        <w:t xml:space="preserve">made the </w:t>
      </w:r>
      <w:r w:rsidR="008D77C0" w:rsidRPr="008D77C0">
        <w:rPr>
          <w:rFonts w:ascii="Arial" w:hAnsi="Arial" w:cs="Arial"/>
          <w:i/>
          <w:sz w:val="20"/>
          <w:szCs w:val="20"/>
        </w:rPr>
        <w:t xml:space="preserve">Radiocommunications (Electromagnetic Radiation — Human Exposure) Standard 2014 </w:t>
      </w:r>
      <w:r w:rsidR="00652721">
        <w:rPr>
          <w:rFonts w:ascii="Arial" w:hAnsi="Arial" w:cs="Arial"/>
          <w:sz w:val="20"/>
          <w:szCs w:val="20"/>
        </w:rPr>
        <w:t>(the Instrument).</w:t>
      </w:r>
      <w:r>
        <w:rPr>
          <w:rFonts w:ascii="Arial" w:hAnsi="Arial" w:cs="Arial"/>
          <w:sz w:val="20"/>
          <w:szCs w:val="20"/>
        </w:rPr>
        <w:t xml:space="preserve"> </w:t>
      </w:r>
      <w:r w:rsidR="00652721" w:rsidRPr="00652721">
        <w:rPr>
          <w:rFonts w:ascii="Arial" w:hAnsi="Arial" w:cs="Arial"/>
          <w:sz w:val="20"/>
          <w:szCs w:val="20"/>
        </w:rPr>
        <w:t xml:space="preserve">The Instrument </w:t>
      </w:r>
      <w:r w:rsidR="0080603E">
        <w:rPr>
          <w:rFonts w:ascii="Arial" w:hAnsi="Arial" w:cs="Arial"/>
          <w:sz w:val="20"/>
          <w:szCs w:val="20"/>
        </w:rPr>
        <w:t>replaces</w:t>
      </w:r>
      <w:r w:rsidR="0080603E" w:rsidRPr="00652721">
        <w:rPr>
          <w:rFonts w:ascii="Arial" w:hAnsi="Arial" w:cs="Arial"/>
          <w:sz w:val="20"/>
          <w:szCs w:val="20"/>
        </w:rPr>
        <w:t xml:space="preserve"> </w:t>
      </w:r>
      <w:r w:rsidR="00652721" w:rsidRPr="00652721">
        <w:rPr>
          <w:rFonts w:ascii="Arial" w:hAnsi="Arial" w:cs="Arial"/>
          <w:sz w:val="20"/>
          <w:szCs w:val="20"/>
        </w:rPr>
        <w:t xml:space="preserve">the </w:t>
      </w:r>
      <w:r w:rsidR="008F3077" w:rsidRPr="008F3077">
        <w:rPr>
          <w:rFonts w:ascii="Arial" w:hAnsi="Arial" w:cs="Arial"/>
          <w:i/>
          <w:sz w:val="20"/>
          <w:szCs w:val="20"/>
        </w:rPr>
        <w:t>Radiocommunications (Electromagnetic Radiation — Human Exposure) Standard 2003</w:t>
      </w:r>
      <w:r w:rsidR="00652721" w:rsidRPr="00652721">
        <w:rPr>
          <w:rFonts w:ascii="Arial" w:hAnsi="Arial" w:cs="Arial"/>
          <w:sz w:val="20"/>
          <w:szCs w:val="20"/>
        </w:rPr>
        <w:t xml:space="preserve"> (the 2003 </w:t>
      </w:r>
      <w:r w:rsidR="008D77C0">
        <w:rPr>
          <w:rFonts w:ascii="Arial" w:hAnsi="Arial" w:cs="Arial"/>
          <w:sz w:val="20"/>
          <w:szCs w:val="20"/>
        </w:rPr>
        <w:t>Standard</w:t>
      </w:r>
      <w:r w:rsidR="00652721" w:rsidRPr="00652721">
        <w:rPr>
          <w:rFonts w:ascii="Arial" w:hAnsi="Arial" w:cs="Arial"/>
          <w:sz w:val="20"/>
          <w:szCs w:val="20"/>
        </w:rPr>
        <w:t xml:space="preserve">) without making any significant changes to the regulatory arrangements created by the 2003 </w:t>
      </w:r>
      <w:r w:rsidR="008D77C0">
        <w:rPr>
          <w:rFonts w:ascii="Arial" w:hAnsi="Arial" w:cs="Arial"/>
          <w:sz w:val="20"/>
          <w:szCs w:val="20"/>
        </w:rPr>
        <w:t>Standard</w:t>
      </w:r>
      <w:r w:rsidR="00652721" w:rsidRPr="00652721">
        <w:rPr>
          <w:rFonts w:ascii="Arial" w:hAnsi="Arial" w:cs="Arial"/>
          <w:sz w:val="20"/>
          <w:szCs w:val="20"/>
        </w:rPr>
        <w:t>.</w:t>
      </w:r>
    </w:p>
    <w:p w:rsidR="00652721" w:rsidRDefault="00652721" w:rsidP="0080603E">
      <w:pPr>
        <w:spacing w:before="80" w:after="120" w:line="280" w:lineRule="atLeast"/>
        <w:jc w:val="both"/>
        <w:rPr>
          <w:rFonts w:ascii="Arial" w:hAnsi="Arial" w:cs="Arial"/>
          <w:sz w:val="20"/>
          <w:szCs w:val="20"/>
        </w:rPr>
      </w:pPr>
      <w:r w:rsidRPr="00652721">
        <w:rPr>
          <w:rFonts w:ascii="Arial" w:hAnsi="Arial" w:cs="Arial"/>
          <w:sz w:val="20"/>
          <w:szCs w:val="20"/>
        </w:rPr>
        <w:t xml:space="preserve">The ACMA has made the Instrument as the 2003 </w:t>
      </w:r>
      <w:r w:rsidR="008D77C0">
        <w:rPr>
          <w:rFonts w:ascii="Arial" w:hAnsi="Arial" w:cs="Arial"/>
          <w:sz w:val="20"/>
          <w:szCs w:val="20"/>
        </w:rPr>
        <w:t>Standard</w:t>
      </w:r>
      <w:r w:rsidRPr="00652721">
        <w:rPr>
          <w:rFonts w:ascii="Arial" w:hAnsi="Arial" w:cs="Arial"/>
          <w:sz w:val="20"/>
          <w:szCs w:val="20"/>
        </w:rPr>
        <w:t xml:space="preserve"> was due to “sunset” (i.e. be automatically repealed) on 1 </w:t>
      </w:r>
      <w:r>
        <w:rPr>
          <w:rFonts w:ascii="Arial" w:hAnsi="Arial" w:cs="Arial"/>
          <w:sz w:val="20"/>
          <w:szCs w:val="20"/>
        </w:rPr>
        <w:t>October</w:t>
      </w:r>
      <w:r w:rsidRPr="00652721">
        <w:rPr>
          <w:rFonts w:ascii="Arial" w:hAnsi="Arial" w:cs="Arial"/>
          <w:sz w:val="20"/>
          <w:szCs w:val="20"/>
        </w:rPr>
        <w:t xml:space="preserve"> 2015, in accordance with Part 6 of the </w:t>
      </w:r>
      <w:r w:rsidRPr="00652721">
        <w:rPr>
          <w:rFonts w:ascii="Arial" w:hAnsi="Arial" w:cs="Arial"/>
          <w:i/>
          <w:sz w:val="20"/>
          <w:szCs w:val="20"/>
        </w:rPr>
        <w:t>Legislative Instruments Act 2003</w:t>
      </w:r>
      <w:r w:rsidRPr="00652721">
        <w:rPr>
          <w:rFonts w:ascii="Arial" w:hAnsi="Arial" w:cs="Arial"/>
          <w:sz w:val="20"/>
          <w:szCs w:val="20"/>
        </w:rPr>
        <w:t xml:space="preserve"> (the LIA). </w:t>
      </w:r>
    </w:p>
    <w:p w:rsidR="00FD4084" w:rsidRPr="00993194" w:rsidRDefault="00FD4084" w:rsidP="00993194">
      <w:pPr>
        <w:spacing w:before="80" w:after="120" w:line="280" w:lineRule="atLeast"/>
        <w:jc w:val="both"/>
        <w:rPr>
          <w:rFonts w:ascii="Arial" w:hAnsi="Arial" w:cs="Arial"/>
          <w:b/>
          <w:sz w:val="20"/>
          <w:szCs w:val="20"/>
        </w:rPr>
      </w:pPr>
      <w:r w:rsidRPr="00402512">
        <w:rPr>
          <w:rFonts w:ascii="Arial" w:hAnsi="Arial" w:cs="Arial"/>
          <w:b/>
          <w:sz w:val="20"/>
          <w:szCs w:val="20"/>
        </w:rPr>
        <w:t>Legislative provisions</w:t>
      </w:r>
    </w:p>
    <w:p w:rsidR="00FD4084" w:rsidRPr="00993194" w:rsidRDefault="00572914" w:rsidP="00993194">
      <w:pPr>
        <w:spacing w:before="80" w:after="120" w:line="280" w:lineRule="atLeast"/>
        <w:jc w:val="both"/>
        <w:rPr>
          <w:rFonts w:ascii="Arial" w:hAnsi="Arial" w:cs="Arial"/>
          <w:sz w:val="20"/>
          <w:szCs w:val="20"/>
        </w:rPr>
      </w:pPr>
      <w:r w:rsidRPr="008964DD">
        <w:rPr>
          <w:rFonts w:ascii="Arial" w:hAnsi="Arial" w:cs="Arial"/>
          <w:snapToGrid w:val="0"/>
          <w:sz w:val="20"/>
          <w:szCs w:val="20"/>
        </w:rPr>
        <w:t xml:space="preserve">The ACMA made the Instrument under </w:t>
      </w:r>
      <w:r w:rsidR="00E941D3" w:rsidRPr="00E941D3">
        <w:rPr>
          <w:rFonts w:ascii="Arial" w:hAnsi="Arial" w:cs="Arial"/>
          <w:snapToGrid w:val="0"/>
          <w:sz w:val="20"/>
          <w:szCs w:val="20"/>
        </w:rPr>
        <w:t xml:space="preserve">subsection 162(1) of the </w:t>
      </w:r>
      <w:r w:rsidR="00E941D3" w:rsidRPr="00CE7107">
        <w:rPr>
          <w:rFonts w:ascii="Arial" w:hAnsi="Arial" w:cs="Arial"/>
          <w:i/>
          <w:snapToGrid w:val="0"/>
          <w:sz w:val="20"/>
          <w:szCs w:val="20"/>
        </w:rPr>
        <w:t>Radiocommunications Act 1992</w:t>
      </w:r>
      <w:r w:rsidR="00E941D3" w:rsidRPr="00E941D3">
        <w:rPr>
          <w:rFonts w:ascii="Arial" w:hAnsi="Arial" w:cs="Arial"/>
          <w:snapToGrid w:val="0"/>
          <w:sz w:val="20"/>
          <w:szCs w:val="20"/>
        </w:rPr>
        <w:t xml:space="preserve"> (the Act) which provides that the ACMA may, by written instrument, make standards for the performance of specified devices.  </w:t>
      </w:r>
    </w:p>
    <w:p w:rsidR="00FD4084" w:rsidRPr="00993194" w:rsidRDefault="00CE7107" w:rsidP="00993194">
      <w:pPr>
        <w:spacing w:before="80" w:after="120" w:line="280" w:lineRule="atLeast"/>
        <w:jc w:val="both"/>
        <w:rPr>
          <w:rFonts w:ascii="Arial" w:hAnsi="Arial" w:cs="Arial"/>
          <w:sz w:val="20"/>
          <w:szCs w:val="20"/>
        </w:rPr>
      </w:pPr>
      <w:r w:rsidRPr="00CE7107">
        <w:rPr>
          <w:rFonts w:ascii="Arial" w:hAnsi="Arial" w:cs="Arial"/>
          <w:sz w:val="20"/>
          <w:szCs w:val="20"/>
        </w:rPr>
        <w:t xml:space="preserve">The Instrument is a legislative instrument for the purposes of the </w:t>
      </w:r>
      <w:r w:rsidRPr="00CE7107">
        <w:rPr>
          <w:rFonts w:ascii="Arial" w:hAnsi="Arial" w:cs="Arial"/>
          <w:i/>
          <w:sz w:val="20"/>
          <w:szCs w:val="20"/>
        </w:rPr>
        <w:t xml:space="preserve">Legislative Instruments Act 2003 </w:t>
      </w:r>
      <w:r w:rsidRPr="00CE7107">
        <w:rPr>
          <w:rFonts w:ascii="Arial" w:hAnsi="Arial" w:cs="Arial"/>
          <w:sz w:val="20"/>
          <w:szCs w:val="20"/>
        </w:rPr>
        <w:t>(the LIA).</w:t>
      </w:r>
    </w:p>
    <w:p w:rsidR="00572914" w:rsidRDefault="00FD4084" w:rsidP="001B7898">
      <w:pPr>
        <w:spacing w:before="80" w:after="120" w:line="280" w:lineRule="atLeast"/>
        <w:jc w:val="both"/>
        <w:rPr>
          <w:rFonts w:ascii="Arial" w:hAnsi="Arial" w:cs="Arial"/>
          <w:sz w:val="20"/>
          <w:szCs w:val="20"/>
        </w:rPr>
      </w:pPr>
      <w:r w:rsidRPr="00993194">
        <w:rPr>
          <w:rFonts w:ascii="Arial" w:hAnsi="Arial" w:cs="Arial"/>
          <w:b/>
          <w:sz w:val="20"/>
          <w:szCs w:val="20"/>
        </w:rPr>
        <w:t>Background</w:t>
      </w:r>
    </w:p>
    <w:p w:rsidR="00572914" w:rsidRDefault="00572914" w:rsidP="001B7898">
      <w:pPr>
        <w:spacing w:before="80" w:after="120" w:line="280" w:lineRule="atLeast"/>
        <w:jc w:val="both"/>
        <w:rPr>
          <w:rFonts w:ascii="Arial" w:hAnsi="Arial" w:cs="Arial"/>
          <w:sz w:val="20"/>
          <w:szCs w:val="20"/>
        </w:rPr>
      </w:pPr>
      <w:r>
        <w:rPr>
          <w:rFonts w:ascii="Arial" w:hAnsi="Arial" w:cs="Arial"/>
          <w:sz w:val="20"/>
          <w:szCs w:val="20"/>
        </w:rPr>
        <w:t xml:space="preserve">The 2003 Standard, made under </w:t>
      </w:r>
      <w:r w:rsidRPr="00572914">
        <w:rPr>
          <w:rFonts w:ascii="Arial" w:hAnsi="Arial" w:cs="Arial"/>
          <w:sz w:val="20"/>
          <w:szCs w:val="20"/>
        </w:rPr>
        <w:t xml:space="preserve">subsection </w:t>
      </w:r>
      <w:r w:rsidR="00CE7107" w:rsidRPr="00E941D3">
        <w:rPr>
          <w:rFonts w:ascii="Arial" w:hAnsi="Arial" w:cs="Arial"/>
          <w:snapToGrid w:val="0"/>
          <w:sz w:val="20"/>
          <w:szCs w:val="20"/>
        </w:rPr>
        <w:t xml:space="preserve">162(1) </w:t>
      </w:r>
      <w:r w:rsidRPr="00572914">
        <w:rPr>
          <w:rFonts w:ascii="Arial" w:hAnsi="Arial" w:cs="Arial"/>
          <w:sz w:val="20"/>
          <w:szCs w:val="20"/>
        </w:rPr>
        <w:t>of the</w:t>
      </w:r>
      <w:r>
        <w:rPr>
          <w:rFonts w:ascii="Arial" w:hAnsi="Arial" w:cs="Arial"/>
          <w:sz w:val="20"/>
          <w:szCs w:val="20"/>
        </w:rPr>
        <w:t xml:space="preserve"> Act, </w:t>
      </w:r>
      <w:r w:rsidRPr="00572914">
        <w:rPr>
          <w:rFonts w:ascii="Arial" w:hAnsi="Arial" w:cs="Arial"/>
          <w:sz w:val="20"/>
          <w:szCs w:val="20"/>
        </w:rPr>
        <w:t>was due to be automatically repealed under section 50 of the LIA on 1 October 2015.</w:t>
      </w:r>
    </w:p>
    <w:p w:rsidR="00572914" w:rsidRPr="00993194" w:rsidRDefault="00572914" w:rsidP="001B7898">
      <w:pPr>
        <w:spacing w:before="80" w:after="120" w:line="280" w:lineRule="atLeast"/>
        <w:jc w:val="both"/>
        <w:rPr>
          <w:rFonts w:ascii="Arial" w:hAnsi="Arial" w:cs="Arial"/>
          <w:sz w:val="20"/>
          <w:szCs w:val="20"/>
        </w:rPr>
      </w:pPr>
      <w:r w:rsidRPr="00652721">
        <w:rPr>
          <w:rFonts w:ascii="Arial" w:hAnsi="Arial" w:cs="Arial"/>
          <w:sz w:val="20"/>
          <w:szCs w:val="20"/>
        </w:rPr>
        <w:t xml:space="preserve">Following review, and consultation as outlined below, the ACMA formed the view that the 2003 Standard was operating effectively and efficiently, and continued to form a necessary and useful part of the legislative framework. Accordingly, the ACMA has remade the 2003 </w:t>
      </w:r>
      <w:r>
        <w:rPr>
          <w:rFonts w:ascii="Arial" w:hAnsi="Arial" w:cs="Arial"/>
          <w:sz w:val="20"/>
          <w:szCs w:val="20"/>
        </w:rPr>
        <w:t>Standard</w:t>
      </w:r>
      <w:r w:rsidRPr="00652721">
        <w:rPr>
          <w:rFonts w:ascii="Arial" w:hAnsi="Arial" w:cs="Arial"/>
          <w:sz w:val="20"/>
          <w:szCs w:val="20"/>
        </w:rPr>
        <w:t xml:space="preserve"> by making the Instrument without any significant changes so that its ongoing effect is preserved.</w:t>
      </w:r>
    </w:p>
    <w:p w:rsidR="00FD4084" w:rsidRPr="00993194" w:rsidRDefault="00FD4084" w:rsidP="00993194">
      <w:pPr>
        <w:spacing w:before="80" w:after="120" w:line="280" w:lineRule="atLeast"/>
        <w:jc w:val="both"/>
        <w:rPr>
          <w:rFonts w:ascii="Arial" w:hAnsi="Arial" w:cs="Arial"/>
          <w:sz w:val="20"/>
          <w:szCs w:val="20"/>
        </w:rPr>
      </w:pPr>
      <w:r w:rsidRPr="00D52441">
        <w:rPr>
          <w:rFonts w:ascii="Arial" w:hAnsi="Arial" w:cs="Arial"/>
          <w:b/>
          <w:sz w:val="20"/>
          <w:szCs w:val="20"/>
        </w:rPr>
        <w:t>Operation</w:t>
      </w:r>
      <w:r w:rsidRPr="00993194">
        <w:rPr>
          <w:rFonts w:ascii="Arial" w:hAnsi="Arial" w:cs="Arial"/>
          <w:sz w:val="20"/>
          <w:szCs w:val="20"/>
        </w:rPr>
        <w:t xml:space="preserve"> </w:t>
      </w:r>
    </w:p>
    <w:p w:rsidR="00572914" w:rsidRPr="00993194" w:rsidRDefault="00572914" w:rsidP="00572914">
      <w:pPr>
        <w:spacing w:before="80" w:after="120" w:line="280" w:lineRule="atLeast"/>
        <w:jc w:val="both"/>
        <w:rPr>
          <w:rFonts w:ascii="Arial" w:hAnsi="Arial" w:cs="Arial"/>
          <w:sz w:val="20"/>
          <w:szCs w:val="20"/>
        </w:rPr>
      </w:pPr>
      <w:r w:rsidRPr="00993194">
        <w:rPr>
          <w:rFonts w:ascii="Arial" w:hAnsi="Arial" w:cs="Arial"/>
          <w:sz w:val="20"/>
          <w:szCs w:val="20"/>
        </w:rPr>
        <w:t xml:space="preserve">The ACMA has responsibility for the regulation of customer equipment, customer cabling and specified devices in Australia under the </w:t>
      </w:r>
      <w:r>
        <w:rPr>
          <w:rFonts w:ascii="Arial" w:hAnsi="Arial" w:cs="Arial"/>
          <w:sz w:val="20"/>
          <w:szCs w:val="20"/>
        </w:rPr>
        <w:t xml:space="preserve">Act and the </w:t>
      </w:r>
      <w:r w:rsidRPr="00993194">
        <w:rPr>
          <w:rFonts w:ascii="Arial" w:hAnsi="Arial" w:cs="Arial"/>
          <w:i/>
          <w:sz w:val="20"/>
          <w:szCs w:val="20"/>
        </w:rPr>
        <w:t>Telecommunications Act 1997</w:t>
      </w:r>
      <w:r w:rsidRPr="00993194">
        <w:rPr>
          <w:rFonts w:ascii="Arial" w:hAnsi="Arial" w:cs="Arial"/>
          <w:sz w:val="20"/>
          <w:szCs w:val="20"/>
        </w:rPr>
        <w:t>. These regimes cover aspects of devices related to the radiocommuni</w:t>
      </w:r>
      <w:r>
        <w:rPr>
          <w:rFonts w:ascii="Arial" w:hAnsi="Arial" w:cs="Arial"/>
          <w:sz w:val="20"/>
          <w:szCs w:val="20"/>
        </w:rPr>
        <w:t xml:space="preserve">cations, </w:t>
      </w:r>
      <w:r w:rsidR="00EC6421">
        <w:rPr>
          <w:rFonts w:ascii="Arial" w:hAnsi="Arial" w:cs="Arial"/>
          <w:sz w:val="20"/>
          <w:szCs w:val="20"/>
        </w:rPr>
        <w:t>e</w:t>
      </w:r>
      <w:r w:rsidR="00EC6421" w:rsidRPr="008D77C0">
        <w:rPr>
          <w:rFonts w:ascii="Arial" w:hAnsi="Arial" w:cs="Arial"/>
          <w:sz w:val="20"/>
          <w:szCs w:val="20"/>
        </w:rPr>
        <w:t xml:space="preserve">lectromagnetic </w:t>
      </w:r>
      <w:r w:rsidR="00EC6421">
        <w:rPr>
          <w:rFonts w:ascii="Arial" w:hAnsi="Arial" w:cs="Arial"/>
          <w:sz w:val="20"/>
          <w:szCs w:val="20"/>
        </w:rPr>
        <w:t>energy</w:t>
      </w:r>
      <w:r w:rsidR="00EC6421" w:rsidRPr="008D77C0">
        <w:rPr>
          <w:rFonts w:ascii="Arial" w:hAnsi="Arial" w:cs="Arial"/>
          <w:sz w:val="20"/>
          <w:szCs w:val="20"/>
        </w:rPr>
        <w:t xml:space="preserve"> </w:t>
      </w:r>
      <w:r w:rsidR="00EC6421">
        <w:rPr>
          <w:rFonts w:ascii="Arial" w:hAnsi="Arial" w:cs="Arial"/>
          <w:sz w:val="20"/>
          <w:szCs w:val="20"/>
        </w:rPr>
        <w:t>(</w:t>
      </w:r>
      <w:r w:rsidR="00EC6421" w:rsidRPr="002F190B">
        <w:rPr>
          <w:rFonts w:ascii="Arial" w:hAnsi="Arial" w:cs="Arial"/>
          <w:sz w:val="20"/>
          <w:szCs w:val="20"/>
        </w:rPr>
        <w:t>EME</w:t>
      </w:r>
      <w:r w:rsidR="00EC6421">
        <w:rPr>
          <w:rFonts w:ascii="Arial" w:hAnsi="Arial" w:cs="Arial"/>
          <w:sz w:val="20"/>
          <w:szCs w:val="20"/>
        </w:rPr>
        <w:t>) (also known as electromagnetic radiation (EMR))</w:t>
      </w:r>
      <w:r>
        <w:rPr>
          <w:rFonts w:ascii="Arial" w:hAnsi="Arial" w:cs="Arial"/>
          <w:sz w:val="20"/>
          <w:szCs w:val="20"/>
        </w:rPr>
        <w:t xml:space="preserve">, </w:t>
      </w:r>
      <w:r w:rsidRPr="00993194">
        <w:rPr>
          <w:rFonts w:ascii="Arial" w:hAnsi="Arial" w:cs="Arial"/>
          <w:sz w:val="20"/>
          <w:szCs w:val="20"/>
        </w:rPr>
        <w:t xml:space="preserve">electromagnetic compatibility </w:t>
      </w:r>
      <w:r>
        <w:rPr>
          <w:rFonts w:ascii="Arial" w:hAnsi="Arial" w:cs="Arial"/>
          <w:sz w:val="20"/>
          <w:szCs w:val="20"/>
        </w:rPr>
        <w:t xml:space="preserve">(EMC) and telecommunications </w:t>
      </w:r>
      <w:r w:rsidRPr="00993194">
        <w:rPr>
          <w:rFonts w:ascii="Arial" w:hAnsi="Arial" w:cs="Arial"/>
          <w:sz w:val="20"/>
          <w:szCs w:val="20"/>
        </w:rPr>
        <w:t xml:space="preserve">functions of </w:t>
      </w:r>
      <w:r>
        <w:rPr>
          <w:rFonts w:ascii="Arial" w:hAnsi="Arial" w:cs="Arial"/>
          <w:sz w:val="20"/>
          <w:szCs w:val="20"/>
        </w:rPr>
        <w:t>a</w:t>
      </w:r>
      <w:r w:rsidRPr="00993194">
        <w:rPr>
          <w:rFonts w:ascii="Arial" w:hAnsi="Arial" w:cs="Arial"/>
          <w:sz w:val="20"/>
          <w:szCs w:val="20"/>
        </w:rPr>
        <w:t xml:space="preserve"> device.</w:t>
      </w:r>
    </w:p>
    <w:p w:rsidR="00572914" w:rsidRDefault="00572914" w:rsidP="00572914">
      <w:pPr>
        <w:spacing w:before="80" w:after="120" w:line="280" w:lineRule="atLeast"/>
        <w:jc w:val="both"/>
        <w:rPr>
          <w:rFonts w:ascii="Arial" w:hAnsi="Arial" w:cs="Arial"/>
          <w:sz w:val="20"/>
          <w:szCs w:val="20"/>
        </w:rPr>
      </w:pPr>
      <w:r w:rsidRPr="002F190B">
        <w:rPr>
          <w:rFonts w:ascii="Arial" w:hAnsi="Arial" w:cs="Arial"/>
          <w:sz w:val="20"/>
          <w:szCs w:val="20"/>
        </w:rPr>
        <w:t xml:space="preserve">Through the use of mandatory technical standards, the EME arrangements set out protection levels that limit the exposure </w:t>
      </w:r>
      <w:r>
        <w:rPr>
          <w:rFonts w:ascii="Arial" w:hAnsi="Arial" w:cs="Arial"/>
          <w:sz w:val="20"/>
          <w:szCs w:val="20"/>
        </w:rPr>
        <w:t xml:space="preserve">to </w:t>
      </w:r>
      <w:r w:rsidRPr="002F190B">
        <w:rPr>
          <w:rFonts w:ascii="Arial" w:hAnsi="Arial" w:cs="Arial"/>
          <w:sz w:val="20"/>
          <w:szCs w:val="20"/>
        </w:rPr>
        <w:t xml:space="preserve">EME from radiocommunications transmitters. By imposing requirements on </w:t>
      </w:r>
      <w:r w:rsidR="00491BCC">
        <w:rPr>
          <w:rFonts w:ascii="Arial" w:hAnsi="Arial" w:cs="Arial"/>
          <w:sz w:val="20"/>
          <w:szCs w:val="20"/>
        </w:rPr>
        <w:t>manufacturers and importers (</w:t>
      </w:r>
      <w:r w:rsidRPr="002F190B">
        <w:rPr>
          <w:rFonts w:ascii="Arial" w:hAnsi="Arial" w:cs="Arial"/>
          <w:sz w:val="20"/>
          <w:szCs w:val="20"/>
        </w:rPr>
        <w:t>suppliers</w:t>
      </w:r>
      <w:r w:rsidR="00491BCC">
        <w:rPr>
          <w:rFonts w:ascii="Arial" w:hAnsi="Arial" w:cs="Arial"/>
          <w:sz w:val="20"/>
          <w:szCs w:val="20"/>
        </w:rPr>
        <w:t>)</w:t>
      </w:r>
      <w:r w:rsidRPr="002F190B">
        <w:rPr>
          <w:rFonts w:ascii="Arial" w:hAnsi="Arial" w:cs="Arial"/>
          <w:sz w:val="20"/>
          <w:szCs w:val="20"/>
        </w:rPr>
        <w:t xml:space="preserve"> of devices </w:t>
      </w:r>
      <w:r>
        <w:rPr>
          <w:rFonts w:ascii="Arial" w:hAnsi="Arial" w:cs="Arial"/>
          <w:sz w:val="20"/>
          <w:szCs w:val="20"/>
        </w:rPr>
        <w:t xml:space="preserve">that are </w:t>
      </w:r>
      <w:r w:rsidRPr="002F190B">
        <w:rPr>
          <w:rFonts w:ascii="Arial" w:hAnsi="Arial" w:cs="Arial"/>
          <w:sz w:val="20"/>
          <w:szCs w:val="20"/>
        </w:rPr>
        <w:t xml:space="preserve">capable of producing </w:t>
      </w:r>
      <w:r w:rsidR="00EC6421">
        <w:rPr>
          <w:rFonts w:ascii="Arial" w:hAnsi="Arial" w:cs="Arial"/>
          <w:sz w:val="20"/>
          <w:szCs w:val="20"/>
        </w:rPr>
        <w:t>EME</w:t>
      </w:r>
      <w:r w:rsidRPr="002F190B">
        <w:rPr>
          <w:rFonts w:ascii="Arial" w:hAnsi="Arial" w:cs="Arial"/>
          <w:sz w:val="20"/>
          <w:szCs w:val="20"/>
        </w:rPr>
        <w:t xml:space="preserve">, the regulatory arrangements </w:t>
      </w:r>
      <w:r w:rsidR="005650B0">
        <w:rPr>
          <w:rFonts w:ascii="Arial" w:hAnsi="Arial" w:cs="Arial"/>
          <w:sz w:val="20"/>
          <w:szCs w:val="20"/>
        </w:rPr>
        <w:t xml:space="preserve">are intended to </w:t>
      </w:r>
      <w:r w:rsidRPr="002F190B">
        <w:rPr>
          <w:rFonts w:ascii="Arial" w:hAnsi="Arial" w:cs="Arial"/>
          <w:sz w:val="20"/>
          <w:szCs w:val="20"/>
        </w:rPr>
        <w:t xml:space="preserve">protect the health and safety of people who operate, work on, use, or are likely to be affected by the operation of such devices. </w:t>
      </w:r>
    </w:p>
    <w:p w:rsidR="00572914" w:rsidRDefault="00572914" w:rsidP="00572914">
      <w:pPr>
        <w:spacing w:before="80" w:after="120" w:line="280" w:lineRule="atLeast"/>
        <w:jc w:val="both"/>
        <w:rPr>
          <w:rFonts w:ascii="Arial" w:hAnsi="Arial" w:cs="Arial"/>
          <w:sz w:val="20"/>
          <w:szCs w:val="20"/>
        </w:rPr>
      </w:pPr>
      <w:r>
        <w:rPr>
          <w:rFonts w:ascii="Arial" w:hAnsi="Arial" w:cs="Arial"/>
          <w:sz w:val="20"/>
          <w:szCs w:val="20"/>
        </w:rPr>
        <w:t>The</w:t>
      </w:r>
      <w:r w:rsidRPr="00993194">
        <w:rPr>
          <w:rFonts w:ascii="Arial" w:hAnsi="Arial" w:cs="Arial"/>
          <w:sz w:val="20"/>
          <w:szCs w:val="20"/>
        </w:rPr>
        <w:t xml:space="preserve"> </w:t>
      </w:r>
      <w:r w:rsidRPr="00652721">
        <w:rPr>
          <w:rFonts w:ascii="Arial" w:hAnsi="Arial" w:cs="Arial"/>
          <w:sz w:val="20"/>
          <w:szCs w:val="20"/>
        </w:rPr>
        <w:t xml:space="preserve">Instrument </w:t>
      </w:r>
      <w:r w:rsidRPr="008D77C0">
        <w:rPr>
          <w:rFonts w:ascii="Arial" w:hAnsi="Arial" w:cs="Arial"/>
          <w:sz w:val="20"/>
          <w:szCs w:val="20"/>
        </w:rPr>
        <w:t xml:space="preserve">specifies EME exposure limits for mobile and portable radiocommunications transmitters and the test method a supplier must follow to determine the specific absorption rate (SAR) </w:t>
      </w:r>
      <w:r w:rsidR="00172B4F">
        <w:rPr>
          <w:rFonts w:ascii="Arial" w:hAnsi="Arial" w:cs="Arial"/>
          <w:sz w:val="20"/>
          <w:szCs w:val="20"/>
        </w:rPr>
        <w:t xml:space="preserve">or radiofrequency (RF) fields associated with </w:t>
      </w:r>
      <w:r w:rsidRPr="008D77C0">
        <w:rPr>
          <w:rFonts w:ascii="Arial" w:hAnsi="Arial" w:cs="Arial"/>
          <w:sz w:val="20"/>
          <w:szCs w:val="20"/>
        </w:rPr>
        <w:t>a device.</w:t>
      </w:r>
      <w:r>
        <w:rPr>
          <w:rFonts w:ascii="Arial" w:hAnsi="Arial" w:cs="Arial"/>
          <w:sz w:val="20"/>
          <w:szCs w:val="20"/>
        </w:rPr>
        <w:t xml:space="preserve"> </w:t>
      </w:r>
      <w:r w:rsidRPr="008D77C0">
        <w:rPr>
          <w:rFonts w:ascii="Arial" w:hAnsi="Arial" w:cs="Arial"/>
          <w:sz w:val="20"/>
          <w:szCs w:val="20"/>
        </w:rPr>
        <w:t xml:space="preserve">The </w:t>
      </w:r>
      <w:r>
        <w:rPr>
          <w:rFonts w:ascii="Arial" w:hAnsi="Arial" w:cs="Arial"/>
          <w:sz w:val="20"/>
          <w:szCs w:val="20"/>
        </w:rPr>
        <w:t>Instrument</w:t>
      </w:r>
      <w:r w:rsidRPr="008D77C0">
        <w:rPr>
          <w:rFonts w:ascii="Arial" w:hAnsi="Arial" w:cs="Arial"/>
          <w:sz w:val="20"/>
          <w:szCs w:val="20"/>
        </w:rPr>
        <w:t xml:space="preserve"> adopts the EME exposure limits specified in the Australian Radiation Protection and Nuclear Safety Agency (ARPANSA) </w:t>
      </w:r>
      <w:r w:rsidRPr="00EC6421">
        <w:rPr>
          <w:rFonts w:ascii="Arial" w:hAnsi="Arial" w:cs="Arial"/>
          <w:i/>
          <w:sz w:val="20"/>
          <w:szCs w:val="20"/>
        </w:rPr>
        <w:t xml:space="preserve">Radiation Protection Standard for Maximum Exposure Levels to Radiofrequency Fields – 3 kHz to 300 GHz </w:t>
      </w:r>
      <w:r w:rsidRPr="008D77C0">
        <w:rPr>
          <w:rFonts w:ascii="Arial" w:hAnsi="Arial" w:cs="Arial"/>
          <w:sz w:val="20"/>
          <w:szCs w:val="20"/>
        </w:rPr>
        <w:t>(the ARPANSA Standard).</w:t>
      </w:r>
    </w:p>
    <w:p w:rsidR="008F6E59" w:rsidRDefault="00491BCC">
      <w:pPr>
        <w:spacing w:before="80" w:after="120" w:line="280" w:lineRule="atLeast"/>
        <w:jc w:val="both"/>
        <w:rPr>
          <w:rFonts w:ascii="Arial" w:hAnsi="Arial" w:cs="Arial"/>
          <w:sz w:val="20"/>
          <w:szCs w:val="20"/>
        </w:rPr>
      </w:pPr>
      <w:r>
        <w:rPr>
          <w:rFonts w:ascii="Arial" w:hAnsi="Arial" w:cs="Arial"/>
          <w:sz w:val="20"/>
          <w:szCs w:val="20"/>
        </w:rPr>
        <w:lastRenderedPageBreak/>
        <w:t>Unlike the 2003 Standard, t</w:t>
      </w:r>
      <w:r w:rsidR="00E651C9" w:rsidRPr="001B7898">
        <w:rPr>
          <w:rFonts w:ascii="Arial" w:hAnsi="Arial" w:cs="Arial"/>
          <w:sz w:val="20"/>
          <w:szCs w:val="20"/>
        </w:rPr>
        <w:t xml:space="preserve">he </w:t>
      </w:r>
      <w:r w:rsidR="000A2C68" w:rsidRPr="001B7898">
        <w:rPr>
          <w:rFonts w:ascii="Arial" w:hAnsi="Arial" w:cs="Arial"/>
          <w:sz w:val="20"/>
          <w:szCs w:val="20"/>
        </w:rPr>
        <w:t>Instrument</w:t>
      </w:r>
      <w:r w:rsidR="00E651C9" w:rsidRPr="001B7898">
        <w:rPr>
          <w:rFonts w:ascii="Arial" w:hAnsi="Arial" w:cs="Arial"/>
          <w:sz w:val="20"/>
          <w:szCs w:val="20"/>
        </w:rPr>
        <w:t xml:space="preserve"> </w:t>
      </w:r>
      <w:r w:rsidR="00377035" w:rsidRPr="001B7898">
        <w:rPr>
          <w:rFonts w:ascii="Arial" w:hAnsi="Arial" w:cs="Arial"/>
          <w:sz w:val="20"/>
          <w:szCs w:val="20"/>
        </w:rPr>
        <w:t xml:space="preserve">also </w:t>
      </w:r>
      <w:r w:rsidR="001B7898" w:rsidRPr="001B7898">
        <w:rPr>
          <w:rFonts w:ascii="Arial" w:hAnsi="Arial" w:cs="Arial"/>
          <w:sz w:val="20"/>
          <w:szCs w:val="20"/>
        </w:rPr>
        <w:t>incorporate</w:t>
      </w:r>
      <w:r w:rsidR="001B7898">
        <w:rPr>
          <w:rFonts w:ascii="Arial" w:hAnsi="Arial" w:cs="Arial"/>
          <w:sz w:val="20"/>
          <w:szCs w:val="20"/>
        </w:rPr>
        <w:t>s</w:t>
      </w:r>
      <w:r w:rsidR="001B7898" w:rsidRPr="001B7898">
        <w:rPr>
          <w:rFonts w:ascii="Arial" w:hAnsi="Arial" w:cs="Arial"/>
          <w:sz w:val="20"/>
          <w:szCs w:val="20"/>
        </w:rPr>
        <w:t xml:space="preserve"> test procedures for simultaneous multi-band transmission in devices used in close proximity to the ear</w:t>
      </w:r>
      <w:r w:rsidR="005C5F9C">
        <w:rPr>
          <w:rFonts w:ascii="Arial" w:hAnsi="Arial" w:cs="Arial"/>
          <w:sz w:val="20"/>
          <w:szCs w:val="20"/>
        </w:rPr>
        <w:t xml:space="preserve">. </w:t>
      </w:r>
      <w:r w:rsidR="008F3077" w:rsidRPr="008F3077">
        <w:rPr>
          <w:rFonts w:ascii="Arial" w:hAnsi="Arial" w:cs="Arial"/>
          <w:sz w:val="20"/>
          <w:szCs w:val="20"/>
        </w:rPr>
        <w:t>This ensures</w:t>
      </w:r>
      <w:r w:rsidR="001B7898" w:rsidRPr="001B7898">
        <w:rPr>
          <w:rFonts w:ascii="Arial" w:hAnsi="Arial" w:cs="Arial"/>
          <w:sz w:val="20"/>
          <w:szCs w:val="20"/>
        </w:rPr>
        <w:t xml:space="preserve"> the SAR measurement procedure reflects current best international practice and provides accurate information regarding exposure to EME from</w:t>
      </w:r>
      <w:bookmarkStart w:id="0" w:name="_GoBack"/>
      <w:bookmarkEnd w:id="0"/>
      <w:r w:rsidR="001B7898" w:rsidRPr="001B7898">
        <w:rPr>
          <w:rFonts w:ascii="Arial" w:hAnsi="Arial" w:cs="Arial"/>
          <w:sz w:val="20"/>
          <w:szCs w:val="20"/>
        </w:rPr>
        <w:t xml:space="preserve"> a mobile or wireless device under all possible transmission modes.</w:t>
      </w:r>
      <w:r>
        <w:rPr>
          <w:rFonts w:ascii="Arial" w:hAnsi="Arial" w:cs="Arial"/>
          <w:sz w:val="20"/>
          <w:szCs w:val="20"/>
        </w:rPr>
        <w:t xml:space="preserve">  This is the only notable change from the 2003 Standard.</w:t>
      </w:r>
    </w:p>
    <w:p w:rsidR="001B7898" w:rsidRPr="001B7898" w:rsidRDefault="001B7898" w:rsidP="001B7898">
      <w:pPr>
        <w:spacing w:before="80" w:after="120" w:line="280" w:lineRule="atLeast"/>
        <w:jc w:val="both"/>
        <w:rPr>
          <w:rFonts w:ascii="Arial" w:hAnsi="Arial" w:cs="Arial"/>
          <w:sz w:val="20"/>
          <w:szCs w:val="20"/>
        </w:rPr>
      </w:pPr>
      <w:r w:rsidRPr="001B7898">
        <w:rPr>
          <w:rFonts w:ascii="Arial" w:hAnsi="Arial" w:cs="Arial"/>
          <w:sz w:val="20"/>
          <w:szCs w:val="20"/>
        </w:rPr>
        <w:t xml:space="preserve">Current generation mobile and wireless products (such as smart phones) have the capacity to simultaneously transmit on two </w:t>
      </w:r>
      <w:r w:rsidR="00172B4F">
        <w:rPr>
          <w:rFonts w:ascii="Arial" w:hAnsi="Arial" w:cs="Arial"/>
          <w:sz w:val="20"/>
          <w:szCs w:val="20"/>
        </w:rPr>
        <w:t xml:space="preserve">or more </w:t>
      </w:r>
      <w:r w:rsidRPr="001B7898">
        <w:rPr>
          <w:rFonts w:ascii="Arial" w:hAnsi="Arial" w:cs="Arial"/>
          <w:sz w:val="20"/>
          <w:szCs w:val="20"/>
        </w:rPr>
        <w:t xml:space="preserve">different frequency bands (known as simultaneous multi-band transmission). There </w:t>
      </w:r>
      <w:r w:rsidR="00A47CE1">
        <w:rPr>
          <w:rFonts w:ascii="Arial" w:hAnsi="Arial" w:cs="Arial"/>
          <w:sz w:val="20"/>
          <w:szCs w:val="20"/>
        </w:rPr>
        <w:t>was</w:t>
      </w:r>
      <w:r w:rsidRPr="001B7898">
        <w:rPr>
          <w:rFonts w:ascii="Arial" w:hAnsi="Arial" w:cs="Arial"/>
          <w:sz w:val="20"/>
          <w:szCs w:val="20"/>
        </w:rPr>
        <w:t xml:space="preserve"> a disparity between this technical capability of mobile and wireless technologies and the SAR test procedures set out in the </w:t>
      </w:r>
      <w:r w:rsidR="00A47CE1">
        <w:rPr>
          <w:rFonts w:ascii="Arial" w:hAnsi="Arial" w:cs="Arial"/>
          <w:sz w:val="20"/>
          <w:szCs w:val="20"/>
        </w:rPr>
        <w:t>2003</w:t>
      </w:r>
      <w:r w:rsidRPr="001B7898">
        <w:rPr>
          <w:rFonts w:ascii="Arial" w:hAnsi="Arial" w:cs="Arial"/>
          <w:sz w:val="20"/>
          <w:szCs w:val="20"/>
        </w:rPr>
        <w:t xml:space="preserve"> Standard, as the test procedures for simultaneous multi-band transmission appl</w:t>
      </w:r>
      <w:r w:rsidR="00A47CE1">
        <w:rPr>
          <w:rFonts w:ascii="Arial" w:hAnsi="Arial" w:cs="Arial"/>
          <w:sz w:val="20"/>
          <w:szCs w:val="20"/>
        </w:rPr>
        <w:t>ied</w:t>
      </w:r>
      <w:r w:rsidRPr="001B7898">
        <w:rPr>
          <w:rFonts w:ascii="Arial" w:hAnsi="Arial" w:cs="Arial"/>
          <w:sz w:val="20"/>
          <w:szCs w:val="20"/>
        </w:rPr>
        <w:t xml:space="preserve"> </w:t>
      </w:r>
      <w:r w:rsidR="00A213B8">
        <w:rPr>
          <w:rFonts w:ascii="Arial" w:hAnsi="Arial" w:cs="Arial"/>
          <w:sz w:val="20"/>
          <w:szCs w:val="20"/>
        </w:rPr>
        <w:t xml:space="preserve">under the 2003 Standard </w:t>
      </w:r>
      <w:r w:rsidRPr="001B7898">
        <w:rPr>
          <w:rFonts w:ascii="Arial" w:hAnsi="Arial" w:cs="Arial"/>
          <w:sz w:val="20"/>
          <w:szCs w:val="20"/>
        </w:rPr>
        <w:t>to hand-held and body-worn devices only (excluding devices used in close proximity to the ear).</w:t>
      </w:r>
    </w:p>
    <w:p w:rsidR="001B7898" w:rsidRPr="001B7898" w:rsidRDefault="001B7898" w:rsidP="001B7898">
      <w:pPr>
        <w:spacing w:before="80" w:after="120" w:line="280" w:lineRule="atLeast"/>
        <w:jc w:val="both"/>
        <w:rPr>
          <w:rFonts w:ascii="Arial" w:hAnsi="Arial" w:cs="Arial"/>
          <w:sz w:val="20"/>
          <w:szCs w:val="20"/>
        </w:rPr>
      </w:pPr>
      <w:r w:rsidRPr="001B7898">
        <w:rPr>
          <w:rFonts w:ascii="Arial" w:hAnsi="Arial" w:cs="Arial"/>
          <w:sz w:val="20"/>
          <w:szCs w:val="20"/>
        </w:rPr>
        <w:t xml:space="preserve">The </w:t>
      </w:r>
      <w:r w:rsidR="00A47CE1">
        <w:rPr>
          <w:rFonts w:ascii="Arial" w:hAnsi="Arial" w:cs="Arial"/>
          <w:sz w:val="20"/>
          <w:szCs w:val="20"/>
        </w:rPr>
        <w:t>Instrument</w:t>
      </w:r>
      <w:r w:rsidRPr="001B7898">
        <w:rPr>
          <w:rFonts w:ascii="Arial" w:hAnsi="Arial" w:cs="Arial"/>
          <w:sz w:val="20"/>
          <w:szCs w:val="20"/>
        </w:rPr>
        <w:t xml:space="preserve"> references the following standards that provide an appropriate testing methodology for the device under test:</w:t>
      </w:r>
    </w:p>
    <w:p w:rsidR="001B7898" w:rsidRPr="00FE2F08" w:rsidRDefault="00AF723E" w:rsidP="00FE2F08">
      <w:pPr>
        <w:pStyle w:val="ListParagraph"/>
        <w:numPr>
          <w:ilvl w:val="0"/>
          <w:numId w:val="9"/>
        </w:numPr>
        <w:spacing w:before="80" w:after="120" w:line="280" w:lineRule="atLeast"/>
        <w:jc w:val="both"/>
        <w:rPr>
          <w:rFonts w:ascii="Arial" w:hAnsi="Arial" w:cs="Arial"/>
          <w:sz w:val="20"/>
          <w:szCs w:val="20"/>
        </w:rPr>
      </w:pPr>
      <w:r w:rsidRPr="00AF723E">
        <w:rPr>
          <w:rFonts w:ascii="Arial" w:hAnsi="Arial" w:cs="Arial"/>
          <w:i/>
          <w:sz w:val="20"/>
          <w:szCs w:val="20"/>
        </w:rPr>
        <w:t>IEC 62209-1 – Human exposure to radio frequency fields from hand-held and body-mounted wireless communication devices—Human models, instrumentation, and procedures—Part 1: Procedure to determine the specific absorption rate (SAR) for hand-held devices used in close proximity to the ear (frequency range of 300 MHz to 3 GHz)</w:t>
      </w:r>
      <w:r w:rsidR="005B5539">
        <w:rPr>
          <w:rFonts w:ascii="Arial" w:hAnsi="Arial" w:cs="Arial"/>
          <w:sz w:val="20"/>
          <w:szCs w:val="20"/>
        </w:rPr>
        <w:t xml:space="preserve"> (IEC 62209-1)</w:t>
      </w:r>
      <w:r w:rsidR="001B7898" w:rsidRPr="00FE2F08">
        <w:rPr>
          <w:rFonts w:ascii="Arial" w:hAnsi="Arial" w:cs="Arial"/>
          <w:sz w:val="20"/>
          <w:szCs w:val="20"/>
        </w:rPr>
        <w:t>.</w:t>
      </w:r>
    </w:p>
    <w:p w:rsidR="001B7898" w:rsidRDefault="00AF723E" w:rsidP="00FE2F08">
      <w:pPr>
        <w:pStyle w:val="ListParagraph"/>
        <w:numPr>
          <w:ilvl w:val="0"/>
          <w:numId w:val="9"/>
        </w:numPr>
        <w:spacing w:before="80" w:after="120" w:line="280" w:lineRule="atLeast"/>
        <w:jc w:val="both"/>
        <w:rPr>
          <w:rFonts w:ascii="Arial" w:hAnsi="Arial" w:cs="Arial"/>
          <w:sz w:val="20"/>
          <w:szCs w:val="20"/>
        </w:rPr>
      </w:pPr>
      <w:r w:rsidRPr="00AF723E">
        <w:rPr>
          <w:rFonts w:ascii="Arial" w:hAnsi="Arial" w:cs="Arial"/>
          <w:i/>
          <w:sz w:val="20"/>
          <w:szCs w:val="20"/>
        </w:rPr>
        <w:t>IEC 62209-2 – Human exposure to radio frequency fields from hand-held and body-mounted wireless communication devices—Human models, instrumentation, and procedures—Part 2: Procedure to determine the specific absorption rate (SAR) for wireless communication devices used in close proximity to the human body (frequency range of 30 MHz to 6 GHz)</w:t>
      </w:r>
      <w:r w:rsidR="005B5539">
        <w:rPr>
          <w:rFonts w:ascii="Arial" w:hAnsi="Arial" w:cs="Arial"/>
          <w:sz w:val="20"/>
          <w:szCs w:val="20"/>
        </w:rPr>
        <w:t xml:space="preserve"> (IEC 62209-2)</w:t>
      </w:r>
      <w:r w:rsidR="001B7898" w:rsidRPr="00FE2F08">
        <w:rPr>
          <w:rFonts w:ascii="Arial" w:hAnsi="Arial" w:cs="Arial"/>
          <w:sz w:val="20"/>
          <w:szCs w:val="20"/>
        </w:rPr>
        <w:t>.</w:t>
      </w:r>
    </w:p>
    <w:p w:rsidR="005650B0" w:rsidRDefault="00AF723E" w:rsidP="005650B0">
      <w:pPr>
        <w:pStyle w:val="ListParagraph"/>
        <w:numPr>
          <w:ilvl w:val="0"/>
          <w:numId w:val="9"/>
        </w:numPr>
        <w:spacing w:before="80" w:after="120" w:line="280" w:lineRule="atLeast"/>
        <w:jc w:val="both"/>
        <w:rPr>
          <w:rFonts w:ascii="Arial" w:hAnsi="Arial" w:cs="Arial"/>
          <w:sz w:val="20"/>
          <w:szCs w:val="20"/>
        </w:rPr>
      </w:pPr>
      <w:r w:rsidRPr="00AF723E">
        <w:rPr>
          <w:rFonts w:ascii="Arial" w:hAnsi="Arial" w:cs="Arial"/>
          <w:i/>
          <w:sz w:val="20"/>
          <w:szCs w:val="20"/>
        </w:rPr>
        <w:t>EN 62209-1 – 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w:t>
      </w:r>
      <w:r w:rsidR="005B5539">
        <w:rPr>
          <w:rFonts w:ascii="Arial" w:hAnsi="Arial" w:cs="Arial"/>
          <w:sz w:val="20"/>
          <w:szCs w:val="20"/>
        </w:rPr>
        <w:t xml:space="preserve"> (EN 62209-1)</w:t>
      </w:r>
      <w:r w:rsidR="005650B0">
        <w:rPr>
          <w:rFonts w:ascii="Arial" w:hAnsi="Arial" w:cs="Arial"/>
          <w:sz w:val="20"/>
          <w:szCs w:val="20"/>
        </w:rPr>
        <w:t>.</w:t>
      </w:r>
      <w:r w:rsidR="00E762A0">
        <w:rPr>
          <w:rFonts w:ascii="Arial" w:hAnsi="Arial" w:cs="Arial"/>
          <w:sz w:val="20"/>
          <w:szCs w:val="20"/>
        </w:rPr>
        <w:t xml:space="preserve"> EN 62209-1 is a European Union harmonised standard based on IEC 62209-1.</w:t>
      </w:r>
    </w:p>
    <w:p w:rsidR="005650B0" w:rsidRPr="00E762A0" w:rsidRDefault="00AF723E" w:rsidP="00E762A0">
      <w:pPr>
        <w:pStyle w:val="ListParagraph"/>
        <w:numPr>
          <w:ilvl w:val="0"/>
          <w:numId w:val="9"/>
        </w:numPr>
        <w:spacing w:before="80" w:after="120" w:line="280" w:lineRule="atLeast"/>
        <w:jc w:val="both"/>
        <w:rPr>
          <w:rFonts w:ascii="Arial" w:hAnsi="Arial" w:cs="Arial"/>
          <w:sz w:val="20"/>
          <w:szCs w:val="20"/>
        </w:rPr>
      </w:pPr>
      <w:r w:rsidRPr="00AF723E">
        <w:rPr>
          <w:rFonts w:ascii="Arial" w:hAnsi="Arial" w:cs="Arial"/>
          <w:i/>
          <w:sz w:val="20"/>
          <w:szCs w:val="20"/>
        </w:rPr>
        <w:t xml:space="preserve">EN 62209-2 </w:t>
      </w:r>
      <w:r w:rsidR="005B5539" w:rsidRPr="005B5539">
        <w:rPr>
          <w:rFonts w:ascii="Arial" w:hAnsi="Arial" w:cs="Arial"/>
          <w:i/>
          <w:sz w:val="20"/>
          <w:szCs w:val="20"/>
        </w:rPr>
        <w:t>–</w:t>
      </w:r>
      <w:r w:rsidRPr="00AF723E">
        <w:rPr>
          <w:rFonts w:ascii="Arial" w:hAnsi="Arial" w:cs="Arial"/>
          <w:i/>
          <w:sz w:val="20"/>
          <w:szCs w:val="20"/>
        </w:rPr>
        <w:t xml:space="preserve">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w:t>
      </w:r>
      <w:r w:rsidR="005B5539">
        <w:rPr>
          <w:rFonts w:ascii="Arial" w:hAnsi="Arial" w:cs="Arial"/>
          <w:sz w:val="20"/>
          <w:szCs w:val="20"/>
        </w:rPr>
        <w:t xml:space="preserve"> (EN 62209-2)</w:t>
      </w:r>
      <w:r w:rsidR="00E762A0">
        <w:rPr>
          <w:rFonts w:ascii="Arial" w:hAnsi="Arial" w:cs="Arial"/>
          <w:sz w:val="20"/>
          <w:szCs w:val="20"/>
        </w:rPr>
        <w:t>. EN 62209-2 is a European Union harmonised standard based on IEC 62209-2.</w:t>
      </w:r>
    </w:p>
    <w:p w:rsidR="001B7898" w:rsidRPr="001B7898" w:rsidRDefault="001B7898" w:rsidP="001B7898">
      <w:pPr>
        <w:spacing w:before="80" w:after="120" w:line="280" w:lineRule="atLeast"/>
        <w:jc w:val="both"/>
        <w:rPr>
          <w:rFonts w:ascii="Arial" w:hAnsi="Arial" w:cs="Arial"/>
          <w:sz w:val="20"/>
          <w:szCs w:val="20"/>
        </w:rPr>
      </w:pPr>
      <w:r w:rsidRPr="001B7898">
        <w:rPr>
          <w:rFonts w:ascii="Arial" w:hAnsi="Arial" w:cs="Arial"/>
          <w:sz w:val="20"/>
          <w:szCs w:val="20"/>
        </w:rPr>
        <w:t xml:space="preserve">IEC 62209-2 </w:t>
      </w:r>
      <w:r w:rsidR="00F667F3">
        <w:rPr>
          <w:rFonts w:ascii="Arial" w:hAnsi="Arial" w:cs="Arial"/>
          <w:sz w:val="20"/>
          <w:szCs w:val="20"/>
        </w:rPr>
        <w:t xml:space="preserve">and </w:t>
      </w:r>
      <w:r w:rsidR="00F667F3" w:rsidRPr="005650B0">
        <w:rPr>
          <w:rFonts w:ascii="Arial" w:hAnsi="Arial" w:cs="Arial"/>
          <w:sz w:val="20"/>
          <w:szCs w:val="20"/>
        </w:rPr>
        <w:t xml:space="preserve">EN 62209-2 </w:t>
      </w:r>
      <w:r w:rsidRPr="001B7898">
        <w:rPr>
          <w:rFonts w:ascii="Arial" w:hAnsi="Arial" w:cs="Arial"/>
          <w:sz w:val="20"/>
          <w:szCs w:val="20"/>
        </w:rPr>
        <w:t xml:space="preserve">include test procedures for simultaneous multi-band transmission. IEC 62209-1 </w:t>
      </w:r>
      <w:r w:rsidR="00F667F3">
        <w:rPr>
          <w:rFonts w:ascii="Arial" w:hAnsi="Arial" w:cs="Arial"/>
          <w:sz w:val="20"/>
          <w:szCs w:val="20"/>
        </w:rPr>
        <w:t xml:space="preserve">and </w:t>
      </w:r>
      <w:r w:rsidR="00F667F3" w:rsidRPr="005650B0">
        <w:rPr>
          <w:rFonts w:ascii="Arial" w:hAnsi="Arial" w:cs="Arial"/>
          <w:sz w:val="20"/>
          <w:szCs w:val="20"/>
        </w:rPr>
        <w:t xml:space="preserve">EN 62209-1 </w:t>
      </w:r>
      <w:r w:rsidRPr="001B7898">
        <w:rPr>
          <w:rFonts w:ascii="Arial" w:hAnsi="Arial" w:cs="Arial"/>
          <w:sz w:val="20"/>
          <w:szCs w:val="20"/>
        </w:rPr>
        <w:t>do not currently include these test procedures. That is, devices that are designed to be used in close proximity to the ear and that operate in multi-band transmission mode are not required to be tested in that mode, whereas body-worn devices that operate in multi-band transmission mode are required to be so tested.</w:t>
      </w:r>
    </w:p>
    <w:p w:rsidR="001B7898" w:rsidRPr="001B7898" w:rsidRDefault="001B7898" w:rsidP="001B7898">
      <w:pPr>
        <w:spacing w:before="80" w:after="120" w:line="280" w:lineRule="atLeast"/>
        <w:jc w:val="both"/>
        <w:rPr>
          <w:rFonts w:ascii="Arial" w:hAnsi="Arial" w:cs="Arial"/>
          <w:sz w:val="20"/>
          <w:szCs w:val="20"/>
        </w:rPr>
      </w:pPr>
      <w:r w:rsidRPr="001B7898">
        <w:rPr>
          <w:rFonts w:ascii="Arial" w:hAnsi="Arial" w:cs="Arial"/>
          <w:sz w:val="20"/>
          <w:szCs w:val="20"/>
        </w:rPr>
        <w:t xml:space="preserve">IEC 62209-1 </w:t>
      </w:r>
      <w:r w:rsidR="00E762A0">
        <w:rPr>
          <w:rFonts w:ascii="Arial" w:hAnsi="Arial" w:cs="Arial"/>
          <w:sz w:val="20"/>
          <w:szCs w:val="20"/>
        </w:rPr>
        <w:t>(and consequently EN 62209-1) is</w:t>
      </w:r>
      <w:r w:rsidR="00F667F3" w:rsidRPr="001B7898">
        <w:rPr>
          <w:rFonts w:ascii="Arial" w:hAnsi="Arial" w:cs="Arial"/>
          <w:sz w:val="20"/>
          <w:szCs w:val="20"/>
        </w:rPr>
        <w:t xml:space="preserve"> </w:t>
      </w:r>
      <w:r w:rsidRPr="001B7898">
        <w:rPr>
          <w:rFonts w:ascii="Arial" w:hAnsi="Arial" w:cs="Arial"/>
          <w:sz w:val="20"/>
          <w:szCs w:val="20"/>
        </w:rPr>
        <w:t xml:space="preserve">currently under revision and the amendments in consideration include test procedures for simultaneous multi-band transmission. The </w:t>
      </w:r>
      <w:r w:rsidR="00A47CE1">
        <w:rPr>
          <w:rFonts w:ascii="Arial" w:hAnsi="Arial" w:cs="Arial"/>
          <w:sz w:val="20"/>
          <w:szCs w:val="20"/>
        </w:rPr>
        <w:t>Instrument</w:t>
      </w:r>
      <w:r w:rsidRPr="001B7898">
        <w:rPr>
          <w:rFonts w:ascii="Arial" w:hAnsi="Arial" w:cs="Arial"/>
          <w:sz w:val="20"/>
          <w:szCs w:val="20"/>
        </w:rPr>
        <w:t xml:space="preserve"> references IEC 62209-1</w:t>
      </w:r>
      <w:r w:rsidR="00E762A0">
        <w:rPr>
          <w:rFonts w:ascii="Arial" w:hAnsi="Arial" w:cs="Arial"/>
          <w:sz w:val="20"/>
          <w:szCs w:val="20"/>
        </w:rPr>
        <w:t>,</w:t>
      </w:r>
      <w:r w:rsidRPr="001B7898">
        <w:rPr>
          <w:rFonts w:ascii="Arial" w:hAnsi="Arial" w:cs="Arial"/>
          <w:sz w:val="20"/>
          <w:szCs w:val="20"/>
        </w:rPr>
        <w:t xml:space="preserve"> IEC 62209-2</w:t>
      </w:r>
      <w:r w:rsidR="00E762A0">
        <w:rPr>
          <w:rFonts w:ascii="Arial" w:hAnsi="Arial" w:cs="Arial"/>
          <w:sz w:val="20"/>
          <w:szCs w:val="20"/>
        </w:rPr>
        <w:t>,</w:t>
      </w:r>
      <w:r w:rsidR="00F667F3">
        <w:rPr>
          <w:rFonts w:ascii="Arial" w:hAnsi="Arial" w:cs="Arial"/>
          <w:sz w:val="20"/>
          <w:szCs w:val="20"/>
        </w:rPr>
        <w:t xml:space="preserve"> EN 62209-1 and EN 62209-2,</w:t>
      </w:r>
      <w:r w:rsidRPr="001B7898">
        <w:rPr>
          <w:rFonts w:ascii="Arial" w:hAnsi="Arial" w:cs="Arial"/>
          <w:sz w:val="20"/>
          <w:szCs w:val="20"/>
        </w:rPr>
        <w:t xml:space="preserve"> without publication dates, to ensure that any revisions to the standards are immediately reflected in the ACMA arrangements.</w:t>
      </w:r>
    </w:p>
    <w:p w:rsidR="001B7898" w:rsidRPr="001B7898" w:rsidRDefault="001B7898" w:rsidP="001B7898">
      <w:pPr>
        <w:spacing w:before="80" w:after="120" w:line="280" w:lineRule="atLeast"/>
        <w:jc w:val="both"/>
        <w:rPr>
          <w:rFonts w:ascii="Arial" w:hAnsi="Arial" w:cs="Arial"/>
          <w:sz w:val="20"/>
          <w:szCs w:val="20"/>
        </w:rPr>
      </w:pPr>
      <w:r w:rsidRPr="001B7898">
        <w:rPr>
          <w:rFonts w:ascii="Arial" w:hAnsi="Arial" w:cs="Arial"/>
          <w:sz w:val="20"/>
          <w:szCs w:val="20"/>
        </w:rPr>
        <w:lastRenderedPageBreak/>
        <w:t xml:space="preserve">However, to provide certainty, as an interim measure requirements for simultaneous multi-band transmission testing of hand-held devices used in close proximity to the ear </w:t>
      </w:r>
      <w:r w:rsidR="00FE2F08">
        <w:rPr>
          <w:rFonts w:ascii="Arial" w:hAnsi="Arial" w:cs="Arial"/>
          <w:sz w:val="20"/>
          <w:szCs w:val="20"/>
        </w:rPr>
        <w:t>are</w:t>
      </w:r>
      <w:r w:rsidR="00A47CE1">
        <w:rPr>
          <w:rFonts w:ascii="Arial" w:hAnsi="Arial" w:cs="Arial"/>
          <w:sz w:val="20"/>
          <w:szCs w:val="20"/>
        </w:rPr>
        <w:t xml:space="preserve"> incorporated </w:t>
      </w:r>
      <w:r w:rsidR="00FE2F08">
        <w:rPr>
          <w:rFonts w:ascii="Arial" w:hAnsi="Arial" w:cs="Arial"/>
          <w:sz w:val="20"/>
          <w:szCs w:val="20"/>
        </w:rPr>
        <w:t>in</w:t>
      </w:r>
      <w:r w:rsidRPr="001B7898">
        <w:rPr>
          <w:rFonts w:ascii="Arial" w:hAnsi="Arial" w:cs="Arial"/>
          <w:sz w:val="20"/>
          <w:szCs w:val="20"/>
        </w:rPr>
        <w:t xml:space="preserve"> the </w:t>
      </w:r>
      <w:r w:rsidR="00A47CE1">
        <w:rPr>
          <w:rFonts w:ascii="Arial" w:hAnsi="Arial" w:cs="Arial"/>
          <w:sz w:val="20"/>
          <w:szCs w:val="20"/>
        </w:rPr>
        <w:t>Instrument</w:t>
      </w:r>
      <w:r w:rsidRPr="001B7898">
        <w:rPr>
          <w:rFonts w:ascii="Arial" w:hAnsi="Arial" w:cs="Arial"/>
          <w:sz w:val="20"/>
          <w:szCs w:val="20"/>
        </w:rPr>
        <w:t>.</w:t>
      </w:r>
    </w:p>
    <w:p w:rsidR="00FD4084" w:rsidRPr="00993194" w:rsidRDefault="00FD4084" w:rsidP="00993194">
      <w:pPr>
        <w:spacing w:before="80" w:after="120" w:line="280" w:lineRule="atLeast"/>
        <w:jc w:val="both"/>
        <w:rPr>
          <w:rFonts w:ascii="Arial" w:hAnsi="Arial" w:cs="Arial"/>
          <w:sz w:val="20"/>
          <w:szCs w:val="20"/>
        </w:rPr>
      </w:pPr>
      <w:bookmarkStart w:id="1" w:name="OLE_LINK8"/>
      <w:bookmarkStart w:id="2" w:name="OLE_LINK9"/>
      <w:r w:rsidRPr="00993194">
        <w:rPr>
          <w:rFonts w:ascii="Arial" w:hAnsi="Arial" w:cs="Arial"/>
          <w:b/>
          <w:sz w:val="20"/>
          <w:szCs w:val="20"/>
        </w:rPr>
        <w:t>Consultation</w:t>
      </w:r>
    </w:p>
    <w:p w:rsidR="00572914" w:rsidRPr="00CE7107" w:rsidRDefault="00572914" w:rsidP="00CE7107">
      <w:pPr>
        <w:spacing w:before="80" w:after="120" w:line="280" w:lineRule="atLeast"/>
        <w:jc w:val="both"/>
        <w:rPr>
          <w:rFonts w:ascii="Arial" w:hAnsi="Arial" w:cs="Arial"/>
          <w:sz w:val="20"/>
          <w:szCs w:val="20"/>
        </w:rPr>
      </w:pPr>
      <w:r w:rsidRPr="00E941D3">
        <w:rPr>
          <w:rFonts w:ascii="Arial" w:hAnsi="Arial" w:cs="Arial"/>
          <w:sz w:val="20"/>
          <w:szCs w:val="20"/>
        </w:rPr>
        <w:t xml:space="preserve">Subsection 163(1) of the Act requires that before the ACMA makes a standard the ACMA must, so far as is practicable, </w:t>
      </w:r>
      <w:r w:rsidR="00AB7143">
        <w:rPr>
          <w:rFonts w:ascii="Arial" w:hAnsi="Arial" w:cs="Arial"/>
          <w:sz w:val="20"/>
          <w:szCs w:val="20"/>
        </w:rPr>
        <w:t xml:space="preserve">try </w:t>
      </w:r>
      <w:r w:rsidRPr="00E941D3">
        <w:rPr>
          <w:rFonts w:ascii="Arial" w:hAnsi="Arial" w:cs="Arial"/>
          <w:sz w:val="20"/>
          <w:szCs w:val="20"/>
        </w:rPr>
        <w:t xml:space="preserve">to ensure that interested </w:t>
      </w:r>
      <w:r w:rsidR="00AB7143">
        <w:rPr>
          <w:rFonts w:ascii="Arial" w:hAnsi="Arial" w:cs="Arial"/>
          <w:sz w:val="20"/>
          <w:szCs w:val="20"/>
        </w:rPr>
        <w:t>per</w:t>
      </w:r>
      <w:r w:rsidR="003E69AE">
        <w:rPr>
          <w:rFonts w:ascii="Arial" w:hAnsi="Arial" w:cs="Arial"/>
          <w:sz w:val="20"/>
          <w:szCs w:val="20"/>
        </w:rPr>
        <w:t>s</w:t>
      </w:r>
      <w:r w:rsidR="00AB7143">
        <w:rPr>
          <w:rFonts w:ascii="Arial" w:hAnsi="Arial" w:cs="Arial"/>
          <w:sz w:val="20"/>
          <w:szCs w:val="20"/>
        </w:rPr>
        <w:t>ons</w:t>
      </w:r>
      <w:r w:rsidR="00AB7143" w:rsidRPr="00E941D3">
        <w:rPr>
          <w:rFonts w:ascii="Arial" w:hAnsi="Arial" w:cs="Arial"/>
          <w:sz w:val="20"/>
          <w:szCs w:val="20"/>
        </w:rPr>
        <w:t xml:space="preserve"> </w:t>
      </w:r>
      <w:r w:rsidRPr="00E941D3">
        <w:rPr>
          <w:rFonts w:ascii="Arial" w:hAnsi="Arial" w:cs="Arial"/>
          <w:sz w:val="20"/>
          <w:szCs w:val="20"/>
        </w:rPr>
        <w:t xml:space="preserve">have had an adequate opportunity to comment on the proposed standard and that due consideration has been given to any comments made. </w:t>
      </w:r>
    </w:p>
    <w:p w:rsidR="00572914" w:rsidRPr="00CE7107" w:rsidRDefault="00572914" w:rsidP="00CE7107">
      <w:pPr>
        <w:spacing w:before="80" w:after="120" w:line="280" w:lineRule="atLeast"/>
        <w:jc w:val="both"/>
        <w:rPr>
          <w:rFonts w:ascii="Arial" w:hAnsi="Arial" w:cs="Arial"/>
          <w:sz w:val="20"/>
          <w:szCs w:val="20"/>
        </w:rPr>
      </w:pPr>
      <w:r w:rsidRPr="00CE7107">
        <w:rPr>
          <w:rFonts w:ascii="Arial" w:hAnsi="Arial" w:cs="Arial"/>
          <w:sz w:val="20"/>
          <w:szCs w:val="20"/>
        </w:rPr>
        <w:t xml:space="preserve">Subsection 17(1) of the LIA requires that, before the ACMA makes a legislative instrument, it must be satisfied that any consultation that the ACMA considers is appropriate and reasonably practicable to undertake, has been undertaken. </w:t>
      </w:r>
    </w:p>
    <w:p w:rsidR="004E65B1" w:rsidRPr="000C5ABC" w:rsidRDefault="00572914" w:rsidP="00993194">
      <w:pPr>
        <w:spacing w:before="80" w:after="120" w:line="280" w:lineRule="atLeast"/>
        <w:jc w:val="both"/>
        <w:rPr>
          <w:rFonts w:ascii="Arial" w:hAnsi="Arial" w:cs="Arial"/>
          <w:sz w:val="20"/>
          <w:szCs w:val="20"/>
          <w:highlight w:val="yellow"/>
        </w:rPr>
      </w:pPr>
      <w:r>
        <w:rPr>
          <w:rFonts w:ascii="Arial" w:hAnsi="Arial" w:cs="Arial"/>
          <w:sz w:val="20"/>
          <w:szCs w:val="20"/>
        </w:rPr>
        <w:t>Between 20 March and 2 May 2014, t</w:t>
      </w:r>
      <w:r w:rsidR="007D4F64" w:rsidRPr="00F64A16">
        <w:rPr>
          <w:rFonts w:ascii="Arial" w:hAnsi="Arial" w:cs="Arial"/>
          <w:sz w:val="20"/>
          <w:szCs w:val="20"/>
        </w:rPr>
        <w:t xml:space="preserve">he ACMA conducted </w:t>
      </w:r>
      <w:r w:rsidR="000C5ABC">
        <w:rPr>
          <w:rFonts w:ascii="Arial" w:hAnsi="Arial" w:cs="Arial"/>
          <w:sz w:val="20"/>
          <w:szCs w:val="20"/>
        </w:rPr>
        <w:t>a</w:t>
      </w:r>
      <w:r w:rsidR="007D4F64" w:rsidRPr="00F64A16">
        <w:rPr>
          <w:rFonts w:ascii="Arial" w:hAnsi="Arial" w:cs="Arial"/>
          <w:sz w:val="20"/>
          <w:szCs w:val="20"/>
        </w:rPr>
        <w:t xml:space="preserve"> public consultation </w:t>
      </w:r>
      <w:r>
        <w:rPr>
          <w:rFonts w:ascii="Arial" w:hAnsi="Arial" w:cs="Arial"/>
          <w:sz w:val="20"/>
          <w:szCs w:val="20"/>
        </w:rPr>
        <w:t xml:space="preserve">process </w:t>
      </w:r>
      <w:r w:rsidR="00A7075A">
        <w:rPr>
          <w:rFonts w:ascii="Arial" w:hAnsi="Arial" w:cs="Arial"/>
          <w:sz w:val="20"/>
          <w:szCs w:val="20"/>
        </w:rPr>
        <w:t xml:space="preserve">and made </w:t>
      </w:r>
      <w:r w:rsidR="00AB7143">
        <w:rPr>
          <w:rFonts w:ascii="Arial" w:hAnsi="Arial" w:cs="Arial"/>
          <w:sz w:val="20"/>
          <w:szCs w:val="20"/>
        </w:rPr>
        <w:t xml:space="preserve">a draft of </w:t>
      </w:r>
      <w:r w:rsidR="00A7075A">
        <w:rPr>
          <w:rFonts w:ascii="Arial" w:hAnsi="Arial" w:cs="Arial"/>
          <w:sz w:val="20"/>
          <w:szCs w:val="20"/>
        </w:rPr>
        <w:t xml:space="preserve">the </w:t>
      </w:r>
      <w:r w:rsidR="00AB7143">
        <w:rPr>
          <w:rFonts w:ascii="Arial" w:hAnsi="Arial" w:cs="Arial"/>
          <w:sz w:val="20"/>
          <w:szCs w:val="20"/>
        </w:rPr>
        <w:t>I</w:t>
      </w:r>
      <w:r w:rsidR="00A7075A">
        <w:rPr>
          <w:rFonts w:ascii="Arial" w:hAnsi="Arial" w:cs="Arial"/>
          <w:sz w:val="20"/>
          <w:szCs w:val="20"/>
        </w:rPr>
        <w:t xml:space="preserve">nstrument available on the ACMA website. </w:t>
      </w:r>
      <w:r w:rsidR="00A7075A" w:rsidRPr="00A7075A">
        <w:rPr>
          <w:rFonts w:ascii="Arial" w:hAnsi="Arial" w:cs="Arial"/>
          <w:sz w:val="20"/>
          <w:szCs w:val="20"/>
        </w:rPr>
        <w:t xml:space="preserve">A consultation paper was also published on the ACMA website </w:t>
      </w:r>
      <w:r w:rsidR="00A213B8">
        <w:rPr>
          <w:rFonts w:ascii="Arial" w:hAnsi="Arial" w:cs="Arial"/>
          <w:sz w:val="20"/>
          <w:szCs w:val="20"/>
        </w:rPr>
        <w:t xml:space="preserve">explaining </w:t>
      </w:r>
      <w:r w:rsidR="00A7075A" w:rsidRPr="00A7075A">
        <w:rPr>
          <w:rFonts w:ascii="Arial" w:hAnsi="Arial" w:cs="Arial"/>
          <w:sz w:val="20"/>
          <w:szCs w:val="20"/>
        </w:rPr>
        <w:t xml:space="preserve">the sunsetting process and the ACMA’s preliminary view that the existing arrangements should be </w:t>
      </w:r>
      <w:r w:rsidR="00AB7143">
        <w:rPr>
          <w:rFonts w:ascii="Arial" w:hAnsi="Arial" w:cs="Arial"/>
          <w:sz w:val="20"/>
          <w:szCs w:val="20"/>
        </w:rPr>
        <w:t>continued</w:t>
      </w:r>
      <w:r w:rsidR="00A7075A" w:rsidRPr="00A7075A">
        <w:rPr>
          <w:rFonts w:ascii="Arial" w:hAnsi="Arial" w:cs="Arial"/>
          <w:sz w:val="20"/>
          <w:szCs w:val="20"/>
        </w:rPr>
        <w:t xml:space="preserve"> and be remade without any significant changes</w:t>
      </w:r>
      <w:r w:rsidR="00AB7143">
        <w:rPr>
          <w:rFonts w:ascii="Arial" w:hAnsi="Arial" w:cs="Arial"/>
          <w:sz w:val="20"/>
          <w:szCs w:val="20"/>
        </w:rPr>
        <w:t xml:space="preserve"> (except as to simultaneous multi-band transmission testing)</w:t>
      </w:r>
      <w:r w:rsidR="00A7075A" w:rsidRPr="00A7075A">
        <w:rPr>
          <w:rFonts w:ascii="Arial" w:hAnsi="Arial" w:cs="Arial"/>
          <w:sz w:val="20"/>
          <w:szCs w:val="20"/>
        </w:rPr>
        <w:t>. Interested parties were notified of the release of the consultation paper and invited to comment.</w:t>
      </w:r>
    </w:p>
    <w:p w:rsidR="005F6A84" w:rsidRPr="004E65B1" w:rsidRDefault="00FD4084" w:rsidP="005F6A84">
      <w:pPr>
        <w:spacing w:before="80" w:after="120" w:line="280" w:lineRule="atLeast"/>
        <w:jc w:val="both"/>
        <w:rPr>
          <w:rFonts w:ascii="Arial" w:hAnsi="Arial" w:cs="Arial"/>
          <w:color w:val="FF0000"/>
          <w:sz w:val="20"/>
          <w:szCs w:val="20"/>
        </w:rPr>
      </w:pPr>
      <w:r w:rsidRPr="00442B45">
        <w:rPr>
          <w:rFonts w:ascii="Arial" w:hAnsi="Arial" w:cs="Arial"/>
          <w:sz w:val="20"/>
          <w:szCs w:val="20"/>
        </w:rPr>
        <w:t xml:space="preserve">The ACMA received </w:t>
      </w:r>
      <w:r w:rsidR="00F453E6" w:rsidRPr="00F667F3">
        <w:rPr>
          <w:rFonts w:ascii="Arial" w:hAnsi="Arial" w:cs="Arial"/>
          <w:sz w:val="20"/>
          <w:szCs w:val="20"/>
        </w:rPr>
        <w:t>2</w:t>
      </w:r>
      <w:r w:rsidR="00196B7F" w:rsidRPr="00F667F3">
        <w:rPr>
          <w:rFonts w:ascii="Arial" w:hAnsi="Arial" w:cs="Arial"/>
          <w:sz w:val="20"/>
          <w:szCs w:val="20"/>
        </w:rPr>
        <w:t>2</w:t>
      </w:r>
      <w:r w:rsidRPr="00F667F3">
        <w:rPr>
          <w:rFonts w:ascii="Arial" w:hAnsi="Arial" w:cs="Arial"/>
          <w:sz w:val="20"/>
          <w:szCs w:val="20"/>
        </w:rPr>
        <w:t xml:space="preserve"> </w:t>
      </w:r>
      <w:r w:rsidR="002916C7">
        <w:rPr>
          <w:rFonts w:ascii="Arial" w:hAnsi="Arial" w:cs="Arial"/>
          <w:sz w:val="20"/>
          <w:szCs w:val="20"/>
        </w:rPr>
        <w:t>submissions</w:t>
      </w:r>
      <w:r w:rsidR="002916C7" w:rsidRPr="00442B45">
        <w:rPr>
          <w:rFonts w:ascii="Arial" w:hAnsi="Arial" w:cs="Arial"/>
          <w:sz w:val="20"/>
          <w:szCs w:val="20"/>
        </w:rPr>
        <w:t xml:space="preserve"> </w:t>
      </w:r>
      <w:r w:rsidR="007D4F64" w:rsidRPr="00442B45">
        <w:rPr>
          <w:rFonts w:ascii="Arial" w:hAnsi="Arial" w:cs="Arial"/>
          <w:sz w:val="20"/>
          <w:szCs w:val="20"/>
        </w:rPr>
        <w:t xml:space="preserve">in response to the consultation paper and </w:t>
      </w:r>
      <w:r w:rsidR="002916C7">
        <w:rPr>
          <w:rFonts w:ascii="Arial" w:hAnsi="Arial" w:cs="Arial"/>
          <w:sz w:val="20"/>
          <w:szCs w:val="20"/>
        </w:rPr>
        <w:t xml:space="preserve">these </w:t>
      </w:r>
      <w:r w:rsidR="00A7075A" w:rsidRPr="00A7075A">
        <w:rPr>
          <w:rFonts w:ascii="Arial" w:hAnsi="Arial" w:cs="Arial"/>
          <w:sz w:val="20"/>
          <w:szCs w:val="20"/>
        </w:rPr>
        <w:t>were considered when making the Instrument.</w:t>
      </w:r>
      <w:r w:rsidR="007D4F64" w:rsidRPr="00442B45">
        <w:rPr>
          <w:rFonts w:ascii="Arial" w:hAnsi="Arial" w:cs="Arial"/>
          <w:color w:val="FF0000"/>
          <w:sz w:val="20"/>
          <w:szCs w:val="20"/>
        </w:rPr>
        <w:t xml:space="preserve"> </w:t>
      </w:r>
    </w:p>
    <w:p w:rsidR="00FD4084" w:rsidRPr="00993194" w:rsidRDefault="00FD4084" w:rsidP="00993194">
      <w:pPr>
        <w:spacing w:before="80" w:after="120" w:line="280" w:lineRule="atLeast"/>
        <w:jc w:val="both"/>
        <w:rPr>
          <w:rFonts w:ascii="Arial" w:hAnsi="Arial" w:cs="Arial"/>
          <w:b/>
          <w:sz w:val="20"/>
          <w:szCs w:val="20"/>
        </w:rPr>
      </w:pPr>
      <w:r w:rsidRPr="00993194">
        <w:rPr>
          <w:rFonts w:ascii="Arial" w:hAnsi="Arial" w:cs="Arial"/>
          <w:b/>
          <w:sz w:val="20"/>
          <w:szCs w:val="20"/>
        </w:rPr>
        <w:t>Regulation impact</w:t>
      </w:r>
    </w:p>
    <w:p w:rsidR="006C6500" w:rsidRDefault="00A7075A" w:rsidP="00993194">
      <w:pPr>
        <w:spacing w:before="80" w:after="120" w:line="280" w:lineRule="atLeast"/>
        <w:jc w:val="both"/>
        <w:rPr>
          <w:rFonts w:ascii="Arial" w:hAnsi="Arial" w:cs="Arial"/>
          <w:sz w:val="20"/>
          <w:szCs w:val="20"/>
        </w:rPr>
      </w:pPr>
      <w:r w:rsidRPr="00A7075A">
        <w:rPr>
          <w:rFonts w:ascii="Arial" w:hAnsi="Arial" w:cs="Arial"/>
          <w:sz w:val="20"/>
          <w:szCs w:val="20"/>
        </w:rPr>
        <w:t xml:space="preserve">The Office of Best Practice Regulation (OBPR) has considered the matter and formed the opinion that making the Instrument is minor or machinery in nature.  Accordingly, OBPR advised that no further analysis (in the form of a Regulation Impact Statement) was required.  </w:t>
      </w:r>
      <w:r w:rsidR="006C6500" w:rsidRPr="00D7586E">
        <w:rPr>
          <w:rFonts w:ascii="Arial" w:hAnsi="Arial" w:cs="Arial"/>
          <w:sz w:val="20"/>
          <w:szCs w:val="20"/>
        </w:rPr>
        <w:t xml:space="preserve">The </w:t>
      </w:r>
      <w:r w:rsidR="00D7586E">
        <w:rPr>
          <w:rFonts w:ascii="Arial" w:hAnsi="Arial" w:cs="Arial"/>
          <w:sz w:val="20"/>
          <w:szCs w:val="20"/>
        </w:rPr>
        <w:t xml:space="preserve">OBPR </w:t>
      </w:r>
      <w:r w:rsidR="004B4201">
        <w:rPr>
          <w:rFonts w:ascii="Arial" w:hAnsi="Arial" w:cs="Arial"/>
          <w:sz w:val="20"/>
          <w:szCs w:val="20"/>
        </w:rPr>
        <w:t>exemption</w:t>
      </w:r>
      <w:r w:rsidR="006C6500" w:rsidRPr="00D7586E">
        <w:rPr>
          <w:rFonts w:ascii="Arial" w:hAnsi="Arial" w:cs="Arial"/>
          <w:sz w:val="20"/>
          <w:szCs w:val="20"/>
        </w:rPr>
        <w:t xml:space="preserve"> number is </w:t>
      </w:r>
      <w:r w:rsidR="00D7586E" w:rsidRPr="00D7586E">
        <w:rPr>
          <w:rFonts w:ascii="Arial" w:hAnsi="Arial" w:cs="Arial"/>
          <w:sz w:val="20"/>
          <w:szCs w:val="20"/>
        </w:rPr>
        <w:t>16157</w:t>
      </w:r>
      <w:r w:rsidR="006C6500" w:rsidRPr="00D7586E">
        <w:rPr>
          <w:rFonts w:ascii="Arial" w:hAnsi="Arial" w:cs="Arial"/>
          <w:sz w:val="20"/>
          <w:szCs w:val="20"/>
        </w:rPr>
        <w:t>.</w:t>
      </w:r>
    </w:p>
    <w:p w:rsidR="007D4F64" w:rsidRPr="00E230F2" w:rsidRDefault="007D4F64" w:rsidP="007D4F64">
      <w:pPr>
        <w:pStyle w:val="ACMAHeading3"/>
        <w:rPr>
          <w:rFonts w:cs="Arial"/>
          <w:sz w:val="20"/>
        </w:rPr>
      </w:pPr>
      <w:r w:rsidRPr="00E230F2">
        <w:rPr>
          <w:rFonts w:cs="Arial"/>
          <w:sz w:val="20"/>
        </w:rPr>
        <w:t xml:space="preserve">Detailed </w:t>
      </w:r>
      <w:r w:rsidR="007F19E8">
        <w:rPr>
          <w:rFonts w:cs="Arial"/>
          <w:sz w:val="20"/>
        </w:rPr>
        <w:t>d</w:t>
      </w:r>
      <w:r w:rsidRPr="00E230F2">
        <w:rPr>
          <w:rFonts w:cs="Arial"/>
          <w:sz w:val="20"/>
        </w:rPr>
        <w:t>escription of the Instrument</w:t>
      </w:r>
    </w:p>
    <w:p w:rsidR="007D4F64" w:rsidRDefault="00DF1FBB" w:rsidP="007D4F64">
      <w:pPr>
        <w:pStyle w:val="ACMABodyText"/>
        <w:rPr>
          <w:rFonts w:ascii="Arial" w:hAnsi="Arial" w:cs="Arial"/>
          <w:sz w:val="20"/>
          <w:lang w:val="en-US"/>
        </w:rPr>
      </w:pPr>
      <w:r w:rsidRPr="00DF1FBB">
        <w:rPr>
          <w:rFonts w:ascii="Arial" w:hAnsi="Arial" w:cs="Arial"/>
          <w:sz w:val="20"/>
          <w:lang w:val="en-US"/>
        </w:rPr>
        <w:t>Details of the instrument are in Attachment A.</w:t>
      </w:r>
    </w:p>
    <w:p w:rsidR="004B4201" w:rsidRPr="004B4201" w:rsidRDefault="004B4201" w:rsidP="004B4201">
      <w:pPr>
        <w:pStyle w:val="ACMAHeading3"/>
        <w:rPr>
          <w:rFonts w:cs="Arial"/>
          <w:sz w:val="20"/>
        </w:rPr>
      </w:pPr>
      <w:r w:rsidRPr="004B4201">
        <w:rPr>
          <w:rFonts w:cs="Arial"/>
          <w:sz w:val="20"/>
        </w:rPr>
        <w:t xml:space="preserve">Documents Incorporated in this Instrument by Reference </w:t>
      </w:r>
    </w:p>
    <w:p w:rsidR="004B4201" w:rsidRDefault="00DF1FBB" w:rsidP="00A56AE9">
      <w:pPr>
        <w:pStyle w:val="ACMABodyText"/>
        <w:jc w:val="both"/>
        <w:rPr>
          <w:rFonts w:ascii="Arial" w:hAnsi="Arial" w:cs="Arial"/>
          <w:sz w:val="20"/>
          <w:lang w:val="en-US"/>
        </w:rPr>
      </w:pPr>
      <w:r w:rsidRPr="00DF1FBB">
        <w:rPr>
          <w:rFonts w:ascii="Arial" w:hAnsi="Arial" w:cs="Arial"/>
          <w:sz w:val="20"/>
          <w:lang w:val="en-US"/>
        </w:rPr>
        <w:t xml:space="preserve">The </w:t>
      </w:r>
      <w:r>
        <w:rPr>
          <w:rFonts w:ascii="Arial" w:hAnsi="Arial" w:cs="Arial"/>
          <w:sz w:val="20"/>
          <w:lang w:val="en-US"/>
        </w:rPr>
        <w:t>Instrument</w:t>
      </w:r>
      <w:r w:rsidRPr="00DF1FBB">
        <w:rPr>
          <w:rFonts w:ascii="Arial" w:hAnsi="Arial" w:cs="Arial"/>
          <w:sz w:val="20"/>
          <w:lang w:val="en-US"/>
        </w:rPr>
        <w:t xml:space="preserve"> incorporates the following documents by reference, or otherwise refers to them</w:t>
      </w:r>
      <w:r w:rsidR="004B4201" w:rsidRPr="004B4201">
        <w:rPr>
          <w:rFonts w:ascii="Arial" w:hAnsi="Arial" w:cs="Arial"/>
          <w:sz w:val="20"/>
          <w:lang w:val="en-US"/>
        </w:rPr>
        <w:t>:</w:t>
      </w:r>
    </w:p>
    <w:p w:rsidR="00DA2CDE" w:rsidRDefault="00DA2CDE" w:rsidP="00DA2CDE">
      <w:pPr>
        <w:pStyle w:val="ListParagraph"/>
        <w:numPr>
          <w:ilvl w:val="0"/>
          <w:numId w:val="9"/>
        </w:numPr>
        <w:spacing w:before="80" w:after="120" w:line="280" w:lineRule="atLeast"/>
        <w:jc w:val="both"/>
        <w:rPr>
          <w:rFonts w:ascii="Arial" w:hAnsi="Arial" w:cs="Arial"/>
          <w:i/>
          <w:sz w:val="20"/>
          <w:lang w:val="en-US"/>
        </w:rPr>
      </w:pPr>
      <w:r w:rsidRPr="00DA2CDE">
        <w:rPr>
          <w:rFonts w:ascii="Arial" w:hAnsi="Arial" w:cs="Arial"/>
          <w:i/>
          <w:sz w:val="20"/>
          <w:lang w:val="en-US"/>
        </w:rPr>
        <w:t>Radiocommunications Act 1992</w:t>
      </w:r>
    </w:p>
    <w:p w:rsidR="00855929" w:rsidRDefault="00855929" w:rsidP="00DA2CDE">
      <w:pPr>
        <w:pStyle w:val="ListParagraph"/>
        <w:numPr>
          <w:ilvl w:val="0"/>
          <w:numId w:val="9"/>
        </w:numPr>
        <w:spacing w:before="80" w:after="120" w:line="280" w:lineRule="atLeast"/>
        <w:jc w:val="both"/>
        <w:rPr>
          <w:rFonts w:ascii="Arial" w:hAnsi="Arial" w:cs="Arial"/>
          <w:i/>
          <w:sz w:val="20"/>
          <w:lang w:val="en-US"/>
        </w:rPr>
      </w:pPr>
      <w:r w:rsidRPr="00855929">
        <w:rPr>
          <w:rFonts w:ascii="Arial" w:hAnsi="Arial" w:cs="Arial"/>
          <w:i/>
          <w:sz w:val="20"/>
          <w:lang w:val="en-US"/>
        </w:rPr>
        <w:t>Legislative Instruments Act 2003</w:t>
      </w:r>
    </w:p>
    <w:p w:rsidR="00DA2CDE" w:rsidRPr="00DA2CDE" w:rsidRDefault="00DA2CDE" w:rsidP="00DA2CDE">
      <w:pPr>
        <w:pStyle w:val="ListParagraph"/>
        <w:numPr>
          <w:ilvl w:val="0"/>
          <w:numId w:val="9"/>
        </w:numPr>
        <w:spacing w:before="80" w:after="120" w:line="280" w:lineRule="atLeast"/>
        <w:jc w:val="both"/>
        <w:rPr>
          <w:rFonts w:ascii="Arial" w:hAnsi="Arial" w:cs="Arial"/>
          <w:i/>
          <w:sz w:val="20"/>
          <w:lang w:val="en-US"/>
        </w:rPr>
      </w:pPr>
      <w:r w:rsidRPr="00DA2CDE">
        <w:rPr>
          <w:rFonts w:ascii="Arial" w:hAnsi="Arial" w:cs="Arial"/>
          <w:i/>
          <w:sz w:val="20"/>
          <w:lang w:val="en-US"/>
        </w:rPr>
        <w:t>Radiocommunicat</w:t>
      </w:r>
      <w:r>
        <w:rPr>
          <w:rFonts w:ascii="Arial" w:hAnsi="Arial" w:cs="Arial"/>
          <w:i/>
          <w:sz w:val="20"/>
          <w:lang w:val="en-US"/>
        </w:rPr>
        <w:t xml:space="preserve">ions (Electromagnetic Radiation - </w:t>
      </w:r>
      <w:r w:rsidRPr="00DA2CDE">
        <w:rPr>
          <w:rFonts w:ascii="Arial" w:hAnsi="Arial" w:cs="Arial"/>
          <w:i/>
          <w:sz w:val="20"/>
          <w:lang w:val="en-US"/>
        </w:rPr>
        <w:t>Human Exposure) Standard 2003</w:t>
      </w:r>
    </w:p>
    <w:p w:rsidR="00DF1FBB" w:rsidRDefault="00855929" w:rsidP="00DA2CDE">
      <w:pPr>
        <w:pStyle w:val="ListParagraph"/>
        <w:numPr>
          <w:ilvl w:val="0"/>
          <w:numId w:val="9"/>
        </w:numPr>
        <w:spacing w:before="80" w:after="120" w:line="280" w:lineRule="atLeast"/>
        <w:jc w:val="both"/>
        <w:rPr>
          <w:rFonts w:ascii="Arial" w:hAnsi="Arial" w:cs="Arial"/>
          <w:i/>
          <w:sz w:val="20"/>
          <w:lang w:val="en-US"/>
        </w:rPr>
      </w:pPr>
      <w:r>
        <w:rPr>
          <w:rFonts w:ascii="Arial" w:hAnsi="Arial" w:cs="Arial"/>
          <w:i/>
          <w:sz w:val="20"/>
          <w:lang w:val="en-US"/>
        </w:rPr>
        <w:t>the ARPANSA Standard</w:t>
      </w:r>
    </w:p>
    <w:p w:rsidR="00DA2CDE" w:rsidRDefault="00DA2CDE" w:rsidP="00DA2CDE">
      <w:pPr>
        <w:pStyle w:val="ListParagraph"/>
        <w:numPr>
          <w:ilvl w:val="0"/>
          <w:numId w:val="9"/>
        </w:numPr>
        <w:spacing w:before="80" w:after="120" w:line="280" w:lineRule="atLeast"/>
        <w:jc w:val="both"/>
        <w:rPr>
          <w:rFonts w:ascii="Arial" w:hAnsi="Arial" w:cs="Arial"/>
          <w:i/>
          <w:sz w:val="20"/>
          <w:lang w:val="en-US"/>
        </w:rPr>
      </w:pPr>
      <w:r>
        <w:rPr>
          <w:rFonts w:ascii="Arial" w:hAnsi="Arial" w:cs="Arial"/>
          <w:i/>
          <w:sz w:val="20"/>
          <w:lang w:val="en-US"/>
        </w:rPr>
        <w:t xml:space="preserve">AS/NZS 2772.2 </w:t>
      </w:r>
      <w:r w:rsidRPr="00DA2CDE">
        <w:rPr>
          <w:rFonts w:ascii="Arial" w:hAnsi="Arial" w:cs="Arial"/>
          <w:i/>
          <w:sz w:val="20"/>
          <w:lang w:val="en-US"/>
        </w:rPr>
        <w:t>Radiofrequency fields Part 2: Principles and methods of measurement and computation – 3 kHz to 300 GHz</w:t>
      </w:r>
    </w:p>
    <w:p w:rsidR="00DA2CDE" w:rsidRDefault="00DA2CDE" w:rsidP="00DA2CDE">
      <w:pPr>
        <w:pStyle w:val="ListParagraph"/>
        <w:numPr>
          <w:ilvl w:val="0"/>
          <w:numId w:val="9"/>
        </w:numPr>
        <w:spacing w:before="80" w:after="120" w:line="280" w:lineRule="atLeast"/>
        <w:jc w:val="both"/>
        <w:rPr>
          <w:rFonts w:ascii="Arial" w:hAnsi="Arial" w:cs="Arial"/>
          <w:i/>
          <w:sz w:val="20"/>
          <w:lang w:val="en-US"/>
        </w:rPr>
      </w:pPr>
      <w:r>
        <w:rPr>
          <w:rFonts w:ascii="Arial" w:hAnsi="Arial" w:cs="Arial"/>
          <w:i/>
          <w:sz w:val="20"/>
          <w:lang w:val="en-US"/>
        </w:rPr>
        <w:t xml:space="preserve">EN 62209-1 </w:t>
      </w:r>
    </w:p>
    <w:p w:rsidR="00DA2CDE" w:rsidRDefault="00DA2CDE" w:rsidP="00DA2CDE">
      <w:pPr>
        <w:pStyle w:val="ListParagraph"/>
        <w:numPr>
          <w:ilvl w:val="0"/>
          <w:numId w:val="9"/>
        </w:numPr>
        <w:spacing w:before="80" w:after="120" w:line="280" w:lineRule="atLeast"/>
        <w:jc w:val="both"/>
        <w:rPr>
          <w:rFonts w:ascii="Arial" w:hAnsi="Arial" w:cs="Arial"/>
          <w:i/>
          <w:sz w:val="20"/>
          <w:lang w:val="en-US"/>
        </w:rPr>
      </w:pPr>
      <w:r>
        <w:rPr>
          <w:rFonts w:ascii="Arial" w:hAnsi="Arial" w:cs="Arial"/>
          <w:i/>
          <w:sz w:val="20"/>
          <w:lang w:val="en-US"/>
        </w:rPr>
        <w:t>EN 62209-2</w:t>
      </w:r>
      <w:r w:rsidRPr="00DA2CDE">
        <w:rPr>
          <w:rFonts w:ascii="Arial" w:hAnsi="Arial" w:cs="Arial"/>
          <w:i/>
          <w:sz w:val="20"/>
          <w:lang w:val="en-US"/>
        </w:rPr>
        <w:t xml:space="preserve"> </w:t>
      </w:r>
    </w:p>
    <w:p w:rsidR="00DA2CDE" w:rsidRDefault="00DA2CDE" w:rsidP="00DA2CDE">
      <w:pPr>
        <w:pStyle w:val="ListParagraph"/>
        <w:numPr>
          <w:ilvl w:val="0"/>
          <w:numId w:val="9"/>
        </w:numPr>
        <w:spacing w:before="80" w:after="120" w:line="280" w:lineRule="atLeast"/>
        <w:jc w:val="both"/>
        <w:rPr>
          <w:rFonts w:ascii="Arial" w:hAnsi="Arial" w:cs="Arial"/>
          <w:i/>
          <w:sz w:val="20"/>
          <w:lang w:val="en-US"/>
        </w:rPr>
      </w:pPr>
      <w:r>
        <w:rPr>
          <w:rFonts w:ascii="Arial" w:hAnsi="Arial" w:cs="Arial"/>
          <w:i/>
          <w:sz w:val="20"/>
          <w:lang w:val="en-US"/>
        </w:rPr>
        <w:t>IEC 62209-1</w:t>
      </w:r>
    </w:p>
    <w:p w:rsidR="00DA2CDE" w:rsidRPr="00DA2CDE" w:rsidRDefault="00DA2CDE" w:rsidP="00DA2CDE">
      <w:pPr>
        <w:pStyle w:val="ListParagraph"/>
        <w:numPr>
          <w:ilvl w:val="0"/>
          <w:numId w:val="9"/>
        </w:numPr>
        <w:spacing w:before="80" w:after="120" w:line="280" w:lineRule="atLeast"/>
        <w:jc w:val="both"/>
        <w:rPr>
          <w:rFonts w:ascii="Arial" w:hAnsi="Arial" w:cs="Arial"/>
          <w:i/>
          <w:sz w:val="20"/>
          <w:lang w:val="en-US"/>
        </w:rPr>
      </w:pPr>
      <w:r>
        <w:rPr>
          <w:rFonts w:ascii="Arial" w:hAnsi="Arial" w:cs="Arial"/>
          <w:i/>
          <w:sz w:val="20"/>
          <w:lang w:val="en-US"/>
        </w:rPr>
        <w:t xml:space="preserve">IEC 62209-2 </w:t>
      </w:r>
    </w:p>
    <w:p w:rsidR="004B4201" w:rsidRDefault="00DF1FBB" w:rsidP="00A56AE9">
      <w:pPr>
        <w:pStyle w:val="ACMABodyText"/>
        <w:jc w:val="both"/>
        <w:rPr>
          <w:rFonts w:ascii="Arial" w:hAnsi="Arial" w:cs="Arial"/>
          <w:sz w:val="20"/>
          <w:lang w:val="en-US"/>
        </w:rPr>
      </w:pPr>
      <w:r w:rsidRPr="00DF1FBB">
        <w:rPr>
          <w:rFonts w:ascii="Arial" w:hAnsi="Arial" w:cs="Arial"/>
          <w:sz w:val="20"/>
          <w:lang w:val="en-US"/>
        </w:rPr>
        <w:t xml:space="preserve">Acts </w:t>
      </w:r>
      <w:r w:rsidR="00AB7143">
        <w:rPr>
          <w:rFonts w:ascii="Arial" w:hAnsi="Arial" w:cs="Arial"/>
          <w:sz w:val="20"/>
          <w:lang w:val="en-US"/>
        </w:rPr>
        <w:t xml:space="preserve">and legislative instruments mentioned above </w:t>
      </w:r>
      <w:r w:rsidRPr="00DF1FBB">
        <w:rPr>
          <w:rFonts w:ascii="Arial" w:hAnsi="Arial" w:cs="Arial"/>
          <w:sz w:val="20"/>
          <w:lang w:val="en-US"/>
        </w:rPr>
        <w:t>can be found on the Australian Government’s ComLaw website (</w:t>
      </w:r>
      <w:hyperlink r:id="rId13" w:history="1">
        <w:r w:rsidR="00DA2CDE" w:rsidRPr="00261571">
          <w:rPr>
            <w:rStyle w:val="Hyperlink"/>
            <w:rFonts w:ascii="Arial" w:hAnsi="Arial" w:cs="Arial"/>
            <w:sz w:val="20"/>
            <w:lang w:val="en-US"/>
          </w:rPr>
          <w:t>http://www.comlaw.gov.au/</w:t>
        </w:r>
      </w:hyperlink>
      <w:r w:rsidRPr="00DF1FBB">
        <w:rPr>
          <w:rFonts w:ascii="Arial" w:hAnsi="Arial" w:cs="Arial"/>
          <w:sz w:val="20"/>
          <w:lang w:val="en-US"/>
        </w:rPr>
        <w:t>).</w:t>
      </w:r>
    </w:p>
    <w:p w:rsidR="00DA2CDE" w:rsidRDefault="00725C47" w:rsidP="00A56AE9">
      <w:pPr>
        <w:pStyle w:val="ACMABodyText"/>
        <w:jc w:val="both"/>
        <w:rPr>
          <w:rFonts w:ascii="Arial" w:hAnsi="Arial" w:cs="Arial"/>
          <w:sz w:val="20"/>
          <w:lang w:val="en-US"/>
        </w:rPr>
      </w:pPr>
      <w:r>
        <w:rPr>
          <w:rFonts w:ascii="Arial" w:hAnsi="Arial" w:cs="Arial"/>
          <w:sz w:val="20"/>
          <w:lang w:val="en-US"/>
        </w:rPr>
        <w:t>The</w:t>
      </w:r>
      <w:r w:rsidR="00DA2CDE">
        <w:rPr>
          <w:rFonts w:ascii="Arial" w:hAnsi="Arial" w:cs="Arial"/>
          <w:sz w:val="20"/>
          <w:lang w:val="en-US"/>
        </w:rPr>
        <w:t xml:space="preserve"> ARPANSA Standard can be obtained from </w:t>
      </w:r>
      <w:r w:rsidR="00DA2CDE" w:rsidRPr="00DA2CDE">
        <w:rPr>
          <w:rFonts w:ascii="Arial" w:hAnsi="Arial" w:cs="Arial"/>
          <w:sz w:val="20"/>
          <w:lang w:val="en-US"/>
        </w:rPr>
        <w:t xml:space="preserve">the Australian Radiation Protection and Nuclear Safety Agency </w:t>
      </w:r>
      <w:r w:rsidR="00DA2CDE">
        <w:rPr>
          <w:rFonts w:ascii="Arial" w:hAnsi="Arial" w:cs="Arial"/>
          <w:sz w:val="20"/>
          <w:lang w:val="en-US"/>
        </w:rPr>
        <w:t>website (</w:t>
      </w:r>
      <w:hyperlink r:id="rId14" w:history="1">
        <w:r w:rsidR="00DA2CDE" w:rsidRPr="00261571">
          <w:rPr>
            <w:rStyle w:val="Hyperlink"/>
            <w:rFonts w:ascii="Arial" w:hAnsi="Arial" w:cs="Arial"/>
            <w:sz w:val="20"/>
            <w:lang w:val="en-US"/>
          </w:rPr>
          <w:t>http://www.arpansa.gov.au</w:t>
        </w:r>
      </w:hyperlink>
      <w:r w:rsidR="00DA2CDE">
        <w:rPr>
          <w:rFonts w:ascii="Arial" w:hAnsi="Arial" w:cs="Arial"/>
          <w:sz w:val="20"/>
          <w:lang w:val="en-US"/>
        </w:rPr>
        <w:t>)</w:t>
      </w:r>
      <w:r w:rsidR="00DA2CDE" w:rsidRPr="00DA2CDE">
        <w:rPr>
          <w:rFonts w:ascii="Arial" w:hAnsi="Arial" w:cs="Arial"/>
          <w:sz w:val="20"/>
          <w:lang w:val="en-US"/>
        </w:rPr>
        <w:t>.</w:t>
      </w:r>
    </w:p>
    <w:p w:rsidR="00DA2CDE" w:rsidRDefault="00DA2CDE" w:rsidP="00A56AE9">
      <w:pPr>
        <w:pStyle w:val="ACMABodyText"/>
        <w:jc w:val="both"/>
        <w:rPr>
          <w:rFonts w:ascii="Arial" w:hAnsi="Arial" w:cs="Arial"/>
          <w:sz w:val="20"/>
          <w:lang w:val="en-US"/>
        </w:rPr>
      </w:pPr>
      <w:r w:rsidRPr="00DF1FBB">
        <w:rPr>
          <w:rFonts w:ascii="Arial" w:hAnsi="Arial" w:cs="Arial"/>
          <w:sz w:val="20"/>
          <w:lang w:val="en-US"/>
        </w:rPr>
        <w:lastRenderedPageBreak/>
        <w:t xml:space="preserve">Copies of the </w:t>
      </w:r>
      <w:r w:rsidR="00AB7143">
        <w:rPr>
          <w:rFonts w:ascii="Arial" w:hAnsi="Arial" w:cs="Arial"/>
          <w:sz w:val="20"/>
          <w:lang w:val="en-US"/>
        </w:rPr>
        <w:t>s</w:t>
      </w:r>
      <w:r w:rsidRPr="00DF1FBB">
        <w:rPr>
          <w:rFonts w:ascii="Arial" w:hAnsi="Arial" w:cs="Arial"/>
          <w:sz w:val="20"/>
          <w:lang w:val="en-US"/>
        </w:rPr>
        <w:t>tandard</w:t>
      </w:r>
      <w:r>
        <w:rPr>
          <w:rFonts w:ascii="Arial" w:hAnsi="Arial" w:cs="Arial"/>
          <w:sz w:val="20"/>
          <w:lang w:val="en-US"/>
        </w:rPr>
        <w:t>s</w:t>
      </w:r>
      <w:r w:rsidRPr="00DF1FBB">
        <w:rPr>
          <w:rFonts w:ascii="Arial" w:hAnsi="Arial" w:cs="Arial"/>
          <w:sz w:val="20"/>
          <w:lang w:val="en-US"/>
        </w:rPr>
        <w:t xml:space="preserve"> </w:t>
      </w:r>
      <w:r w:rsidR="00AB7143">
        <w:rPr>
          <w:rFonts w:ascii="Arial" w:hAnsi="Arial" w:cs="Arial"/>
          <w:sz w:val="20"/>
          <w:lang w:val="en-US"/>
        </w:rPr>
        <w:t>mentioned above</w:t>
      </w:r>
      <w:r w:rsidR="00A85524">
        <w:rPr>
          <w:rFonts w:ascii="Arial" w:hAnsi="Arial" w:cs="Arial"/>
          <w:sz w:val="20"/>
          <w:lang w:val="en-US"/>
        </w:rPr>
        <w:t xml:space="preserve"> </w:t>
      </w:r>
      <w:r w:rsidRPr="00DF1FBB">
        <w:rPr>
          <w:rFonts w:ascii="Arial" w:hAnsi="Arial" w:cs="Arial"/>
          <w:sz w:val="20"/>
          <w:lang w:val="en-US"/>
        </w:rPr>
        <w:t>can be obtained from</w:t>
      </w:r>
      <w:r>
        <w:rPr>
          <w:rFonts w:ascii="Arial" w:hAnsi="Arial" w:cs="Arial"/>
          <w:sz w:val="20"/>
          <w:lang w:val="en-US"/>
        </w:rPr>
        <w:t xml:space="preserve"> the SAI Global Limited website (</w:t>
      </w:r>
      <w:hyperlink r:id="rId15" w:history="1">
        <w:r w:rsidR="00855929" w:rsidRPr="00261571">
          <w:rPr>
            <w:rStyle w:val="Hyperlink"/>
            <w:rFonts w:ascii="Arial" w:hAnsi="Arial" w:cs="Arial"/>
            <w:sz w:val="20"/>
            <w:lang w:val="en-US"/>
          </w:rPr>
          <w:t>http://www.saiglobal.com</w:t>
        </w:r>
      </w:hyperlink>
      <w:r>
        <w:rPr>
          <w:rFonts w:ascii="Arial" w:hAnsi="Arial" w:cs="Arial"/>
          <w:sz w:val="20"/>
          <w:lang w:val="en-US"/>
        </w:rPr>
        <w:t>).</w:t>
      </w:r>
    </w:p>
    <w:p w:rsidR="007D4F64" w:rsidRPr="008E730A" w:rsidRDefault="007D4F64" w:rsidP="00A56AE9">
      <w:pPr>
        <w:pStyle w:val="ACMAHeading3"/>
        <w:jc w:val="both"/>
        <w:rPr>
          <w:rFonts w:cs="Arial"/>
          <w:sz w:val="20"/>
        </w:rPr>
      </w:pPr>
      <w:r w:rsidRPr="008E730A">
        <w:rPr>
          <w:rFonts w:cs="Arial"/>
          <w:sz w:val="20"/>
        </w:rPr>
        <w:t>Statement of compatibility with human rights</w:t>
      </w:r>
    </w:p>
    <w:p w:rsidR="004B4201" w:rsidRPr="008964DD" w:rsidRDefault="00DF1FBB" w:rsidP="00A56AE9">
      <w:pPr>
        <w:pStyle w:val="ACMABodyText"/>
        <w:jc w:val="both"/>
        <w:rPr>
          <w:rFonts w:ascii="Arial" w:hAnsi="Arial" w:cs="Arial"/>
          <w:sz w:val="20"/>
          <w:lang w:val="en-US"/>
        </w:rPr>
      </w:pPr>
      <w:r w:rsidRPr="00DF1FBB">
        <w:rPr>
          <w:rFonts w:ascii="Arial" w:hAnsi="Arial" w:cs="Arial"/>
          <w:sz w:val="20"/>
        </w:rPr>
        <w:t xml:space="preserve">In accordance with Part 3 of the </w:t>
      </w:r>
      <w:r w:rsidR="00AF723E" w:rsidRPr="00AF723E">
        <w:rPr>
          <w:rFonts w:ascii="Arial" w:hAnsi="Arial" w:cs="Arial"/>
          <w:i/>
          <w:sz w:val="20"/>
        </w:rPr>
        <w:t>Human Rights (Parliamentary Scrutiny) Act 2011</w:t>
      </w:r>
      <w:r w:rsidRPr="00DF1FBB">
        <w:rPr>
          <w:rFonts w:ascii="Arial" w:hAnsi="Arial" w:cs="Arial"/>
          <w:sz w:val="20"/>
        </w:rPr>
        <w:t xml:space="preserve">, the ACMA has prepared a Statement of Compatibility with Human Rights (the Statement of Compatibility) to consider the human rights implications of the </w:t>
      </w:r>
      <w:r>
        <w:rPr>
          <w:rFonts w:ascii="Arial" w:hAnsi="Arial" w:cs="Arial"/>
          <w:sz w:val="20"/>
        </w:rPr>
        <w:t>Instrument</w:t>
      </w:r>
      <w:r w:rsidRPr="00DF1FBB">
        <w:rPr>
          <w:rFonts w:ascii="Arial" w:hAnsi="Arial" w:cs="Arial"/>
          <w:sz w:val="20"/>
        </w:rPr>
        <w:t>. The Statement of Compatibility prepared for th</w:t>
      </w:r>
      <w:r w:rsidR="00A213B8">
        <w:rPr>
          <w:rFonts w:ascii="Arial" w:hAnsi="Arial" w:cs="Arial"/>
          <w:sz w:val="20"/>
        </w:rPr>
        <w:t>e</w:t>
      </w:r>
      <w:r w:rsidRPr="00DF1FBB">
        <w:rPr>
          <w:rFonts w:ascii="Arial" w:hAnsi="Arial" w:cs="Arial"/>
          <w:sz w:val="20"/>
        </w:rPr>
        <w:t xml:space="preserve"> </w:t>
      </w:r>
      <w:r w:rsidR="00A213B8">
        <w:rPr>
          <w:rFonts w:ascii="Arial" w:hAnsi="Arial" w:cs="Arial"/>
          <w:sz w:val="20"/>
        </w:rPr>
        <w:t>I</w:t>
      </w:r>
      <w:r w:rsidRPr="00DF1FBB">
        <w:rPr>
          <w:rFonts w:ascii="Arial" w:hAnsi="Arial" w:cs="Arial"/>
          <w:sz w:val="20"/>
        </w:rPr>
        <w:t>nstrument is provided in Attachment B.</w:t>
      </w:r>
    </w:p>
    <w:p w:rsidR="00E941D3" w:rsidRDefault="00FD4084" w:rsidP="00641DD9">
      <w:pPr>
        <w:spacing w:beforeLines="80" w:before="192" w:afterLines="120" w:after="288" w:line="280" w:lineRule="atLeast"/>
        <w:rPr>
          <w:rFonts w:ascii="Arial" w:hAnsi="Arial" w:cs="Arial"/>
          <w:b/>
        </w:rPr>
      </w:pPr>
      <w:r w:rsidRPr="004A73DD">
        <w:rPr>
          <w:rFonts w:ascii="Arial" w:hAnsi="Arial" w:cs="Arial"/>
          <w:sz w:val="20"/>
          <w:szCs w:val="20"/>
        </w:rPr>
        <w:br w:type="page"/>
      </w:r>
      <w:bookmarkEnd w:id="1"/>
      <w:bookmarkEnd w:id="2"/>
      <w:r w:rsidR="009518BA" w:rsidRPr="00661B18" w:rsidDel="009518BA">
        <w:rPr>
          <w:rFonts w:ascii="Arial" w:hAnsi="Arial" w:cs="Arial"/>
          <w:b/>
        </w:rPr>
        <w:lastRenderedPageBreak/>
        <w:t xml:space="preserve"> </w:t>
      </w:r>
      <w:r w:rsidR="00B40BBD" w:rsidRPr="00661B18">
        <w:rPr>
          <w:rFonts w:ascii="Arial" w:hAnsi="Arial" w:cs="Arial"/>
          <w:b/>
        </w:rPr>
        <w:t>Attachment A</w:t>
      </w:r>
    </w:p>
    <w:p w:rsidR="008F3077" w:rsidRDefault="00DF1FBB" w:rsidP="00641DD9">
      <w:pPr>
        <w:spacing w:beforeLines="80" w:before="192" w:afterLines="120" w:after="288" w:line="280" w:lineRule="atLeast"/>
        <w:rPr>
          <w:rFonts w:ascii="Arial" w:hAnsi="Arial" w:cs="Arial"/>
          <w:b/>
          <w:szCs w:val="20"/>
        </w:rPr>
      </w:pPr>
      <w:r>
        <w:rPr>
          <w:rFonts w:ascii="Arial" w:hAnsi="Arial" w:cs="Arial"/>
          <w:b/>
          <w:szCs w:val="20"/>
        </w:rPr>
        <w:t xml:space="preserve">Detailed description of the </w:t>
      </w:r>
      <w:r w:rsidR="009518BA">
        <w:rPr>
          <w:rFonts w:ascii="Arial" w:hAnsi="Arial" w:cs="Arial"/>
          <w:b/>
          <w:szCs w:val="20"/>
        </w:rPr>
        <w:t>Instrument</w:t>
      </w:r>
    </w:p>
    <w:p w:rsidR="00FD4084" w:rsidRPr="00993194" w:rsidRDefault="00FD4084" w:rsidP="00A56AE9">
      <w:pPr>
        <w:rPr>
          <w:rFonts w:ascii="Arial" w:hAnsi="Arial" w:cs="Arial"/>
          <w:b/>
          <w:sz w:val="20"/>
          <w:szCs w:val="20"/>
        </w:rPr>
      </w:pPr>
      <w:r w:rsidRPr="00993194">
        <w:rPr>
          <w:rFonts w:ascii="Arial" w:hAnsi="Arial" w:cs="Arial"/>
          <w:b/>
          <w:sz w:val="20"/>
          <w:szCs w:val="20"/>
        </w:rPr>
        <w:t>Section 1</w:t>
      </w:r>
      <w:r w:rsidRPr="004A73DD">
        <w:rPr>
          <w:rFonts w:ascii="Arial" w:hAnsi="Arial" w:cs="Arial"/>
          <w:b/>
          <w:sz w:val="20"/>
          <w:szCs w:val="20"/>
        </w:rPr>
        <w:tab/>
      </w:r>
      <w:r w:rsidRPr="00993194">
        <w:rPr>
          <w:rFonts w:ascii="Arial" w:hAnsi="Arial" w:cs="Arial"/>
          <w:b/>
          <w:sz w:val="20"/>
          <w:szCs w:val="20"/>
        </w:rPr>
        <w:t xml:space="preserve">Name of </w:t>
      </w:r>
      <w:r w:rsidR="00FE2F08">
        <w:rPr>
          <w:rFonts w:ascii="Arial" w:hAnsi="Arial" w:cs="Arial"/>
          <w:b/>
          <w:sz w:val="20"/>
          <w:szCs w:val="20"/>
        </w:rPr>
        <w:t>Standard</w:t>
      </w:r>
    </w:p>
    <w:p w:rsidR="00FD4084" w:rsidRDefault="00FD4084" w:rsidP="00A56AE9">
      <w:pPr>
        <w:rPr>
          <w:rFonts w:ascii="Arial" w:hAnsi="Arial" w:cs="Arial"/>
          <w:i/>
          <w:sz w:val="20"/>
          <w:szCs w:val="20"/>
        </w:rPr>
      </w:pPr>
      <w:r w:rsidRPr="00A56AE9">
        <w:rPr>
          <w:rFonts w:ascii="Arial" w:hAnsi="Arial" w:cs="Arial"/>
          <w:sz w:val="20"/>
          <w:szCs w:val="20"/>
        </w:rPr>
        <w:t xml:space="preserve">Section 1 provides that the name of the </w:t>
      </w:r>
      <w:r w:rsidR="004B4201" w:rsidRPr="00A56AE9">
        <w:rPr>
          <w:rFonts w:ascii="Arial" w:hAnsi="Arial" w:cs="Arial"/>
          <w:sz w:val="20"/>
          <w:szCs w:val="20"/>
        </w:rPr>
        <w:t>instrument</w:t>
      </w:r>
      <w:r w:rsidRPr="00A56AE9">
        <w:rPr>
          <w:rFonts w:ascii="Arial" w:hAnsi="Arial" w:cs="Arial"/>
          <w:sz w:val="20"/>
          <w:szCs w:val="20"/>
        </w:rPr>
        <w:t xml:space="preserve"> is </w:t>
      </w:r>
      <w:r w:rsidR="007F19E8" w:rsidRPr="00A56AE9">
        <w:rPr>
          <w:rFonts w:ascii="Arial" w:hAnsi="Arial" w:cs="Arial"/>
          <w:sz w:val="20"/>
          <w:szCs w:val="20"/>
        </w:rPr>
        <w:t>the</w:t>
      </w:r>
      <w:r w:rsidR="007F19E8" w:rsidRPr="00A213B8">
        <w:rPr>
          <w:rFonts w:ascii="Arial" w:hAnsi="Arial" w:cs="Arial"/>
          <w:i/>
          <w:sz w:val="20"/>
          <w:szCs w:val="20"/>
        </w:rPr>
        <w:t xml:space="preserve"> </w:t>
      </w:r>
      <w:r w:rsidR="001B7898" w:rsidRPr="00A213B8">
        <w:rPr>
          <w:rFonts w:ascii="Arial" w:hAnsi="Arial" w:cs="Arial"/>
          <w:i/>
          <w:sz w:val="20"/>
          <w:szCs w:val="20"/>
        </w:rPr>
        <w:t>Radiocommunications</w:t>
      </w:r>
      <w:r w:rsidR="001B7898" w:rsidRPr="001B7898">
        <w:rPr>
          <w:rFonts w:ascii="Arial" w:hAnsi="Arial" w:cs="Arial"/>
          <w:i/>
          <w:sz w:val="20"/>
          <w:szCs w:val="20"/>
        </w:rPr>
        <w:t xml:space="preserve"> (Electromagnetic Radiation — Human Exposure) Standard 2014</w:t>
      </w:r>
      <w:r w:rsidR="004B4201">
        <w:rPr>
          <w:rFonts w:ascii="Arial" w:hAnsi="Arial" w:cs="Arial"/>
          <w:i/>
          <w:sz w:val="20"/>
          <w:szCs w:val="20"/>
        </w:rPr>
        <w:t>.</w:t>
      </w:r>
    </w:p>
    <w:p w:rsidR="00A56AE9" w:rsidRPr="00993194" w:rsidRDefault="00A56AE9" w:rsidP="00A56AE9">
      <w:pPr>
        <w:rPr>
          <w:rFonts w:ascii="Arial" w:hAnsi="Arial" w:cs="Arial"/>
          <w:i/>
          <w:sz w:val="20"/>
          <w:szCs w:val="20"/>
        </w:rPr>
      </w:pPr>
    </w:p>
    <w:p w:rsidR="00FD4084" w:rsidRPr="00A56AE9" w:rsidRDefault="00FD4084" w:rsidP="00A56AE9">
      <w:pPr>
        <w:rPr>
          <w:rFonts w:ascii="Arial" w:hAnsi="Arial" w:cs="Arial"/>
          <w:b/>
          <w:sz w:val="20"/>
          <w:szCs w:val="20"/>
        </w:rPr>
      </w:pPr>
      <w:r w:rsidRPr="00993194">
        <w:rPr>
          <w:rFonts w:ascii="Arial" w:hAnsi="Arial" w:cs="Arial"/>
          <w:b/>
          <w:sz w:val="20"/>
          <w:szCs w:val="20"/>
        </w:rPr>
        <w:t>Section 2</w:t>
      </w:r>
      <w:r w:rsidRPr="00A56AE9">
        <w:rPr>
          <w:rFonts w:ascii="Arial" w:hAnsi="Arial" w:cs="Arial"/>
          <w:b/>
          <w:sz w:val="20"/>
          <w:szCs w:val="20"/>
        </w:rPr>
        <w:tab/>
      </w:r>
      <w:r w:rsidRPr="00993194">
        <w:rPr>
          <w:rFonts w:ascii="Arial" w:hAnsi="Arial" w:cs="Arial"/>
          <w:b/>
          <w:sz w:val="20"/>
          <w:szCs w:val="20"/>
        </w:rPr>
        <w:t>Commencement</w:t>
      </w:r>
    </w:p>
    <w:p w:rsidR="00FD4084" w:rsidRDefault="00FD4084" w:rsidP="00A56AE9">
      <w:pPr>
        <w:rPr>
          <w:rFonts w:ascii="Arial" w:hAnsi="Arial" w:cs="Arial"/>
          <w:sz w:val="20"/>
          <w:szCs w:val="20"/>
        </w:rPr>
      </w:pPr>
      <w:r w:rsidRPr="00A56AE9">
        <w:rPr>
          <w:rFonts w:ascii="Arial" w:hAnsi="Arial" w:cs="Arial"/>
          <w:sz w:val="20"/>
          <w:szCs w:val="20"/>
        </w:rPr>
        <w:t xml:space="preserve">Section 2 provides that the </w:t>
      </w:r>
      <w:r w:rsidR="004B4201" w:rsidRPr="00A56AE9">
        <w:rPr>
          <w:rFonts w:ascii="Arial" w:hAnsi="Arial" w:cs="Arial"/>
          <w:sz w:val="20"/>
          <w:szCs w:val="20"/>
        </w:rPr>
        <w:t>Instrument</w:t>
      </w:r>
      <w:r w:rsidRPr="00A56AE9">
        <w:rPr>
          <w:rFonts w:ascii="Arial" w:hAnsi="Arial" w:cs="Arial"/>
          <w:sz w:val="20"/>
          <w:szCs w:val="20"/>
        </w:rPr>
        <w:t xml:space="preserve"> commences on </w:t>
      </w:r>
      <w:r w:rsidR="00E92EE6" w:rsidRPr="00A56AE9">
        <w:rPr>
          <w:rFonts w:ascii="Arial" w:hAnsi="Arial" w:cs="Arial"/>
          <w:sz w:val="20"/>
          <w:szCs w:val="20"/>
        </w:rPr>
        <w:t>the</w:t>
      </w:r>
      <w:r w:rsidR="00A85524">
        <w:rPr>
          <w:rFonts w:ascii="Arial" w:hAnsi="Arial" w:cs="Arial"/>
          <w:sz w:val="20"/>
          <w:szCs w:val="20"/>
        </w:rPr>
        <w:t xml:space="preserve"> day after it is registered on the Federal Register of Legislative Instruments</w:t>
      </w:r>
      <w:r w:rsidR="00E762A0">
        <w:rPr>
          <w:rFonts w:ascii="Arial" w:hAnsi="Arial" w:cs="Arial"/>
          <w:sz w:val="20"/>
          <w:szCs w:val="20"/>
        </w:rPr>
        <w:t>.</w:t>
      </w:r>
      <w:r w:rsidR="004B4201" w:rsidRPr="00A56AE9">
        <w:rPr>
          <w:rFonts w:ascii="Arial" w:hAnsi="Arial" w:cs="Arial"/>
          <w:sz w:val="20"/>
          <w:szCs w:val="20"/>
        </w:rPr>
        <w:t xml:space="preserve"> </w:t>
      </w:r>
    </w:p>
    <w:p w:rsidR="00A56AE9" w:rsidRPr="00993194" w:rsidRDefault="00A56AE9" w:rsidP="00A56AE9">
      <w:pPr>
        <w:rPr>
          <w:rFonts w:ascii="Arial" w:hAnsi="Arial" w:cs="Arial"/>
          <w:sz w:val="20"/>
          <w:szCs w:val="20"/>
        </w:rPr>
      </w:pPr>
    </w:p>
    <w:p w:rsidR="00FD4084" w:rsidRPr="00A56AE9" w:rsidRDefault="00FD4084" w:rsidP="00A56AE9">
      <w:pPr>
        <w:rPr>
          <w:rFonts w:ascii="Arial" w:hAnsi="Arial" w:cs="Arial"/>
          <w:b/>
          <w:sz w:val="20"/>
          <w:szCs w:val="20"/>
        </w:rPr>
      </w:pPr>
      <w:r w:rsidRPr="00993194">
        <w:rPr>
          <w:rFonts w:ascii="Arial" w:hAnsi="Arial" w:cs="Arial"/>
          <w:b/>
          <w:sz w:val="20"/>
          <w:szCs w:val="20"/>
        </w:rPr>
        <w:t>Section 3</w:t>
      </w:r>
      <w:r w:rsidRPr="00A56AE9">
        <w:rPr>
          <w:rFonts w:ascii="Arial" w:hAnsi="Arial" w:cs="Arial"/>
          <w:b/>
          <w:sz w:val="20"/>
          <w:szCs w:val="20"/>
        </w:rPr>
        <w:tab/>
      </w:r>
      <w:r w:rsidR="004B4201">
        <w:rPr>
          <w:rFonts w:ascii="Arial" w:hAnsi="Arial" w:cs="Arial"/>
          <w:b/>
          <w:sz w:val="20"/>
          <w:szCs w:val="20"/>
        </w:rPr>
        <w:t>Revocation</w:t>
      </w:r>
      <w:r w:rsidR="007C6AA7" w:rsidRPr="007C6AA7">
        <w:rPr>
          <w:rFonts w:ascii="Arial" w:hAnsi="Arial" w:cs="Arial"/>
          <w:b/>
          <w:sz w:val="20"/>
          <w:szCs w:val="20"/>
        </w:rPr>
        <w:t xml:space="preserve"> </w:t>
      </w:r>
    </w:p>
    <w:p w:rsidR="00FD4084" w:rsidRDefault="00FD4084" w:rsidP="00A56AE9">
      <w:pPr>
        <w:rPr>
          <w:rFonts w:ascii="Arial" w:hAnsi="Arial" w:cs="Arial"/>
          <w:i/>
          <w:sz w:val="20"/>
          <w:szCs w:val="20"/>
        </w:rPr>
      </w:pPr>
      <w:r w:rsidRPr="00A56AE9">
        <w:rPr>
          <w:rFonts w:ascii="Arial" w:hAnsi="Arial" w:cs="Arial"/>
          <w:sz w:val="20"/>
          <w:szCs w:val="20"/>
        </w:rPr>
        <w:t xml:space="preserve">Section 3 </w:t>
      </w:r>
      <w:r w:rsidR="004B4201" w:rsidRPr="00A56AE9">
        <w:rPr>
          <w:rFonts w:ascii="Arial" w:hAnsi="Arial" w:cs="Arial"/>
          <w:sz w:val="20"/>
          <w:szCs w:val="20"/>
        </w:rPr>
        <w:t>revokes</w:t>
      </w:r>
      <w:r w:rsidRPr="00A56AE9">
        <w:rPr>
          <w:rFonts w:ascii="Arial" w:hAnsi="Arial" w:cs="Arial"/>
          <w:sz w:val="20"/>
          <w:szCs w:val="20"/>
        </w:rPr>
        <w:t xml:space="preserve"> the </w:t>
      </w:r>
      <w:r w:rsidR="00AF723E" w:rsidRPr="00AF723E">
        <w:rPr>
          <w:rFonts w:ascii="Arial" w:hAnsi="Arial" w:cs="Arial"/>
          <w:i/>
          <w:sz w:val="20"/>
          <w:szCs w:val="20"/>
        </w:rPr>
        <w:t>Radiocommunications (Electromagnetic Radiation — Human</w:t>
      </w:r>
      <w:r w:rsidR="001B7898" w:rsidRPr="001B7898">
        <w:rPr>
          <w:rFonts w:ascii="Arial" w:hAnsi="Arial" w:cs="Arial"/>
          <w:i/>
          <w:sz w:val="20"/>
          <w:szCs w:val="20"/>
        </w:rPr>
        <w:t xml:space="preserve"> Exposure) Standard 20</w:t>
      </w:r>
      <w:r w:rsidR="001B7898">
        <w:rPr>
          <w:rFonts w:ascii="Arial" w:hAnsi="Arial" w:cs="Arial"/>
          <w:i/>
          <w:sz w:val="20"/>
          <w:szCs w:val="20"/>
        </w:rPr>
        <w:t>03</w:t>
      </w:r>
      <w:r w:rsidR="00AF723E" w:rsidRPr="00AF723E">
        <w:rPr>
          <w:rFonts w:ascii="Arial" w:hAnsi="Arial" w:cs="Arial"/>
          <w:sz w:val="20"/>
          <w:szCs w:val="20"/>
        </w:rPr>
        <w:t xml:space="preserve"> (the 2003 Standard)</w:t>
      </w:r>
      <w:r w:rsidR="007C6AA7">
        <w:rPr>
          <w:rFonts w:ascii="Arial" w:hAnsi="Arial" w:cs="Arial"/>
          <w:i/>
          <w:sz w:val="20"/>
          <w:szCs w:val="20"/>
        </w:rPr>
        <w:t>.</w:t>
      </w:r>
    </w:p>
    <w:p w:rsidR="00A56AE9" w:rsidRDefault="00A56AE9" w:rsidP="00A56AE9">
      <w:pPr>
        <w:rPr>
          <w:rFonts w:ascii="Arial" w:hAnsi="Arial" w:cs="Arial"/>
          <w:i/>
          <w:sz w:val="20"/>
          <w:szCs w:val="20"/>
        </w:rPr>
      </w:pPr>
    </w:p>
    <w:p w:rsidR="001B7898" w:rsidRPr="001B7898" w:rsidRDefault="001B7898" w:rsidP="00A56AE9">
      <w:pPr>
        <w:rPr>
          <w:rFonts w:ascii="Arial" w:hAnsi="Arial" w:cs="Arial"/>
          <w:b/>
          <w:sz w:val="20"/>
          <w:szCs w:val="20"/>
        </w:rPr>
      </w:pPr>
      <w:r w:rsidRPr="001B7898">
        <w:rPr>
          <w:rFonts w:ascii="Arial" w:hAnsi="Arial" w:cs="Arial"/>
          <w:b/>
          <w:sz w:val="20"/>
          <w:szCs w:val="20"/>
        </w:rPr>
        <w:t>Section 4</w:t>
      </w:r>
      <w:r w:rsidRPr="001B7898">
        <w:rPr>
          <w:rFonts w:ascii="Arial" w:hAnsi="Arial" w:cs="Arial"/>
          <w:b/>
          <w:sz w:val="20"/>
          <w:szCs w:val="20"/>
        </w:rPr>
        <w:tab/>
        <w:t>Object of the Standard</w:t>
      </w:r>
    </w:p>
    <w:p w:rsidR="001B7898" w:rsidRDefault="00366C3E" w:rsidP="00A56AE9">
      <w:pPr>
        <w:rPr>
          <w:rFonts w:ascii="Arial" w:hAnsi="Arial" w:cs="Arial"/>
          <w:sz w:val="20"/>
          <w:szCs w:val="20"/>
        </w:rPr>
      </w:pPr>
      <w:r w:rsidRPr="00A56AE9">
        <w:rPr>
          <w:rFonts w:ascii="Arial" w:hAnsi="Arial" w:cs="Arial"/>
          <w:sz w:val="20"/>
          <w:szCs w:val="20"/>
        </w:rPr>
        <w:t xml:space="preserve">Section 4 describes the </w:t>
      </w:r>
      <w:r w:rsidR="003E69AE">
        <w:rPr>
          <w:rFonts w:ascii="Arial" w:hAnsi="Arial" w:cs="Arial"/>
          <w:sz w:val="20"/>
          <w:szCs w:val="20"/>
        </w:rPr>
        <w:t xml:space="preserve">objects </w:t>
      </w:r>
      <w:r w:rsidRPr="00A56AE9">
        <w:rPr>
          <w:rFonts w:ascii="Arial" w:hAnsi="Arial" w:cs="Arial"/>
          <w:sz w:val="20"/>
          <w:szCs w:val="20"/>
        </w:rPr>
        <w:t>of the Instrument.  The Instrument regulates the</w:t>
      </w:r>
      <w:r w:rsidRPr="00366C3E">
        <w:rPr>
          <w:rFonts w:ascii="Arial" w:hAnsi="Arial" w:cs="Arial"/>
          <w:sz w:val="20"/>
          <w:szCs w:val="20"/>
        </w:rPr>
        <w:t xml:space="preserve"> performance of </w:t>
      </w:r>
      <w:r>
        <w:rPr>
          <w:rFonts w:ascii="Arial" w:hAnsi="Arial" w:cs="Arial"/>
          <w:sz w:val="20"/>
          <w:szCs w:val="20"/>
        </w:rPr>
        <w:t xml:space="preserve">particular </w:t>
      </w:r>
      <w:r w:rsidRPr="00366C3E">
        <w:rPr>
          <w:rFonts w:ascii="Arial" w:hAnsi="Arial" w:cs="Arial"/>
          <w:sz w:val="20"/>
          <w:szCs w:val="20"/>
        </w:rPr>
        <w:t>radio transmitters with the purpose of protecting the health and safety of persons who may be exposed to electromagnetic radiation from transmitters.</w:t>
      </w:r>
    </w:p>
    <w:p w:rsidR="00A56AE9" w:rsidRDefault="00A56AE9">
      <w:pPr>
        <w:rPr>
          <w:rFonts w:ascii="Arial" w:hAnsi="Arial" w:cs="Arial"/>
          <w:b/>
          <w:sz w:val="20"/>
          <w:szCs w:val="20"/>
        </w:rPr>
      </w:pPr>
    </w:p>
    <w:p w:rsidR="004B4201" w:rsidRDefault="004B4201">
      <w:pPr>
        <w:rPr>
          <w:rFonts w:ascii="Arial" w:hAnsi="Arial" w:cs="Arial"/>
          <w:b/>
          <w:sz w:val="20"/>
          <w:szCs w:val="20"/>
        </w:rPr>
      </w:pPr>
      <w:r>
        <w:rPr>
          <w:rFonts w:ascii="Arial" w:hAnsi="Arial" w:cs="Arial"/>
          <w:b/>
          <w:sz w:val="20"/>
          <w:szCs w:val="20"/>
        </w:rPr>
        <w:t xml:space="preserve">Section </w:t>
      </w:r>
      <w:r w:rsidR="001B7898">
        <w:rPr>
          <w:rFonts w:ascii="Arial" w:hAnsi="Arial" w:cs="Arial"/>
          <w:b/>
          <w:sz w:val="20"/>
          <w:szCs w:val="20"/>
        </w:rPr>
        <w:t>5</w:t>
      </w:r>
      <w:r>
        <w:rPr>
          <w:rFonts w:ascii="Arial" w:hAnsi="Arial" w:cs="Arial"/>
          <w:b/>
          <w:sz w:val="20"/>
          <w:szCs w:val="20"/>
        </w:rPr>
        <w:tab/>
        <w:t>Definitions</w:t>
      </w:r>
    </w:p>
    <w:p w:rsidR="00366C3E" w:rsidRPr="00A56AE9" w:rsidRDefault="004B4201">
      <w:pPr>
        <w:rPr>
          <w:rFonts w:ascii="Arial" w:hAnsi="Arial" w:cs="Arial"/>
          <w:sz w:val="20"/>
          <w:szCs w:val="20"/>
        </w:rPr>
      </w:pPr>
      <w:r w:rsidRPr="00A56AE9">
        <w:rPr>
          <w:rFonts w:ascii="Arial" w:hAnsi="Arial" w:cs="Arial"/>
          <w:sz w:val="20"/>
          <w:szCs w:val="20"/>
        </w:rPr>
        <w:t xml:space="preserve">Section </w:t>
      </w:r>
      <w:r w:rsidR="001B7898" w:rsidRPr="00A56AE9">
        <w:rPr>
          <w:rFonts w:ascii="Arial" w:hAnsi="Arial" w:cs="Arial"/>
          <w:sz w:val="20"/>
          <w:szCs w:val="20"/>
        </w:rPr>
        <w:t>5</w:t>
      </w:r>
      <w:r w:rsidRPr="00A56AE9">
        <w:rPr>
          <w:rFonts w:ascii="Arial" w:hAnsi="Arial" w:cs="Arial"/>
          <w:sz w:val="20"/>
          <w:szCs w:val="20"/>
        </w:rPr>
        <w:t xml:space="preserve"> defines terms used throughout the Instrument. </w:t>
      </w:r>
    </w:p>
    <w:p w:rsidR="00366C3E" w:rsidRDefault="00366C3E">
      <w:pPr>
        <w:rPr>
          <w:rFonts w:ascii="Arial" w:hAnsi="Arial" w:cs="Arial"/>
          <w:sz w:val="20"/>
          <w:szCs w:val="20"/>
        </w:rPr>
      </w:pPr>
    </w:p>
    <w:p w:rsidR="00C52208" w:rsidRDefault="00366C3E">
      <w:pPr>
        <w:rPr>
          <w:rFonts w:ascii="Arial" w:hAnsi="Arial" w:cs="Arial"/>
          <w:sz w:val="20"/>
          <w:szCs w:val="20"/>
        </w:rPr>
      </w:pPr>
      <w:r>
        <w:rPr>
          <w:rFonts w:ascii="Arial" w:hAnsi="Arial" w:cs="Arial"/>
          <w:sz w:val="20"/>
          <w:szCs w:val="20"/>
        </w:rPr>
        <w:t>The Instrument</w:t>
      </w:r>
      <w:r w:rsidRPr="00366C3E">
        <w:rPr>
          <w:rFonts w:ascii="Arial" w:hAnsi="Arial" w:cs="Arial"/>
          <w:sz w:val="20"/>
          <w:szCs w:val="20"/>
        </w:rPr>
        <w:t xml:space="preserve"> </w:t>
      </w:r>
      <w:r w:rsidR="00A213B8">
        <w:rPr>
          <w:rFonts w:ascii="Arial" w:hAnsi="Arial" w:cs="Arial"/>
          <w:sz w:val="20"/>
          <w:szCs w:val="20"/>
        </w:rPr>
        <w:t xml:space="preserve">provides that </w:t>
      </w:r>
      <w:r w:rsidRPr="00366C3E">
        <w:rPr>
          <w:rFonts w:ascii="Arial" w:hAnsi="Arial" w:cs="Arial"/>
          <w:sz w:val="20"/>
          <w:szCs w:val="20"/>
        </w:rPr>
        <w:t xml:space="preserve">where the </w:t>
      </w:r>
      <w:r>
        <w:rPr>
          <w:rFonts w:ascii="Arial" w:hAnsi="Arial" w:cs="Arial"/>
          <w:sz w:val="20"/>
          <w:szCs w:val="20"/>
        </w:rPr>
        <w:t>Instrument</w:t>
      </w:r>
      <w:r w:rsidRPr="00366C3E">
        <w:rPr>
          <w:rFonts w:ascii="Arial" w:hAnsi="Arial" w:cs="Arial"/>
          <w:sz w:val="20"/>
          <w:szCs w:val="20"/>
        </w:rPr>
        <w:t xml:space="preserve"> references another document or publication such references include th</w:t>
      </w:r>
      <w:r w:rsidR="00A213B8">
        <w:rPr>
          <w:rFonts w:ascii="Arial" w:hAnsi="Arial" w:cs="Arial"/>
          <w:sz w:val="20"/>
          <w:szCs w:val="20"/>
        </w:rPr>
        <w:t>at</w:t>
      </w:r>
      <w:r w:rsidRPr="00366C3E">
        <w:rPr>
          <w:rFonts w:ascii="Arial" w:hAnsi="Arial" w:cs="Arial"/>
          <w:sz w:val="20"/>
          <w:szCs w:val="20"/>
        </w:rPr>
        <w:t xml:space="preserve"> document or publication as in force from time to time.  This is to ensure that the </w:t>
      </w:r>
      <w:r>
        <w:rPr>
          <w:rFonts w:ascii="Arial" w:hAnsi="Arial" w:cs="Arial"/>
          <w:sz w:val="20"/>
          <w:szCs w:val="20"/>
        </w:rPr>
        <w:t>Instrument</w:t>
      </w:r>
      <w:r w:rsidRPr="00366C3E">
        <w:rPr>
          <w:rFonts w:ascii="Arial" w:hAnsi="Arial" w:cs="Arial"/>
          <w:sz w:val="20"/>
          <w:szCs w:val="20"/>
        </w:rPr>
        <w:t xml:space="preserve"> does not have to be amended each time a referenced document is amended.  </w:t>
      </w:r>
      <w:r w:rsidR="00C52208">
        <w:rPr>
          <w:rFonts w:ascii="Arial" w:hAnsi="Arial" w:cs="Arial"/>
          <w:sz w:val="20"/>
          <w:szCs w:val="20"/>
        </w:rPr>
        <w:t>However, this does not apply to the ARPANSA Standard.  The Instrument adopts the ARPANSA Standard as in force at the date the Instrument commenced.  If there are any variations to the ARPANSA Standard, the ACMA will have to amend the Instrument in order to incorporate those variations.</w:t>
      </w:r>
    </w:p>
    <w:p w:rsidR="00C52208" w:rsidRDefault="00C52208">
      <w:pPr>
        <w:rPr>
          <w:rFonts w:ascii="Arial" w:hAnsi="Arial" w:cs="Arial"/>
          <w:sz w:val="20"/>
          <w:szCs w:val="20"/>
        </w:rPr>
      </w:pPr>
    </w:p>
    <w:p w:rsidR="00366C3E" w:rsidRDefault="00366C3E">
      <w:pPr>
        <w:rPr>
          <w:rFonts w:ascii="Arial" w:hAnsi="Arial" w:cs="Arial"/>
          <w:sz w:val="20"/>
          <w:szCs w:val="20"/>
        </w:rPr>
      </w:pPr>
      <w:r w:rsidRPr="00366C3E">
        <w:rPr>
          <w:rFonts w:ascii="Arial" w:hAnsi="Arial" w:cs="Arial"/>
          <w:sz w:val="20"/>
          <w:szCs w:val="20"/>
        </w:rPr>
        <w:t xml:space="preserve">In addition, </w:t>
      </w:r>
      <w:r w:rsidR="00C52208">
        <w:rPr>
          <w:rFonts w:ascii="Arial" w:hAnsi="Arial" w:cs="Arial"/>
          <w:sz w:val="20"/>
          <w:szCs w:val="20"/>
        </w:rPr>
        <w:t>s</w:t>
      </w:r>
      <w:r w:rsidRPr="00366C3E">
        <w:rPr>
          <w:rFonts w:ascii="Arial" w:hAnsi="Arial" w:cs="Arial"/>
          <w:sz w:val="20"/>
          <w:szCs w:val="20"/>
        </w:rPr>
        <w:t xml:space="preserve">ection 5 provides that where a term is defined in the </w:t>
      </w:r>
      <w:r w:rsidRPr="00855929">
        <w:rPr>
          <w:rFonts w:ascii="Arial" w:hAnsi="Arial" w:cs="Arial"/>
          <w:sz w:val="20"/>
          <w:szCs w:val="20"/>
        </w:rPr>
        <w:t>ARPANSA Standard</w:t>
      </w:r>
      <w:r w:rsidRPr="00366C3E">
        <w:rPr>
          <w:rFonts w:ascii="Arial" w:hAnsi="Arial" w:cs="Arial"/>
          <w:sz w:val="20"/>
          <w:szCs w:val="20"/>
        </w:rPr>
        <w:t xml:space="preserve"> and also used in th</w:t>
      </w:r>
      <w:r w:rsidR="00A213B8">
        <w:rPr>
          <w:rFonts w:ascii="Arial" w:hAnsi="Arial" w:cs="Arial"/>
          <w:sz w:val="20"/>
          <w:szCs w:val="20"/>
        </w:rPr>
        <w:t>e</w:t>
      </w:r>
      <w:r w:rsidRPr="00366C3E">
        <w:rPr>
          <w:rFonts w:ascii="Arial" w:hAnsi="Arial" w:cs="Arial"/>
          <w:sz w:val="20"/>
          <w:szCs w:val="20"/>
        </w:rPr>
        <w:t xml:space="preserve"> </w:t>
      </w:r>
      <w:r>
        <w:rPr>
          <w:rFonts w:ascii="Arial" w:hAnsi="Arial" w:cs="Arial"/>
          <w:sz w:val="20"/>
          <w:szCs w:val="20"/>
        </w:rPr>
        <w:t>Instrument</w:t>
      </w:r>
      <w:r w:rsidRPr="00366C3E">
        <w:rPr>
          <w:rFonts w:ascii="Arial" w:hAnsi="Arial" w:cs="Arial"/>
          <w:sz w:val="20"/>
          <w:szCs w:val="20"/>
        </w:rPr>
        <w:t xml:space="preserve"> but not defined by th</w:t>
      </w:r>
      <w:r w:rsidR="00A213B8">
        <w:rPr>
          <w:rFonts w:ascii="Arial" w:hAnsi="Arial" w:cs="Arial"/>
          <w:sz w:val="20"/>
          <w:szCs w:val="20"/>
        </w:rPr>
        <w:t>e</w:t>
      </w:r>
      <w:r w:rsidRPr="00366C3E">
        <w:rPr>
          <w:rFonts w:ascii="Arial" w:hAnsi="Arial" w:cs="Arial"/>
          <w:sz w:val="20"/>
          <w:szCs w:val="20"/>
        </w:rPr>
        <w:t xml:space="preserve"> </w:t>
      </w:r>
      <w:r>
        <w:rPr>
          <w:rFonts w:ascii="Arial" w:hAnsi="Arial" w:cs="Arial"/>
          <w:sz w:val="20"/>
          <w:szCs w:val="20"/>
        </w:rPr>
        <w:t>Instrument</w:t>
      </w:r>
      <w:r w:rsidRPr="00366C3E">
        <w:rPr>
          <w:rFonts w:ascii="Arial" w:hAnsi="Arial" w:cs="Arial"/>
          <w:sz w:val="20"/>
          <w:szCs w:val="20"/>
        </w:rPr>
        <w:t xml:space="preserve">, the definition in the ARPANSA </w:t>
      </w:r>
      <w:r>
        <w:rPr>
          <w:rFonts w:ascii="Arial" w:hAnsi="Arial" w:cs="Arial"/>
          <w:sz w:val="20"/>
          <w:szCs w:val="20"/>
        </w:rPr>
        <w:t>S</w:t>
      </w:r>
      <w:r w:rsidRPr="00366C3E">
        <w:rPr>
          <w:rFonts w:ascii="Arial" w:hAnsi="Arial" w:cs="Arial"/>
          <w:sz w:val="20"/>
          <w:szCs w:val="20"/>
        </w:rPr>
        <w:t>tandard will apply.</w:t>
      </w:r>
    </w:p>
    <w:p w:rsidR="00366C3E" w:rsidRDefault="00366C3E">
      <w:pPr>
        <w:rPr>
          <w:rFonts w:ascii="Arial" w:hAnsi="Arial" w:cs="Arial"/>
          <w:sz w:val="20"/>
          <w:szCs w:val="20"/>
        </w:rPr>
      </w:pPr>
    </w:p>
    <w:p w:rsidR="00CD3AFC" w:rsidRPr="00A213B8" w:rsidRDefault="00A213B8" w:rsidP="00A213B8">
      <w:pPr>
        <w:rPr>
          <w:rFonts w:ascii="Arial" w:hAnsi="Arial" w:cs="Arial"/>
          <w:sz w:val="20"/>
          <w:szCs w:val="20"/>
        </w:rPr>
      </w:pPr>
      <w:r>
        <w:rPr>
          <w:rFonts w:ascii="Arial" w:hAnsi="Arial" w:cs="Arial"/>
          <w:sz w:val="20"/>
          <w:szCs w:val="20"/>
        </w:rPr>
        <w:t>A</w:t>
      </w:r>
      <w:r w:rsidR="004B4201" w:rsidRPr="00CD3AFC">
        <w:rPr>
          <w:rFonts w:ascii="Arial" w:hAnsi="Arial" w:cs="Arial"/>
          <w:sz w:val="20"/>
          <w:szCs w:val="20"/>
        </w:rPr>
        <w:t xml:space="preserve"> key new </w:t>
      </w:r>
      <w:r w:rsidR="00CD3AFC" w:rsidRPr="00CD3AFC">
        <w:rPr>
          <w:rFonts w:ascii="Arial" w:hAnsi="Arial" w:cs="Arial"/>
          <w:sz w:val="20"/>
          <w:szCs w:val="20"/>
        </w:rPr>
        <w:t xml:space="preserve">term </w:t>
      </w:r>
      <w:r>
        <w:rPr>
          <w:rFonts w:ascii="Arial" w:hAnsi="Arial" w:cs="Arial"/>
          <w:sz w:val="20"/>
          <w:szCs w:val="20"/>
        </w:rPr>
        <w:t>in the Instrument is  s</w:t>
      </w:r>
      <w:r w:rsidR="00CD3AFC" w:rsidRPr="00CD3AFC">
        <w:rPr>
          <w:rFonts w:ascii="Arial" w:hAnsi="Arial" w:cs="Arial"/>
          <w:i/>
          <w:sz w:val="20"/>
          <w:szCs w:val="20"/>
        </w:rPr>
        <w:t>imultaneous multi-band transmission mode</w:t>
      </w:r>
      <w:r>
        <w:rPr>
          <w:rFonts w:ascii="Arial" w:hAnsi="Arial" w:cs="Arial"/>
          <w:i/>
          <w:sz w:val="20"/>
          <w:szCs w:val="20"/>
        </w:rPr>
        <w:t xml:space="preserve"> </w:t>
      </w:r>
      <w:r>
        <w:rPr>
          <w:rFonts w:ascii="Arial" w:hAnsi="Arial" w:cs="Arial"/>
          <w:sz w:val="20"/>
          <w:szCs w:val="20"/>
        </w:rPr>
        <w:t xml:space="preserve">which </w:t>
      </w:r>
      <w:r w:rsidR="00CD3AFC" w:rsidRPr="00A213B8">
        <w:rPr>
          <w:rFonts w:ascii="Arial" w:hAnsi="Arial" w:cs="Arial"/>
          <w:sz w:val="20"/>
          <w:szCs w:val="20"/>
        </w:rPr>
        <w:t>means an operating mode allowing the device to transmit on more than one frequency band simultaneously</w:t>
      </w:r>
      <w:r w:rsidR="003E69AE" w:rsidRPr="00A213B8">
        <w:rPr>
          <w:rFonts w:ascii="Arial" w:hAnsi="Arial" w:cs="Arial"/>
          <w:sz w:val="20"/>
          <w:szCs w:val="20"/>
        </w:rPr>
        <w:t>.</w:t>
      </w:r>
    </w:p>
    <w:p w:rsidR="00447AF3" w:rsidRDefault="00447AF3">
      <w:pPr>
        <w:pStyle w:val="ListParagraph"/>
        <w:rPr>
          <w:rFonts w:ascii="Arial" w:hAnsi="Arial" w:cs="Arial"/>
          <w:sz w:val="20"/>
          <w:szCs w:val="20"/>
        </w:rPr>
      </w:pPr>
    </w:p>
    <w:p w:rsidR="005B2BAC" w:rsidRDefault="005B2BAC">
      <w:pPr>
        <w:rPr>
          <w:rFonts w:ascii="Arial" w:hAnsi="Arial" w:cs="Arial"/>
          <w:sz w:val="20"/>
          <w:szCs w:val="20"/>
        </w:rPr>
      </w:pPr>
    </w:p>
    <w:p w:rsidR="004B4201" w:rsidRPr="00D3608C" w:rsidRDefault="004B4201">
      <w:pPr>
        <w:rPr>
          <w:rFonts w:ascii="Arial" w:hAnsi="Arial" w:cs="Arial"/>
          <w:b/>
          <w:sz w:val="20"/>
          <w:szCs w:val="20"/>
        </w:rPr>
      </w:pPr>
      <w:r w:rsidRPr="00D3608C">
        <w:rPr>
          <w:rFonts w:ascii="Arial" w:hAnsi="Arial" w:cs="Arial"/>
          <w:b/>
          <w:sz w:val="20"/>
          <w:szCs w:val="20"/>
        </w:rPr>
        <w:t>Section 6</w:t>
      </w:r>
      <w:r w:rsidRPr="00D3608C">
        <w:rPr>
          <w:rFonts w:ascii="Arial" w:hAnsi="Arial" w:cs="Arial"/>
          <w:b/>
          <w:sz w:val="20"/>
          <w:szCs w:val="20"/>
        </w:rPr>
        <w:tab/>
      </w:r>
      <w:r w:rsidR="001B7898" w:rsidRPr="001B7898">
        <w:rPr>
          <w:rFonts w:ascii="Arial" w:hAnsi="Arial" w:cs="Arial"/>
          <w:b/>
          <w:sz w:val="20"/>
          <w:szCs w:val="20"/>
        </w:rPr>
        <w:t>Application of Standard: general</w:t>
      </w:r>
    </w:p>
    <w:p w:rsidR="004B4201" w:rsidRDefault="00694C61">
      <w:pPr>
        <w:rPr>
          <w:rFonts w:ascii="Arial" w:hAnsi="Arial" w:cs="Arial"/>
          <w:sz w:val="20"/>
          <w:szCs w:val="20"/>
        </w:rPr>
      </w:pPr>
      <w:r w:rsidRPr="00694C61">
        <w:rPr>
          <w:rFonts w:ascii="Arial" w:hAnsi="Arial" w:cs="Arial"/>
          <w:sz w:val="20"/>
          <w:szCs w:val="20"/>
        </w:rPr>
        <w:t xml:space="preserve">Section 6 describes the radio transmitters to which the </w:t>
      </w:r>
      <w:r>
        <w:rPr>
          <w:rFonts w:ascii="Arial" w:hAnsi="Arial" w:cs="Arial"/>
          <w:sz w:val="20"/>
          <w:szCs w:val="20"/>
        </w:rPr>
        <w:t>Instrument</w:t>
      </w:r>
      <w:r w:rsidRPr="00694C61">
        <w:rPr>
          <w:rFonts w:ascii="Arial" w:hAnsi="Arial" w:cs="Arial"/>
          <w:sz w:val="20"/>
          <w:szCs w:val="20"/>
        </w:rPr>
        <w:t xml:space="preserve"> applies</w:t>
      </w:r>
      <w:r>
        <w:rPr>
          <w:rFonts w:ascii="Arial" w:hAnsi="Arial" w:cs="Arial"/>
          <w:sz w:val="20"/>
          <w:szCs w:val="20"/>
        </w:rPr>
        <w:t xml:space="preserve">. </w:t>
      </w:r>
      <w:r w:rsidRPr="00694C61">
        <w:rPr>
          <w:rFonts w:ascii="Arial" w:hAnsi="Arial" w:cs="Arial"/>
          <w:sz w:val="20"/>
          <w:szCs w:val="20"/>
        </w:rPr>
        <w:t xml:space="preserve">The </w:t>
      </w:r>
      <w:r>
        <w:rPr>
          <w:rFonts w:ascii="Arial" w:hAnsi="Arial" w:cs="Arial"/>
          <w:sz w:val="20"/>
          <w:szCs w:val="20"/>
        </w:rPr>
        <w:t>Instrument</w:t>
      </w:r>
      <w:r w:rsidRPr="00694C61">
        <w:rPr>
          <w:rFonts w:ascii="Arial" w:hAnsi="Arial" w:cs="Arial"/>
          <w:sz w:val="20"/>
          <w:szCs w:val="20"/>
        </w:rPr>
        <w:t xml:space="preserve"> applies to radiocommunications transmitters consisting of mobile equipment with an integral antenna that are capable of operating in the frequency band 100 kHz to 300 GHz (inclusive); and that are not intended to be used as an Emergency Position Indicating Radio Beacon (EPIRB)</w:t>
      </w:r>
      <w:r w:rsidR="00A213B8">
        <w:rPr>
          <w:rFonts w:ascii="Arial" w:hAnsi="Arial" w:cs="Arial"/>
          <w:sz w:val="20"/>
          <w:szCs w:val="20"/>
        </w:rPr>
        <w:t xml:space="preserve"> or distress beacon</w:t>
      </w:r>
      <w:r w:rsidRPr="00694C61">
        <w:rPr>
          <w:rFonts w:ascii="Arial" w:hAnsi="Arial" w:cs="Arial"/>
          <w:sz w:val="20"/>
          <w:szCs w:val="20"/>
        </w:rPr>
        <w:t>.</w:t>
      </w:r>
    </w:p>
    <w:p w:rsidR="00694C61" w:rsidRDefault="00694C61">
      <w:pPr>
        <w:rPr>
          <w:rFonts w:ascii="Arial" w:hAnsi="Arial" w:cs="Arial"/>
          <w:sz w:val="20"/>
          <w:szCs w:val="20"/>
        </w:rPr>
      </w:pPr>
    </w:p>
    <w:p w:rsidR="00694C61" w:rsidRDefault="00F667F3">
      <w:pPr>
        <w:rPr>
          <w:rFonts w:ascii="Arial" w:hAnsi="Arial" w:cs="Arial"/>
          <w:sz w:val="20"/>
          <w:szCs w:val="20"/>
        </w:rPr>
      </w:pPr>
      <w:r>
        <w:rPr>
          <w:rFonts w:ascii="Arial" w:hAnsi="Arial" w:cs="Arial"/>
          <w:sz w:val="20"/>
          <w:szCs w:val="20"/>
        </w:rPr>
        <w:t>R</w:t>
      </w:r>
      <w:r w:rsidR="00694C61" w:rsidRPr="00694C61">
        <w:rPr>
          <w:rFonts w:ascii="Arial" w:hAnsi="Arial" w:cs="Arial"/>
          <w:sz w:val="20"/>
          <w:szCs w:val="20"/>
        </w:rPr>
        <w:t>adio transmitters or weapons systems operated by the Australian Defence Force and equipment used by law enforcement agencies</w:t>
      </w:r>
      <w:r>
        <w:rPr>
          <w:rFonts w:ascii="Arial" w:hAnsi="Arial" w:cs="Arial"/>
          <w:sz w:val="20"/>
          <w:szCs w:val="20"/>
        </w:rPr>
        <w:t xml:space="preserve"> are excluded from the Instrument</w:t>
      </w:r>
      <w:r w:rsidR="00A213B8">
        <w:rPr>
          <w:rFonts w:ascii="Arial" w:hAnsi="Arial" w:cs="Arial"/>
          <w:sz w:val="20"/>
          <w:szCs w:val="20"/>
        </w:rPr>
        <w:t>.</w:t>
      </w:r>
    </w:p>
    <w:p w:rsidR="00D3608C" w:rsidRDefault="00D3608C">
      <w:pPr>
        <w:rPr>
          <w:rFonts w:ascii="Arial" w:hAnsi="Arial" w:cs="Arial"/>
          <w:sz w:val="20"/>
          <w:szCs w:val="20"/>
        </w:rPr>
      </w:pPr>
    </w:p>
    <w:p w:rsidR="004B4201" w:rsidRPr="00A213B8" w:rsidRDefault="004B4201" w:rsidP="001B7898">
      <w:pPr>
        <w:ind w:left="1440" w:hanging="1440"/>
        <w:rPr>
          <w:rFonts w:ascii="Arial" w:hAnsi="Arial" w:cs="Arial"/>
          <w:b/>
          <w:sz w:val="20"/>
          <w:szCs w:val="20"/>
        </w:rPr>
      </w:pPr>
      <w:r w:rsidRPr="00A213B8">
        <w:rPr>
          <w:rFonts w:ascii="Arial" w:hAnsi="Arial" w:cs="Arial"/>
          <w:b/>
          <w:sz w:val="20"/>
          <w:szCs w:val="20"/>
        </w:rPr>
        <w:t>Section 7</w:t>
      </w:r>
      <w:r w:rsidRPr="00A213B8">
        <w:rPr>
          <w:rFonts w:ascii="Arial" w:hAnsi="Arial" w:cs="Arial"/>
          <w:b/>
          <w:sz w:val="20"/>
          <w:szCs w:val="20"/>
        </w:rPr>
        <w:tab/>
      </w:r>
      <w:r w:rsidR="001B7898" w:rsidRPr="00A213B8">
        <w:rPr>
          <w:rFonts w:ascii="Arial" w:hAnsi="Arial" w:cs="Arial"/>
          <w:b/>
          <w:sz w:val="20"/>
          <w:szCs w:val="20"/>
        </w:rPr>
        <w:t>Transitional arrangements for one year after commencement of the Standard</w:t>
      </w:r>
    </w:p>
    <w:p w:rsidR="00D3608C" w:rsidRDefault="00694C61">
      <w:pPr>
        <w:rPr>
          <w:rFonts w:ascii="Arial" w:hAnsi="Arial" w:cs="Arial"/>
          <w:sz w:val="20"/>
          <w:szCs w:val="20"/>
        </w:rPr>
      </w:pPr>
      <w:r w:rsidRPr="00A213B8">
        <w:rPr>
          <w:rFonts w:ascii="Arial" w:hAnsi="Arial" w:cs="Arial"/>
          <w:sz w:val="20"/>
          <w:szCs w:val="20"/>
        </w:rPr>
        <w:t xml:space="preserve">Section 7 provides that radio transmitters manufactured or imported </w:t>
      </w:r>
      <w:r w:rsidR="007E27B3" w:rsidRPr="00A213B8">
        <w:rPr>
          <w:rFonts w:ascii="Arial" w:hAnsi="Arial" w:cs="Arial"/>
          <w:sz w:val="20"/>
          <w:szCs w:val="20"/>
        </w:rPr>
        <w:t>not later than 12 months after the commencement of the Instrument are taken to comply with the Instrument if they comply with the 2003 Standard.</w:t>
      </w:r>
      <w:r w:rsidR="00A213B8">
        <w:rPr>
          <w:rFonts w:ascii="Arial" w:hAnsi="Arial" w:cs="Arial"/>
          <w:sz w:val="20"/>
          <w:szCs w:val="20"/>
        </w:rPr>
        <w:t xml:space="preserve"> This section also provides that radio transmitters that have been altered or modified in a material respect after its manufacture or importation, but not later than 12 months after the commencement of the Instrument, will be taken to comply with the Instrument if the device complies with the 2003 Standard. </w:t>
      </w:r>
    </w:p>
    <w:p w:rsidR="00D3608C" w:rsidRDefault="00D3608C">
      <w:pPr>
        <w:rPr>
          <w:rFonts w:ascii="Arial" w:hAnsi="Arial" w:cs="Arial"/>
          <w:sz w:val="20"/>
          <w:szCs w:val="20"/>
        </w:rPr>
      </w:pPr>
    </w:p>
    <w:p w:rsidR="004B4201" w:rsidRPr="00D3608C" w:rsidRDefault="004B4201" w:rsidP="004B4201">
      <w:pPr>
        <w:ind w:left="1440" w:hanging="1440"/>
        <w:rPr>
          <w:rFonts w:ascii="Arial" w:hAnsi="Arial" w:cs="Arial"/>
          <w:b/>
          <w:sz w:val="20"/>
          <w:szCs w:val="20"/>
        </w:rPr>
      </w:pPr>
      <w:r w:rsidRPr="00D3608C">
        <w:rPr>
          <w:rFonts w:ascii="Arial" w:hAnsi="Arial" w:cs="Arial"/>
          <w:b/>
          <w:sz w:val="20"/>
          <w:szCs w:val="20"/>
        </w:rPr>
        <w:t>Section 8</w:t>
      </w:r>
      <w:r w:rsidRPr="00D3608C">
        <w:rPr>
          <w:rFonts w:ascii="Arial" w:hAnsi="Arial" w:cs="Arial"/>
          <w:b/>
          <w:sz w:val="20"/>
          <w:szCs w:val="20"/>
        </w:rPr>
        <w:tab/>
      </w:r>
      <w:r w:rsidR="001B7898" w:rsidRPr="001B7898">
        <w:rPr>
          <w:rFonts w:ascii="Arial" w:hAnsi="Arial" w:cs="Arial"/>
          <w:b/>
          <w:sz w:val="20"/>
          <w:szCs w:val="20"/>
        </w:rPr>
        <w:t>Performance standards</w:t>
      </w:r>
    </w:p>
    <w:p w:rsidR="00C52208" w:rsidRDefault="00BA628D" w:rsidP="00BA628D">
      <w:pPr>
        <w:rPr>
          <w:rFonts w:ascii="Arial" w:hAnsi="Arial" w:cs="Arial"/>
          <w:sz w:val="20"/>
          <w:szCs w:val="20"/>
        </w:rPr>
      </w:pPr>
      <w:r>
        <w:rPr>
          <w:rFonts w:ascii="Arial" w:hAnsi="Arial" w:cs="Arial"/>
          <w:sz w:val="20"/>
          <w:szCs w:val="20"/>
        </w:rPr>
        <w:t>S</w:t>
      </w:r>
      <w:r w:rsidR="00625FF6">
        <w:rPr>
          <w:rFonts w:ascii="Arial" w:hAnsi="Arial" w:cs="Arial"/>
          <w:sz w:val="20"/>
          <w:szCs w:val="20"/>
        </w:rPr>
        <w:t>ubs</w:t>
      </w:r>
      <w:r>
        <w:rPr>
          <w:rFonts w:ascii="Arial" w:hAnsi="Arial" w:cs="Arial"/>
          <w:sz w:val="20"/>
          <w:szCs w:val="20"/>
        </w:rPr>
        <w:t>ection</w:t>
      </w:r>
      <w:r w:rsidRPr="00BA628D">
        <w:rPr>
          <w:rFonts w:ascii="Arial" w:hAnsi="Arial" w:cs="Arial"/>
          <w:sz w:val="20"/>
          <w:szCs w:val="20"/>
        </w:rPr>
        <w:t xml:space="preserve"> </w:t>
      </w:r>
      <w:r>
        <w:rPr>
          <w:rFonts w:ascii="Arial" w:hAnsi="Arial" w:cs="Arial"/>
          <w:sz w:val="20"/>
          <w:szCs w:val="20"/>
        </w:rPr>
        <w:t>8</w:t>
      </w:r>
      <w:r w:rsidRPr="00BA628D">
        <w:rPr>
          <w:rFonts w:ascii="Arial" w:hAnsi="Arial" w:cs="Arial"/>
          <w:sz w:val="20"/>
          <w:szCs w:val="20"/>
        </w:rPr>
        <w:t xml:space="preserve">(1) prescribes the standard of performance for a transmitter </w:t>
      </w:r>
      <w:r w:rsidR="00C52208">
        <w:rPr>
          <w:rFonts w:ascii="Arial" w:hAnsi="Arial" w:cs="Arial"/>
          <w:sz w:val="20"/>
          <w:szCs w:val="20"/>
        </w:rPr>
        <w:t>that is an “aware user device”</w:t>
      </w:r>
      <w:r w:rsidRPr="00BA628D">
        <w:rPr>
          <w:rFonts w:ascii="Arial" w:hAnsi="Arial" w:cs="Arial"/>
          <w:sz w:val="20"/>
          <w:szCs w:val="20"/>
        </w:rPr>
        <w:t>.</w:t>
      </w:r>
      <w:r w:rsidR="00C52208">
        <w:rPr>
          <w:rFonts w:ascii="Arial" w:hAnsi="Arial" w:cs="Arial"/>
          <w:sz w:val="20"/>
          <w:szCs w:val="20"/>
        </w:rPr>
        <w:t xml:space="preserve">  An “aware user device” is one that is hand-held or body-worn, that operates on a “push-to-talk” basis and is intended for a particular use.  An example of an “aware user device” is a citizens’ band radio device.</w:t>
      </w:r>
    </w:p>
    <w:p w:rsidR="00C52208" w:rsidRDefault="00C52208" w:rsidP="00BA628D">
      <w:pPr>
        <w:rPr>
          <w:rFonts w:ascii="Arial" w:hAnsi="Arial" w:cs="Arial"/>
          <w:sz w:val="20"/>
          <w:szCs w:val="20"/>
        </w:rPr>
      </w:pPr>
    </w:p>
    <w:p w:rsidR="00D3608C" w:rsidRDefault="00BA628D" w:rsidP="00BA628D">
      <w:pPr>
        <w:rPr>
          <w:rFonts w:ascii="Arial" w:hAnsi="Arial" w:cs="Arial"/>
          <w:sz w:val="20"/>
          <w:szCs w:val="20"/>
        </w:rPr>
      </w:pPr>
      <w:r w:rsidRPr="00BA628D">
        <w:rPr>
          <w:rFonts w:ascii="Arial" w:hAnsi="Arial" w:cs="Arial"/>
          <w:sz w:val="20"/>
          <w:szCs w:val="20"/>
        </w:rPr>
        <w:t xml:space="preserve">The </w:t>
      </w:r>
      <w:r w:rsidR="00625FF6">
        <w:rPr>
          <w:rFonts w:ascii="Arial" w:hAnsi="Arial" w:cs="Arial"/>
          <w:sz w:val="20"/>
          <w:szCs w:val="20"/>
        </w:rPr>
        <w:t>standard for the aware user device</w:t>
      </w:r>
      <w:r w:rsidR="00625FF6" w:rsidRPr="00BA628D">
        <w:rPr>
          <w:rFonts w:ascii="Arial" w:hAnsi="Arial" w:cs="Arial"/>
          <w:sz w:val="20"/>
          <w:szCs w:val="20"/>
        </w:rPr>
        <w:t xml:space="preserve"> </w:t>
      </w:r>
      <w:r w:rsidRPr="00BA628D">
        <w:rPr>
          <w:rFonts w:ascii="Arial" w:hAnsi="Arial" w:cs="Arial"/>
          <w:sz w:val="20"/>
          <w:szCs w:val="20"/>
        </w:rPr>
        <w:t>is that the transmitter</w:t>
      </w:r>
      <w:r w:rsidR="00625FF6">
        <w:rPr>
          <w:rFonts w:ascii="Arial" w:hAnsi="Arial" w:cs="Arial"/>
          <w:sz w:val="20"/>
          <w:szCs w:val="20"/>
        </w:rPr>
        <w:t>,</w:t>
      </w:r>
      <w:r w:rsidRPr="00BA628D">
        <w:rPr>
          <w:rFonts w:ascii="Arial" w:hAnsi="Arial" w:cs="Arial"/>
          <w:sz w:val="20"/>
          <w:szCs w:val="20"/>
        </w:rPr>
        <w:t xml:space="preserve"> when used in its normal position of use</w:t>
      </w:r>
      <w:r w:rsidR="00625FF6">
        <w:rPr>
          <w:rFonts w:ascii="Arial" w:hAnsi="Arial" w:cs="Arial"/>
          <w:sz w:val="20"/>
          <w:szCs w:val="20"/>
        </w:rPr>
        <w:t>,</w:t>
      </w:r>
      <w:r w:rsidRPr="00BA628D">
        <w:rPr>
          <w:rFonts w:ascii="Arial" w:hAnsi="Arial" w:cs="Arial"/>
          <w:sz w:val="20"/>
          <w:szCs w:val="20"/>
        </w:rPr>
        <w:t xml:space="preserve"> must not expose the user to </w:t>
      </w:r>
      <w:r w:rsidR="00EC6421">
        <w:rPr>
          <w:rFonts w:ascii="Arial" w:hAnsi="Arial" w:cs="Arial"/>
          <w:sz w:val="20"/>
          <w:szCs w:val="20"/>
        </w:rPr>
        <w:t>EME</w:t>
      </w:r>
      <w:r w:rsidRPr="00BA628D">
        <w:rPr>
          <w:rFonts w:ascii="Arial" w:hAnsi="Arial" w:cs="Arial"/>
          <w:sz w:val="20"/>
          <w:szCs w:val="20"/>
        </w:rPr>
        <w:t xml:space="preserve"> that exceeds the basic restrictions </w:t>
      </w:r>
      <w:r w:rsidR="00625FF6">
        <w:rPr>
          <w:rFonts w:ascii="Arial" w:hAnsi="Arial" w:cs="Arial"/>
          <w:sz w:val="20"/>
          <w:szCs w:val="20"/>
        </w:rPr>
        <w:t xml:space="preserve">(as set out in the ARPANSA Standard) </w:t>
      </w:r>
      <w:r w:rsidRPr="00BA628D">
        <w:rPr>
          <w:rFonts w:ascii="Arial" w:hAnsi="Arial" w:cs="Arial"/>
          <w:sz w:val="20"/>
          <w:szCs w:val="20"/>
        </w:rPr>
        <w:t>for occupational exposure limits</w:t>
      </w:r>
      <w:r w:rsidR="00855929">
        <w:rPr>
          <w:rFonts w:ascii="Arial" w:hAnsi="Arial" w:cs="Arial"/>
          <w:sz w:val="20"/>
          <w:szCs w:val="20"/>
        </w:rPr>
        <w:t>.</w:t>
      </w:r>
      <w:r w:rsidRPr="00BA628D">
        <w:rPr>
          <w:rFonts w:ascii="Arial" w:hAnsi="Arial" w:cs="Arial"/>
          <w:sz w:val="20"/>
          <w:szCs w:val="20"/>
        </w:rPr>
        <w:t xml:space="preserve"> Such transmitters are not usually used by members of the general public but rather by persons who have been made aware of, or instructed on, the safe operation of transmitters. Emergency services personnel and amateur radio operators </w:t>
      </w:r>
      <w:r w:rsidR="00625FF6">
        <w:rPr>
          <w:rFonts w:ascii="Arial" w:hAnsi="Arial" w:cs="Arial"/>
          <w:sz w:val="20"/>
          <w:szCs w:val="20"/>
        </w:rPr>
        <w:t>may</w:t>
      </w:r>
      <w:r w:rsidR="00625FF6" w:rsidRPr="00BA628D">
        <w:rPr>
          <w:rFonts w:ascii="Arial" w:hAnsi="Arial" w:cs="Arial"/>
          <w:sz w:val="20"/>
          <w:szCs w:val="20"/>
        </w:rPr>
        <w:t xml:space="preserve"> </w:t>
      </w:r>
      <w:r w:rsidRPr="00BA628D">
        <w:rPr>
          <w:rFonts w:ascii="Arial" w:hAnsi="Arial" w:cs="Arial"/>
          <w:sz w:val="20"/>
          <w:szCs w:val="20"/>
        </w:rPr>
        <w:t>be included in this group.</w:t>
      </w:r>
    </w:p>
    <w:p w:rsidR="00BA628D" w:rsidRDefault="00BA628D" w:rsidP="00BA628D">
      <w:pPr>
        <w:rPr>
          <w:rFonts w:ascii="Arial" w:hAnsi="Arial" w:cs="Arial"/>
          <w:sz w:val="20"/>
          <w:szCs w:val="20"/>
        </w:rPr>
      </w:pPr>
    </w:p>
    <w:p w:rsidR="00BA628D" w:rsidRDefault="00BA628D" w:rsidP="00BA628D">
      <w:pPr>
        <w:rPr>
          <w:rFonts w:ascii="Arial" w:hAnsi="Arial" w:cs="Arial"/>
          <w:sz w:val="20"/>
          <w:szCs w:val="20"/>
        </w:rPr>
      </w:pPr>
      <w:r>
        <w:rPr>
          <w:rFonts w:ascii="Arial" w:hAnsi="Arial" w:cs="Arial"/>
          <w:sz w:val="20"/>
          <w:szCs w:val="20"/>
        </w:rPr>
        <w:t>S</w:t>
      </w:r>
      <w:r w:rsidR="00625FF6">
        <w:rPr>
          <w:rFonts w:ascii="Arial" w:hAnsi="Arial" w:cs="Arial"/>
          <w:sz w:val="20"/>
          <w:szCs w:val="20"/>
        </w:rPr>
        <w:t>ubs</w:t>
      </w:r>
      <w:r>
        <w:rPr>
          <w:rFonts w:ascii="Arial" w:hAnsi="Arial" w:cs="Arial"/>
          <w:sz w:val="20"/>
          <w:szCs w:val="20"/>
        </w:rPr>
        <w:t>ection</w:t>
      </w:r>
      <w:r w:rsidRPr="00BA628D">
        <w:rPr>
          <w:rFonts w:ascii="Arial" w:hAnsi="Arial" w:cs="Arial"/>
          <w:sz w:val="20"/>
          <w:szCs w:val="20"/>
        </w:rPr>
        <w:t xml:space="preserve"> </w:t>
      </w:r>
      <w:r>
        <w:rPr>
          <w:rFonts w:ascii="Arial" w:hAnsi="Arial" w:cs="Arial"/>
          <w:sz w:val="20"/>
          <w:szCs w:val="20"/>
        </w:rPr>
        <w:t>8</w:t>
      </w:r>
      <w:r w:rsidRPr="00BA628D">
        <w:rPr>
          <w:rFonts w:ascii="Arial" w:hAnsi="Arial" w:cs="Arial"/>
          <w:sz w:val="20"/>
          <w:szCs w:val="20"/>
        </w:rPr>
        <w:t xml:space="preserve">(2) prescribes the standard of performance for a transmitter </w:t>
      </w:r>
      <w:r w:rsidR="00625FF6">
        <w:rPr>
          <w:rFonts w:ascii="Arial" w:hAnsi="Arial" w:cs="Arial"/>
          <w:sz w:val="20"/>
          <w:szCs w:val="20"/>
        </w:rPr>
        <w:t>that is</w:t>
      </w:r>
      <w:r w:rsidRPr="00BA628D">
        <w:rPr>
          <w:rFonts w:ascii="Arial" w:hAnsi="Arial" w:cs="Arial"/>
          <w:sz w:val="20"/>
          <w:szCs w:val="20"/>
        </w:rPr>
        <w:t xml:space="preserve"> a </w:t>
      </w:r>
      <w:r w:rsidR="00625FF6">
        <w:rPr>
          <w:rFonts w:ascii="Arial" w:hAnsi="Arial" w:cs="Arial"/>
          <w:sz w:val="20"/>
          <w:szCs w:val="20"/>
        </w:rPr>
        <w:t>“</w:t>
      </w:r>
      <w:r w:rsidRPr="00BA628D">
        <w:rPr>
          <w:rFonts w:ascii="Arial" w:hAnsi="Arial" w:cs="Arial"/>
          <w:sz w:val="20"/>
          <w:szCs w:val="20"/>
        </w:rPr>
        <w:t>non-aware user</w:t>
      </w:r>
      <w:r w:rsidR="00625FF6">
        <w:rPr>
          <w:rFonts w:ascii="Arial" w:hAnsi="Arial" w:cs="Arial"/>
          <w:sz w:val="20"/>
          <w:szCs w:val="20"/>
        </w:rPr>
        <w:t xml:space="preserve"> device” (that is, any device that is not an aware user device)</w:t>
      </w:r>
      <w:r w:rsidRPr="00BA628D">
        <w:rPr>
          <w:rFonts w:ascii="Arial" w:hAnsi="Arial" w:cs="Arial"/>
          <w:sz w:val="20"/>
          <w:szCs w:val="20"/>
        </w:rPr>
        <w:t>.</w:t>
      </w:r>
      <w:r>
        <w:rPr>
          <w:rFonts w:ascii="Arial" w:hAnsi="Arial" w:cs="Arial"/>
          <w:sz w:val="20"/>
          <w:szCs w:val="20"/>
        </w:rPr>
        <w:t xml:space="preserve"> </w:t>
      </w:r>
      <w:r w:rsidRPr="00BA628D">
        <w:rPr>
          <w:rFonts w:ascii="Arial" w:hAnsi="Arial" w:cs="Arial"/>
          <w:sz w:val="20"/>
          <w:szCs w:val="20"/>
        </w:rPr>
        <w:t xml:space="preserve">The </w:t>
      </w:r>
      <w:r w:rsidR="00625FF6">
        <w:rPr>
          <w:rFonts w:ascii="Arial" w:hAnsi="Arial" w:cs="Arial"/>
          <w:sz w:val="20"/>
          <w:szCs w:val="20"/>
        </w:rPr>
        <w:t>standard</w:t>
      </w:r>
      <w:r w:rsidR="00625FF6" w:rsidRPr="00BA628D">
        <w:rPr>
          <w:rFonts w:ascii="Arial" w:hAnsi="Arial" w:cs="Arial"/>
          <w:sz w:val="20"/>
          <w:szCs w:val="20"/>
        </w:rPr>
        <w:t xml:space="preserve"> </w:t>
      </w:r>
      <w:r w:rsidRPr="00BA628D">
        <w:rPr>
          <w:rFonts w:ascii="Arial" w:hAnsi="Arial" w:cs="Arial"/>
          <w:sz w:val="20"/>
          <w:szCs w:val="20"/>
        </w:rPr>
        <w:t>is that the transmitter</w:t>
      </w:r>
      <w:r w:rsidR="00625FF6">
        <w:rPr>
          <w:rFonts w:ascii="Arial" w:hAnsi="Arial" w:cs="Arial"/>
          <w:sz w:val="20"/>
          <w:szCs w:val="20"/>
        </w:rPr>
        <w:t>,</w:t>
      </w:r>
      <w:r w:rsidRPr="00BA628D">
        <w:rPr>
          <w:rFonts w:ascii="Arial" w:hAnsi="Arial" w:cs="Arial"/>
          <w:sz w:val="20"/>
          <w:szCs w:val="20"/>
        </w:rPr>
        <w:t xml:space="preserve"> when used in its normal position of use</w:t>
      </w:r>
      <w:r w:rsidR="00625FF6">
        <w:rPr>
          <w:rFonts w:ascii="Arial" w:hAnsi="Arial" w:cs="Arial"/>
          <w:sz w:val="20"/>
          <w:szCs w:val="20"/>
        </w:rPr>
        <w:t>,</w:t>
      </w:r>
      <w:r w:rsidRPr="00BA628D">
        <w:rPr>
          <w:rFonts w:ascii="Arial" w:hAnsi="Arial" w:cs="Arial"/>
          <w:sz w:val="20"/>
          <w:szCs w:val="20"/>
        </w:rPr>
        <w:t xml:space="preserve"> must not expose the user to </w:t>
      </w:r>
      <w:r w:rsidR="00EC6421">
        <w:rPr>
          <w:rFonts w:ascii="Arial" w:hAnsi="Arial" w:cs="Arial"/>
          <w:sz w:val="20"/>
          <w:szCs w:val="20"/>
        </w:rPr>
        <w:t>EME</w:t>
      </w:r>
      <w:r w:rsidRPr="00BA628D">
        <w:rPr>
          <w:rFonts w:ascii="Arial" w:hAnsi="Arial" w:cs="Arial"/>
          <w:sz w:val="20"/>
          <w:szCs w:val="20"/>
        </w:rPr>
        <w:t xml:space="preserve"> that exceeds the basic restriction</w:t>
      </w:r>
      <w:r w:rsidR="00625FF6">
        <w:rPr>
          <w:rFonts w:ascii="Arial" w:hAnsi="Arial" w:cs="Arial"/>
          <w:sz w:val="20"/>
          <w:szCs w:val="20"/>
        </w:rPr>
        <w:t>s (as set out in the ARPANSA Standard)</w:t>
      </w:r>
      <w:r w:rsidRPr="00BA628D">
        <w:rPr>
          <w:rFonts w:ascii="Arial" w:hAnsi="Arial" w:cs="Arial"/>
          <w:sz w:val="20"/>
          <w:szCs w:val="20"/>
        </w:rPr>
        <w:t xml:space="preserve"> for general public exposure limits.  Such transmitters include </w:t>
      </w:r>
      <w:r w:rsidRPr="00855929">
        <w:rPr>
          <w:rFonts w:ascii="Arial" w:hAnsi="Arial" w:cs="Arial"/>
          <w:sz w:val="20"/>
          <w:szCs w:val="20"/>
        </w:rPr>
        <w:t>mobile cellular handsets and radio-controlled toys</w:t>
      </w:r>
      <w:r w:rsidRPr="00BA628D">
        <w:rPr>
          <w:rFonts w:ascii="Arial" w:hAnsi="Arial" w:cs="Arial"/>
          <w:sz w:val="20"/>
          <w:szCs w:val="20"/>
        </w:rPr>
        <w:t xml:space="preserve"> readily available to the general public.</w:t>
      </w:r>
    </w:p>
    <w:p w:rsidR="00D3608C" w:rsidRDefault="00D3608C" w:rsidP="004B4201">
      <w:pPr>
        <w:ind w:left="1440" w:hanging="1440"/>
        <w:rPr>
          <w:rFonts w:ascii="Arial" w:hAnsi="Arial" w:cs="Arial"/>
          <w:sz w:val="20"/>
          <w:szCs w:val="20"/>
        </w:rPr>
      </w:pPr>
    </w:p>
    <w:p w:rsidR="00BA628D" w:rsidRDefault="00BA628D" w:rsidP="00BA628D">
      <w:pPr>
        <w:rPr>
          <w:rFonts w:ascii="Arial" w:hAnsi="Arial" w:cs="Arial"/>
          <w:sz w:val="20"/>
          <w:szCs w:val="20"/>
        </w:rPr>
      </w:pPr>
      <w:r>
        <w:rPr>
          <w:rFonts w:ascii="Arial" w:hAnsi="Arial" w:cs="Arial"/>
          <w:sz w:val="20"/>
          <w:szCs w:val="20"/>
        </w:rPr>
        <w:t>S</w:t>
      </w:r>
      <w:r w:rsidR="00625FF6">
        <w:rPr>
          <w:rFonts w:ascii="Arial" w:hAnsi="Arial" w:cs="Arial"/>
          <w:sz w:val="20"/>
          <w:szCs w:val="20"/>
        </w:rPr>
        <w:t>ubs</w:t>
      </w:r>
      <w:r>
        <w:rPr>
          <w:rFonts w:ascii="Arial" w:hAnsi="Arial" w:cs="Arial"/>
          <w:sz w:val="20"/>
          <w:szCs w:val="20"/>
        </w:rPr>
        <w:t xml:space="preserve">ection 8(3) prescribes that if a transmitter is capable of operating in simultaneous multi-band transmission mode, it must meet the performance standards required in </w:t>
      </w:r>
      <w:r w:rsidR="00A213B8">
        <w:rPr>
          <w:rFonts w:ascii="Arial" w:hAnsi="Arial" w:cs="Arial"/>
          <w:sz w:val="20"/>
          <w:szCs w:val="20"/>
        </w:rPr>
        <w:t>s</w:t>
      </w:r>
      <w:r>
        <w:rPr>
          <w:rFonts w:ascii="Arial" w:hAnsi="Arial" w:cs="Arial"/>
          <w:sz w:val="20"/>
          <w:szCs w:val="20"/>
        </w:rPr>
        <w:t xml:space="preserve">ection 8 while operating in that mode. Such transmitters include </w:t>
      </w:r>
      <w:r w:rsidR="001A141C">
        <w:rPr>
          <w:rFonts w:ascii="Arial" w:hAnsi="Arial" w:cs="Arial"/>
          <w:sz w:val="20"/>
          <w:szCs w:val="20"/>
        </w:rPr>
        <w:t xml:space="preserve">mobile and wireless products </w:t>
      </w:r>
      <w:r w:rsidR="001A141C" w:rsidRPr="001A141C">
        <w:rPr>
          <w:rFonts w:ascii="Arial" w:hAnsi="Arial" w:cs="Arial"/>
          <w:sz w:val="20"/>
          <w:szCs w:val="20"/>
        </w:rPr>
        <w:t>such as smart phones</w:t>
      </w:r>
      <w:r w:rsidR="001A141C">
        <w:rPr>
          <w:rFonts w:ascii="Arial" w:hAnsi="Arial" w:cs="Arial"/>
          <w:sz w:val="20"/>
          <w:szCs w:val="20"/>
        </w:rPr>
        <w:t>.</w:t>
      </w:r>
    </w:p>
    <w:p w:rsidR="00D3608C" w:rsidRDefault="00D3608C" w:rsidP="004B4201">
      <w:pPr>
        <w:rPr>
          <w:rFonts w:ascii="Arial" w:hAnsi="Arial" w:cs="Arial"/>
          <w:sz w:val="20"/>
          <w:szCs w:val="20"/>
        </w:rPr>
      </w:pPr>
    </w:p>
    <w:p w:rsidR="00C33412" w:rsidRPr="00D3608C" w:rsidRDefault="00C33412" w:rsidP="001B7898">
      <w:pPr>
        <w:ind w:left="1440" w:hanging="1440"/>
        <w:rPr>
          <w:rFonts w:ascii="Arial" w:hAnsi="Arial" w:cs="Arial"/>
          <w:b/>
          <w:sz w:val="20"/>
          <w:szCs w:val="20"/>
        </w:rPr>
      </w:pPr>
      <w:r w:rsidRPr="00D3608C">
        <w:rPr>
          <w:rFonts w:ascii="Arial" w:hAnsi="Arial" w:cs="Arial"/>
          <w:b/>
          <w:sz w:val="20"/>
          <w:szCs w:val="20"/>
        </w:rPr>
        <w:t>Section 9</w:t>
      </w:r>
      <w:r w:rsidRPr="00D3608C">
        <w:rPr>
          <w:rFonts w:ascii="Arial" w:hAnsi="Arial" w:cs="Arial"/>
          <w:b/>
          <w:sz w:val="20"/>
          <w:szCs w:val="20"/>
        </w:rPr>
        <w:tab/>
      </w:r>
      <w:r w:rsidR="001B7898" w:rsidRPr="001B7898">
        <w:rPr>
          <w:rFonts w:ascii="Arial" w:hAnsi="Arial" w:cs="Arial"/>
          <w:b/>
          <w:sz w:val="20"/>
          <w:szCs w:val="20"/>
        </w:rPr>
        <w:t>Measurement methods for performance standards: aware user device or non aware user device in close proximity to the human ear</w:t>
      </w:r>
    </w:p>
    <w:p w:rsidR="001A141C" w:rsidRDefault="001A141C" w:rsidP="004B4201">
      <w:pPr>
        <w:rPr>
          <w:rFonts w:ascii="Arial" w:hAnsi="Arial" w:cs="Arial"/>
          <w:sz w:val="20"/>
          <w:szCs w:val="20"/>
        </w:rPr>
      </w:pPr>
      <w:r w:rsidRPr="001A141C">
        <w:rPr>
          <w:rFonts w:ascii="Arial" w:hAnsi="Arial" w:cs="Arial"/>
          <w:sz w:val="20"/>
          <w:szCs w:val="20"/>
        </w:rPr>
        <w:t xml:space="preserve">Section </w:t>
      </w:r>
      <w:r>
        <w:rPr>
          <w:rFonts w:ascii="Arial" w:hAnsi="Arial" w:cs="Arial"/>
          <w:sz w:val="20"/>
          <w:szCs w:val="20"/>
        </w:rPr>
        <w:t>9</w:t>
      </w:r>
      <w:r w:rsidRPr="001A141C">
        <w:rPr>
          <w:rFonts w:ascii="Arial" w:hAnsi="Arial" w:cs="Arial"/>
          <w:sz w:val="20"/>
          <w:szCs w:val="20"/>
        </w:rPr>
        <w:t xml:space="preserve"> prescribes measurement methods for determining compliance with </w:t>
      </w:r>
      <w:r w:rsidR="00D0184E">
        <w:rPr>
          <w:rFonts w:ascii="Arial" w:hAnsi="Arial" w:cs="Arial"/>
          <w:sz w:val="20"/>
          <w:szCs w:val="20"/>
        </w:rPr>
        <w:t>s</w:t>
      </w:r>
      <w:r w:rsidRPr="001A141C">
        <w:rPr>
          <w:rFonts w:ascii="Arial" w:hAnsi="Arial" w:cs="Arial"/>
          <w:sz w:val="20"/>
          <w:szCs w:val="20"/>
        </w:rPr>
        <w:t xml:space="preserve">ection </w:t>
      </w:r>
      <w:r>
        <w:rPr>
          <w:rFonts w:ascii="Arial" w:hAnsi="Arial" w:cs="Arial"/>
          <w:sz w:val="20"/>
          <w:szCs w:val="20"/>
        </w:rPr>
        <w:t>8</w:t>
      </w:r>
      <w:r w:rsidRPr="001A141C">
        <w:rPr>
          <w:rFonts w:ascii="Arial" w:hAnsi="Arial" w:cs="Arial"/>
          <w:sz w:val="20"/>
          <w:szCs w:val="20"/>
        </w:rPr>
        <w:t xml:space="preserve"> for transmitters used near the side of the head, such as mobile telephone handsets. </w:t>
      </w:r>
    </w:p>
    <w:p w:rsidR="001A141C" w:rsidRDefault="001A141C" w:rsidP="004B4201">
      <w:pPr>
        <w:rPr>
          <w:rFonts w:ascii="Arial" w:hAnsi="Arial" w:cs="Arial"/>
          <w:sz w:val="20"/>
          <w:szCs w:val="20"/>
        </w:rPr>
      </w:pPr>
    </w:p>
    <w:p w:rsidR="001A141C" w:rsidRDefault="001A141C" w:rsidP="003E3B94">
      <w:pPr>
        <w:rPr>
          <w:rFonts w:ascii="Arial" w:hAnsi="Arial" w:cs="Arial"/>
          <w:sz w:val="20"/>
          <w:szCs w:val="20"/>
        </w:rPr>
      </w:pPr>
      <w:r>
        <w:rPr>
          <w:rFonts w:ascii="Arial" w:hAnsi="Arial" w:cs="Arial"/>
          <w:sz w:val="20"/>
          <w:szCs w:val="20"/>
        </w:rPr>
        <w:t>Measurements must be made using the test methods identified in IEC 62209-1 or EN 62209-1.</w:t>
      </w:r>
      <w:r w:rsidR="00782F37">
        <w:rPr>
          <w:rFonts w:ascii="Arial" w:hAnsi="Arial" w:cs="Arial"/>
          <w:sz w:val="20"/>
          <w:szCs w:val="20"/>
        </w:rPr>
        <w:t xml:space="preserve"> This ensures</w:t>
      </w:r>
      <w:r w:rsidR="00D0184E">
        <w:rPr>
          <w:rFonts w:ascii="Arial" w:hAnsi="Arial" w:cs="Arial"/>
          <w:sz w:val="20"/>
          <w:szCs w:val="20"/>
        </w:rPr>
        <w:t xml:space="preserve"> that</w:t>
      </w:r>
      <w:r w:rsidR="00782F37">
        <w:rPr>
          <w:rFonts w:ascii="Arial" w:hAnsi="Arial" w:cs="Arial"/>
          <w:sz w:val="20"/>
          <w:szCs w:val="20"/>
        </w:rPr>
        <w:t xml:space="preserve"> </w:t>
      </w:r>
      <w:r w:rsidR="00782F37" w:rsidRPr="00782F37">
        <w:rPr>
          <w:rFonts w:ascii="Arial" w:hAnsi="Arial" w:cs="Arial"/>
          <w:sz w:val="20"/>
          <w:szCs w:val="20"/>
        </w:rPr>
        <w:t xml:space="preserve">Australia </w:t>
      </w:r>
      <w:r w:rsidR="00782F37">
        <w:rPr>
          <w:rFonts w:ascii="Arial" w:hAnsi="Arial" w:cs="Arial"/>
          <w:sz w:val="20"/>
          <w:szCs w:val="20"/>
        </w:rPr>
        <w:t xml:space="preserve">is aligned </w:t>
      </w:r>
      <w:r w:rsidR="00782F37" w:rsidRPr="00782F37">
        <w:rPr>
          <w:rFonts w:ascii="Arial" w:hAnsi="Arial" w:cs="Arial"/>
          <w:sz w:val="20"/>
          <w:szCs w:val="20"/>
        </w:rPr>
        <w:t>with a common international practice</w:t>
      </w:r>
      <w:r w:rsidR="003E3B94">
        <w:rPr>
          <w:rFonts w:ascii="Arial" w:hAnsi="Arial" w:cs="Arial"/>
          <w:sz w:val="20"/>
          <w:szCs w:val="20"/>
        </w:rPr>
        <w:t xml:space="preserve"> and provides a choice of test methodologies for </w:t>
      </w:r>
      <w:r w:rsidR="003E3B94" w:rsidRPr="003E3B94">
        <w:rPr>
          <w:rFonts w:ascii="Arial" w:hAnsi="Arial" w:cs="Arial"/>
          <w:sz w:val="20"/>
          <w:szCs w:val="20"/>
        </w:rPr>
        <w:t>supplier</w:t>
      </w:r>
      <w:r w:rsidR="003E3B94">
        <w:rPr>
          <w:rFonts w:ascii="Arial" w:hAnsi="Arial" w:cs="Arial"/>
          <w:sz w:val="20"/>
          <w:szCs w:val="20"/>
        </w:rPr>
        <w:t>s</w:t>
      </w:r>
      <w:r w:rsidR="003E3B94" w:rsidRPr="003E3B94">
        <w:rPr>
          <w:rFonts w:ascii="Arial" w:hAnsi="Arial" w:cs="Arial"/>
          <w:sz w:val="20"/>
          <w:szCs w:val="20"/>
        </w:rPr>
        <w:t xml:space="preserve"> to demonstrate compliance for transmitters used</w:t>
      </w:r>
      <w:r w:rsidR="003E3B94">
        <w:rPr>
          <w:rFonts w:ascii="Arial" w:hAnsi="Arial" w:cs="Arial"/>
          <w:sz w:val="20"/>
          <w:szCs w:val="20"/>
        </w:rPr>
        <w:t xml:space="preserve"> </w:t>
      </w:r>
      <w:r w:rsidR="003E3B94" w:rsidRPr="003E3B94">
        <w:rPr>
          <w:rFonts w:ascii="Arial" w:hAnsi="Arial" w:cs="Arial"/>
          <w:sz w:val="20"/>
          <w:szCs w:val="20"/>
        </w:rPr>
        <w:t>in close proximity to the ear</w:t>
      </w:r>
      <w:r w:rsidR="00782F37">
        <w:rPr>
          <w:rFonts w:ascii="Arial" w:hAnsi="Arial" w:cs="Arial"/>
          <w:sz w:val="20"/>
          <w:szCs w:val="20"/>
        </w:rPr>
        <w:t>.</w:t>
      </w:r>
    </w:p>
    <w:p w:rsidR="001A141C" w:rsidRDefault="001A141C" w:rsidP="004B4201">
      <w:pPr>
        <w:rPr>
          <w:rFonts w:ascii="Arial" w:hAnsi="Arial" w:cs="Arial"/>
          <w:sz w:val="20"/>
          <w:szCs w:val="20"/>
        </w:rPr>
      </w:pPr>
    </w:p>
    <w:p w:rsidR="00D3608C" w:rsidRDefault="00A47CE1" w:rsidP="004B4201">
      <w:pPr>
        <w:rPr>
          <w:rFonts w:ascii="Arial" w:hAnsi="Arial" w:cs="Arial"/>
          <w:sz w:val="20"/>
          <w:szCs w:val="20"/>
        </w:rPr>
      </w:pPr>
      <w:r w:rsidRPr="00A47CE1">
        <w:rPr>
          <w:rFonts w:ascii="Arial" w:hAnsi="Arial" w:cs="Arial"/>
          <w:sz w:val="20"/>
          <w:szCs w:val="20"/>
        </w:rPr>
        <w:t>The Instrument requires that if a device is designed or intended by the supplier to be used in close proximity to the ear; and if IEC</w:t>
      </w:r>
      <w:r w:rsidR="00D0184E">
        <w:rPr>
          <w:rFonts w:ascii="Arial" w:hAnsi="Arial" w:cs="Arial"/>
          <w:sz w:val="20"/>
          <w:szCs w:val="20"/>
        </w:rPr>
        <w:t xml:space="preserve"> </w:t>
      </w:r>
      <w:r w:rsidRPr="00A47CE1">
        <w:rPr>
          <w:rFonts w:ascii="Arial" w:hAnsi="Arial" w:cs="Arial"/>
          <w:sz w:val="20"/>
          <w:szCs w:val="20"/>
        </w:rPr>
        <w:t xml:space="preserve">62209-1 </w:t>
      </w:r>
      <w:r w:rsidR="001A141C" w:rsidRPr="001A141C">
        <w:rPr>
          <w:rFonts w:ascii="Arial" w:hAnsi="Arial" w:cs="Arial"/>
          <w:sz w:val="20"/>
          <w:szCs w:val="20"/>
        </w:rPr>
        <w:t>or EN 62209-1</w:t>
      </w:r>
      <w:r w:rsidR="001A141C">
        <w:rPr>
          <w:rFonts w:ascii="Arial" w:hAnsi="Arial" w:cs="Arial"/>
          <w:sz w:val="20"/>
          <w:szCs w:val="20"/>
        </w:rPr>
        <w:t xml:space="preserve"> </w:t>
      </w:r>
      <w:r w:rsidRPr="00A47CE1">
        <w:rPr>
          <w:rFonts w:ascii="Arial" w:hAnsi="Arial" w:cs="Arial"/>
          <w:sz w:val="20"/>
          <w:szCs w:val="20"/>
        </w:rPr>
        <w:t>does not include a methodology for measurement in multi-band transmission mode, the device must be tested using the test methodology described in IEC</w:t>
      </w:r>
      <w:r w:rsidR="00D0184E">
        <w:rPr>
          <w:rFonts w:ascii="Arial" w:hAnsi="Arial" w:cs="Arial"/>
          <w:sz w:val="20"/>
          <w:szCs w:val="20"/>
        </w:rPr>
        <w:t xml:space="preserve"> </w:t>
      </w:r>
      <w:r w:rsidRPr="00A47CE1">
        <w:rPr>
          <w:rFonts w:ascii="Arial" w:hAnsi="Arial" w:cs="Arial"/>
          <w:sz w:val="20"/>
          <w:szCs w:val="20"/>
        </w:rPr>
        <w:t>62209</w:t>
      </w:r>
      <w:r w:rsidRPr="00E762A0">
        <w:rPr>
          <w:rFonts w:ascii="Arial" w:hAnsi="Arial" w:cs="Arial"/>
          <w:sz w:val="20"/>
          <w:szCs w:val="20"/>
        </w:rPr>
        <w:t>-</w:t>
      </w:r>
      <w:r w:rsidR="008F3077" w:rsidRPr="00E762A0">
        <w:rPr>
          <w:rFonts w:ascii="Arial" w:hAnsi="Arial" w:cs="Arial"/>
          <w:sz w:val="20"/>
          <w:szCs w:val="20"/>
        </w:rPr>
        <w:t>2 or EN 62209-2.</w:t>
      </w:r>
    </w:p>
    <w:p w:rsidR="00D3608C" w:rsidRDefault="00D3608C" w:rsidP="004B4201">
      <w:pPr>
        <w:rPr>
          <w:rFonts w:ascii="Arial" w:hAnsi="Arial" w:cs="Arial"/>
          <w:sz w:val="20"/>
          <w:szCs w:val="20"/>
        </w:rPr>
      </w:pPr>
    </w:p>
    <w:p w:rsidR="00C33412" w:rsidRPr="00D3608C" w:rsidRDefault="00C33412" w:rsidP="00C33412">
      <w:pPr>
        <w:ind w:left="1440" w:hanging="1440"/>
        <w:rPr>
          <w:rFonts w:ascii="Arial" w:hAnsi="Arial" w:cs="Arial"/>
          <w:b/>
          <w:sz w:val="20"/>
          <w:szCs w:val="20"/>
        </w:rPr>
      </w:pPr>
      <w:r w:rsidRPr="00D3608C">
        <w:rPr>
          <w:rFonts w:ascii="Arial" w:hAnsi="Arial" w:cs="Arial"/>
          <w:b/>
          <w:sz w:val="20"/>
          <w:szCs w:val="20"/>
        </w:rPr>
        <w:t>Section 10</w:t>
      </w:r>
      <w:r w:rsidRPr="00D3608C">
        <w:rPr>
          <w:rFonts w:ascii="Arial" w:hAnsi="Arial" w:cs="Arial"/>
          <w:b/>
          <w:sz w:val="20"/>
          <w:szCs w:val="20"/>
        </w:rPr>
        <w:tab/>
      </w:r>
      <w:r w:rsidR="001B7898" w:rsidRPr="001B7898">
        <w:rPr>
          <w:rFonts w:ascii="Arial" w:hAnsi="Arial" w:cs="Arial"/>
          <w:b/>
          <w:sz w:val="20"/>
          <w:szCs w:val="20"/>
        </w:rPr>
        <w:t>Measurement methods for performance standards: aware user device or non–aware user device 20cm or less from the human body</w:t>
      </w:r>
    </w:p>
    <w:p w:rsidR="00D3608C" w:rsidRDefault="00782F37" w:rsidP="00C33412">
      <w:pPr>
        <w:rPr>
          <w:rFonts w:ascii="Arial" w:hAnsi="Arial" w:cs="Arial"/>
          <w:sz w:val="20"/>
          <w:szCs w:val="20"/>
        </w:rPr>
      </w:pPr>
      <w:r w:rsidRPr="00782F37">
        <w:rPr>
          <w:rFonts w:ascii="Arial" w:hAnsi="Arial" w:cs="Arial"/>
          <w:sz w:val="20"/>
          <w:szCs w:val="20"/>
        </w:rPr>
        <w:t>Section 1</w:t>
      </w:r>
      <w:r>
        <w:rPr>
          <w:rFonts w:ascii="Arial" w:hAnsi="Arial" w:cs="Arial"/>
          <w:sz w:val="20"/>
          <w:szCs w:val="20"/>
        </w:rPr>
        <w:t>0</w:t>
      </w:r>
      <w:r w:rsidRPr="00782F37">
        <w:rPr>
          <w:rFonts w:ascii="Arial" w:hAnsi="Arial" w:cs="Arial"/>
          <w:sz w:val="20"/>
          <w:szCs w:val="20"/>
        </w:rPr>
        <w:t xml:space="preserve"> prescribes measurement methods for determining compliance with </w:t>
      </w:r>
      <w:r w:rsidR="00D0184E">
        <w:rPr>
          <w:rFonts w:ascii="Arial" w:hAnsi="Arial" w:cs="Arial"/>
          <w:sz w:val="20"/>
          <w:szCs w:val="20"/>
        </w:rPr>
        <w:t>s</w:t>
      </w:r>
      <w:r w:rsidRPr="00782F37">
        <w:rPr>
          <w:rFonts w:ascii="Arial" w:hAnsi="Arial" w:cs="Arial"/>
          <w:sz w:val="20"/>
          <w:szCs w:val="20"/>
        </w:rPr>
        <w:t xml:space="preserve">ection </w:t>
      </w:r>
      <w:r>
        <w:rPr>
          <w:rFonts w:ascii="Arial" w:hAnsi="Arial" w:cs="Arial"/>
          <w:sz w:val="20"/>
          <w:szCs w:val="20"/>
        </w:rPr>
        <w:t>8</w:t>
      </w:r>
      <w:r w:rsidRPr="00782F37">
        <w:rPr>
          <w:rFonts w:ascii="Arial" w:hAnsi="Arial" w:cs="Arial"/>
          <w:sz w:val="20"/>
          <w:szCs w:val="20"/>
        </w:rPr>
        <w:t xml:space="preserve"> for transmitters used within 20cm of the human body (not including transmitters to which </w:t>
      </w:r>
      <w:r w:rsidR="00D0184E">
        <w:rPr>
          <w:rFonts w:ascii="Arial" w:hAnsi="Arial" w:cs="Arial"/>
          <w:sz w:val="20"/>
          <w:szCs w:val="20"/>
        </w:rPr>
        <w:t>s</w:t>
      </w:r>
      <w:r w:rsidRPr="00782F37">
        <w:rPr>
          <w:rFonts w:ascii="Arial" w:hAnsi="Arial" w:cs="Arial"/>
          <w:sz w:val="20"/>
          <w:szCs w:val="20"/>
        </w:rPr>
        <w:t xml:space="preserve">ection </w:t>
      </w:r>
      <w:r>
        <w:rPr>
          <w:rFonts w:ascii="Arial" w:hAnsi="Arial" w:cs="Arial"/>
          <w:sz w:val="20"/>
          <w:szCs w:val="20"/>
        </w:rPr>
        <w:t>9</w:t>
      </w:r>
      <w:r w:rsidR="00855929">
        <w:rPr>
          <w:rFonts w:ascii="Arial" w:hAnsi="Arial" w:cs="Arial"/>
          <w:sz w:val="20"/>
          <w:szCs w:val="20"/>
        </w:rPr>
        <w:t xml:space="preserve"> applies).</w:t>
      </w:r>
    </w:p>
    <w:p w:rsidR="00782F37" w:rsidRDefault="00782F37" w:rsidP="00C33412">
      <w:pPr>
        <w:rPr>
          <w:rFonts w:ascii="Arial" w:hAnsi="Arial" w:cs="Arial"/>
          <w:sz w:val="20"/>
          <w:szCs w:val="20"/>
        </w:rPr>
      </w:pPr>
    </w:p>
    <w:p w:rsidR="00782F37" w:rsidRDefault="00782F37" w:rsidP="00C33412">
      <w:pPr>
        <w:rPr>
          <w:rFonts w:ascii="Arial" w:hAnsi="Arial" w:cs="Arial"/>
          <w:sz w:val="20"/>
          <w:szCs w:val="20"/>
        </w:rPr>
      </w:pPr>
      <w:r w:rsidRPr="00782F37">
        <w:rPr>
          <w:rFonts w:ascii="Arial" w:hAnsi="Arial" w:cs="Arial"/>
          <w:sz w:val="20"/>
          <w:szCs w:val="20"/>
        </w:rPr>
        <w:t>Measurements must be made using the test methods identified in IEC 62209-</w:t>
      </w:r>
      <w:r>
        <w:rPr>
          <w:rFonts w:ascii="Arial" w:hAnsi="Arial" w:cs="Arial"/>
          <w:sz w:val="20"/>
          <w:szCs w:val="20"/>
        </w:rPr>
        <w:t>2</w:t>
      </w:r>
      <w:r w:rsidRPr="00782F37">
        <w:rPr>
          <w:rFonts w:ascii="Arial" w:hAnsi="Arial" w:cs="Arial"/>
          <w:sz w:val="20"/>
          <w:szCs w:val="20"/>
        </w:rPr>
        <w:t xml:space="preserve"> or EN 62209-</w:t>
      </w:r>
      <w:r>
        <w:rPr>
          <w:rFonts w:ascii="Arial" w:hAnsi="Arial" w:cs="Arial"/>
          <w:sz w:val="20"/>
          <w:szCs w:val="20"/>
        </w:rPr>
        <w:t>2</w:t>
      </w:r>
      <w:r w:rsidRPr="00782F37">
        <w:rPr>
          <w:rFonts w:ascii="Arial" w:hAnsi="Arial" w:cs="Arial"/>
          <w:sz w:val="20"/>
          <w:szCs w:val="20"/>
        </w:rPr>
        <w:t xml:space="preserve">. </w:t>
      </w:r>
    </w:p>
    <w:p w:rsidR="00D3608C" w:rsidRDefault="00D3608C" w:rsidP="00C33412">
      <w:pPr>
        <w:rPr>
          <w:rFonts w:ascii="Arial" w:hAnsi="Arial" w:cs="Arial"/>
          <w:sz w:val="20"/>
          <w:szCs w:val="20"/>
        </w:rPr>
      </w:pPr>
    </w:p>
    <w:p w:rsidR="00C33412" w:rsidRPr="00D3608C" w:rsidRDefault="00C33412" w:rsidP="001B7898">
      <w:pPr>
        <w:ind w:left="1440" w:hanging="1440"/>
        <w:rPr>
          <w:rFonts w:ascii="Arial" w:hAnsi="Arial" w:cs="Arial"/>
          <w:b/>
          <w:sz w:val="20"/>
          <w:szCs w:val="20"/>
        </w:rPr>
      </w:pPr>
      <w:r w:rsidRPr="00D3608C">
        <w:rPr>
          <w:rFonts w:ascii="Arial" w:hAnsi="Arial" w:cs="Arial"/>
          <w:b/>
          <w:sz w:val="20"/>
          <w:szCs w:val="20"/>
        </w:rPr>
        <w:t>Section 11</w:t>
      </w:r>
      <w:r w:rsidRPr="00D3608C">
        <w:rPr>
          <w:rFonts w:ascii="Arial" w:hAnsi="Arial" w:cs="Arial"/>
          <w:b/>
          <w:sz w:val="20"/>
          <w:szCs w:val="20"/>
        </w:rPr>
        <w:tab/>
      </w:r>
      <w:r w:rsidR="001B7898" w:rsidRPr="001B7898">
        <w:rPr>
          <w:rFonts w:ascii="Arial" w:hAnsi="Arial" w:cs="Arial"/>
          <w:b/>
          <w:sz w:val="20"/>
          <w:szCs w:val="20"/>
        </w:rPr>
        <w:t>Assessment methods for performance standards: aware user devices and non aware user devices more than 20cm from the human body</w:t>
      </w:r>
    </w:p>
    <w:p w:rsidR="00782F37" w:rsidRDefault="00782F37" w:rsidP="00A56AE9">
      <w:pPr>
        <w:rPr>
          <w:rFonts w:ascii="Arial" w:hAnsi="Arial" w:cs="Arial"/>
          <w:b/>
          <w:sz w:val="20"/>
          <w:szCs w:val="20"/>
        </w:rPr>
      </w:pPr>
      <w:r w:rsidRPr="00A56AE9">
        <w:rPr>
          <w:rFonts w:ascii="Arial" w:hAnsi="Arial" w:cs="Arial"/>
          <w:sz w:val="20"/>
          <w:szCs w:val="20"/>
        </w:rPr>
        <w:t xml:space="preserve">Section 11 prescribes </w:t>
      </w:r>
      <w:r w:rsidR="00A213B8">
        <w:rPr>
          <w:rFonts w:ascii="Arial" w:hAnsi="Arial" w:cs="Arial"/>
          <w:sz w:val="20"/>
          <w:szCs w:val="20"/>
        </w:rPr>
        <w:t xml:space="preserve">assessment </w:t>
      </w:r>
      <w:r w:rsidRPr="00A56AE9">
        <w:rPr>
          <w:rFonts w:ascii="Arial" w:hAnsi="Arial" w:cs="Arial"/>
          <w:sz w:val="20"/>
          <w:szCs w:val="20"/>
        </w:rPr>
        <w:t xml:space="preserve">methods for determining compliance with </w:t>
      </w:r>
      <w:r w:rsidR="00D0184E">
        <w:rPr>
          <w:rFonts w:ascii="Arial" w:hAnsi="Arial" w:cs="Arial"/>
          <w:sz w:val="20"/>
          <w:szCs w:val="20"/>
        </w:rPr>
        <w:t>s</w:t>
      </w:r>
      <w:r w:rsidRPr="00A56AE9">
        <w:rPr>
          <w:rFonts w:ascii="Arial" w:hAnsi="Arial" w:cs="Arial"/>
          <w:sz w:val="20"/>
          <w:szCs w:val="20"/>
        </w:rPr>
        <w:t>ection 8 for transmitters</w:t>
      </w:r>
      <w:r w:rsidRPr="00782F37">
        <w:rPr>
          <w:rFonts w:ascii="Arial" w:hAnsi="Arial" w:cs="Arial"/>
          <w:sz w:val="20"/>
          <w:szCs w:val="20"/>
        </w:rPr>
        <w:t xml:space="preserve"> used at distances greater than 20cm from the human body. </w:t>
      </w:r>
    </w:p>
    <w:p w:rsidR="00B40BBD" w:rsidRPr="00661B18" w:rsidRDefault="00A213B8" w:rsidP="001567D5">
      <w:pPr>
        <w:pStyle w:val="Heading1"/>
        <w:ind w:right="-58"/>
        <w:rPr>
          <w:rFonts w:ascii="Arial" w:hAnsi="Arial" w:cs="Arial"/>
          <w:bCs w:val="0"/>
          <w:kern w:val="0"/>
          <w:sz w:val="24"/>
          <w:szCs w:val="24"/>
          <w:lang w:eastAsia="en-AU"/>
        </w:rPr>
      </w:pPr>
      <w:r>
        <w:rPr>
          <w:rFonts w:ascii="Arial" w:hAnsi="Arial" w:cs="Arial"/>
          <w:b w:val="0"/>
          <w:bCs w:val="0"/>
          <w:kern w:val="0"/>
          <w:sz w:val="20"/>
          <w:szCs w:val="20"/>
          <w:lang w:eastAsia="en-AU"/>
        </w:rPr>
        <w:t xml:space="preserve">Assessments </w:t>
      </w:r>
      <w:r w:rsidR="009E6B18" w:rsidRPr="001567D5">
        <w:rPr>
          <w:rFonts w:ascii="Arial" w:hAnsi="Arial" w:cs="Arial"/>
          <w:b w:val="0"/>
          <w:bCs w:val="0"/>
          <w:kern w:val="0"/>
          <w:sz w:val="20"/>
          <w:szCs w:val="20"/>
          <w:lang w:eastAsia="en-AU"/>
        </w:rPr>
        <w:t xml:space="preserve">must be made using the test methods identified in </w:t>
      </w:r>
      <w:r w:rsidR="00782F37" w:rsidRPr="001567D5">
        <w:rPr>
          <w:rFonts w:ascii="Arial" w:hAnsi="Arial" w:cs="Arial"/>
          <w:b w:val="0"/>
          <w:bCs w:val="0"/>
          <w:kern w:val="0"/>
          <w:sz w:val="20"/>
          <w:szCs w:val="20"/>
          <w:lang w:eastAsia="en-AU"/>
        </w:rPr>
        <w:t>AS/NZS 2772.2</w:t>
      </w:r>
      <w:r w:rsidR="009E6B18" w:rsidRPr="001567D5">
        <w:rPr>
          <w:rFonts w:ascii="Arial" w:hAnsi="Arial" w:cs="Arial"/>
          <w:b w:val="0"/>
          <w:bCs w:val="0"/>
          <w:kern w:val="0"/>
          <w:sz w:val="20"/>
          <w:szCs w:val="20"/>
          <w:lang w:eastAsia="en-AU"/>
        </w:rPr>
        <w:t>.</w:t>
      </w:r>
      <w:r w:rsidR="00782F37" w:rsidRPr="001567D5">
        <w:rPr>
          <w:rFonts w:ascii="Arial" w:hAnsi="Arial" w:cs="Arial"/>
          <w:b w:val="0"/>
          <w:bCs w:val="0"/>
          <w:kern w:val="0"/>
          <w:sz w:val="20"/>
          <w:szCs w:val="20"/>
          <w:lang w:eastAsia="en-AU"/>
        </w:rPr>
        <w:t xml:space="preserve"> </w:t>
      </w:r>
      <w:r w:rsidR="009E6B18" w:rsidRPr="001567D5">
        <w:rPr>
          <w:rFonts w:ascii="Arial" w:hAnsi="Arial" w:cs="Arial"/>
          <w:b w:val="0"/>
          <w:bCs w:val="0"/>
          <w:kern w:val="0"/>
          <w:sz w:val="20"/>
          <w:szCs w:val="20"/>
          <w:lang w:eastAsia="en-AU"/>
        </w:rPr>
        <w:t xml:space="preserve">AS/NZS 2772.2 </w:t>
      </w:r>
      <w:r w:rsidR="00782F37" w:rsidRPr="001567D5">
        <w:rPr>
          <w:rFonts w:ascii="Arial" w:hAnsi="Arial" w:cs="Arial"/>
          <w:b w:val="0"/>
          <w:bCs w:val="0"/>
          <w:kern w:val="0"/>
          <w:sz w:val="20"/>
          <w:szCs w:val="20"/>
          <w:lang w:eastAsia="en-AU"/>
        </w:rPr>
        <w:t xml:space="preserve">prescribes the method of test for such devices and is limited to the frequency range 300 kHz to 100 GHz.  </w:t>
      </w:r>
      <w:r w:rsidR="00A45D78" w:rsidRPr="001567D5">
        <w:rPr>
          <w:rFonts w:ascii="Arial" w:hAnsi="Arial" w:cs="Arial"/>
          <w:b w:val="0"/>
          <w:bCs w:val="0"/>
          <w:kern w:val="0"/>
          <w:sz w:val="20"/>
          <w:szCs w:val="20"/>
          <w:lang w:eastAsia="en-AU"/>
        </w:rPr>
        <w:br w:type="page"/>
      </w:r>
      <w:r w:rsidR="00B40BBD" w:rsidRPr="00661B18">
        <w:rPr>
          <w:rFonts w:ascii="Arial" w:hAnsi="Arial" w:cs="Arial"/>
          <w:bCs w:val="0"/>
          <w:kern w:val="0"/>
          <w:sz w:val="24"/>
          <w:szCs w:val="24"/>
          <w:lang w:eastAsia="en-AU"/>
        </w:rPr>
        <w:lastRenderedPageBreak/>
        <w:t xml:space="preserve">Attachment </w:t>
      </w:r>
      <w:r w:rsidR="00B40BBD" w:rsidRPr="00855929">
        <w:rPr>
          <w:rFonts w:ascii="Arial" w:hAnsi="Arial" w:cs="Arial"/>
          <w:bCs w:val="0"/>
          <w:kern w:val="0"/>
          <w:sz w:val="24"/>
          <w:szCs w:val="24"/>
          <w:lang w:eastAsia="en-AU"/>
        </w:rPr>
        <w:t>B</w:t>
      </w:r>
    </w:p>
    <w:p w:rsidR="00A45D78" w:rsidRDefault="00106F01" w:rsidP="00A45D78">
      <w:pPr>
        <w:ind w:left="720" w:hanging="720"/>
      </w:pPr>
      <w:r>
        <w:rPr>
          <w:rFonts w:ascii="Cambria" w:hAnsi="Cambria"/>
          <w:noProof/>
          <w:sz w:val="32"/>
          <w:szCs w:val="32"/>
        </w:rPr>
        <mc:AlternateContent>
          <mc:Choice Requires="wps">
            <w:drawing>
              <wp:anchor distT="0" distB="0" distL="114300" distR="114300" simplePos="0" relativeHeight="251660288" behindDoc="0" locked="0" layoutInCell="1" allowOverlap="1" wp14:anchorId="07392D9A">
                <wp:simplePos x="0" y="0"/>
                <wp:positionH relativeFrom="column">
                  <wp:posOffset>10795</wp:posOffset>
                </wp:positionH>
                <wp:positionV relativeFrom="paragraph">
                  <wp:posOffset>179705</wp:posOffset>
                </wp:positionV>
                <wp:extent cx="6118860" cy="7696200"/>
                <wp:effectExtent l="39370" t="38100" r="42545"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7696200"/>
                        </a:xfrm>
                        <a:prstGeom prst="rect">
                          <a:avLst/>
                        </a:prstGeom>
                        <a:solidFill>
                          <a:srgbClr val="FFFFFF"/>
                        </a:solidFill>
                        <a:ln w="76200" cmpd="tri">
                          <a:solidFill>
                            <a:srgbClr val="000000"/>
                          </a:solidFill>
                          <a:miter lim="800000"/>
                          <a:headEnd/>
                          <a:tailEnd/>
                        </a:ln>
                      </wps:spPr>
                      <wps:txbx>
                        <w:txbxContent>
                          <w:p w:rsidR="005B2BAC" w:rsidRPr="00E4135E" w:rsidRDefault="005B2BAC" w:rsidP="00A45D78">
                            <w:pPr>
                              <w:spacing w:before="360" w:after="120"/>
                              <w:jc w:val="center"/>
                              <w:rPr>
                                <w:b/>
                                <w:sz w:val="28"/>
                                <w:szCs w:val="28"/>
                              </w:rPr>
                            </w:pPr>
                            <w:r w:rsidRPr="00E4135E">
                              <w:rPr>
                                <w:b/>
                                <w:sz w:val="28"/>
                                <w:szCs w:val="28"/>
                              </w:rPr>
                              <w:t>Statement of Compatibility with Human Rights</w:t>
                            </w:r>
                          </w:p>
                          <w:p w:rsidR="005B2BAC" w:rsidRPr="00E4135E" w:rsidRDefault="005B2BAC" w:rsidP="00A45D78">
                            <w:pPr>
                              <w:spacing w:before="120" w:after="120"/>
                              <w:jc w:val="center"/>
                            </w:pPr>
                            <w:r w:rsidRPr="00E4135E">
                              <w:rPr>
                                <w:i/>
                              </w:rPr>
                              <w:t>Prepared in accordance with Part 3 of the Human Rights (Parliamentary Scrutiny) Act 2011</w:t>
                            </w:r>
                          </w:p>
                          <w:p w:rsidR="005B2BAC" w:rsidRPr="00E4135E" w:rsidRDefault="005B2BAC" w:rsidP="00A45D78">
                            <w:pPr>
                              <w:spacing w:before="120" w:after="120"/>
                              <w:jc w:val="center"/>
                            </w:pPr>
                          </w:p>
                          <w:p w:rsidR="005B2BAC" w:rsidRDefault="005B2BAC" w:rsidP="00A45D78">
                            <w:pPr>
                              <w:spacing w:before="120" w:after="120"/>
                              <w:jc w:val="center"/>
                            </w:pPr>
                            <w:r w:rsidRPr="001B7898">
                              <w:rPr>
                                <w:b/>
                                <w:i/>
                              </w:rPr>
                              <w:t>Radiocommunications (Electromagnetic Radiation — Human Exposure) Standard 2014</w:t>
                            </w:r>
                          </w:p>
                          <w:p w:rsidR="005B2BAC" w:rsidRDefault="005B2BAC" w:rsidP="00A45D78">
                            <w:pPr>
                              <w:spacing w:before="120" w:after="120"/>
                              <w:jc w:val="center"/>
                            </w:pPr>
                          </w:p>
                          <w:p w:rsidR="005B2BAC" w:rsidRPr="00E4135E" w:rsidRDefault="005B2BAC" w:rsidP="00A45D78">
                            <w:pPr>
                              <w:spacing w:before="120" w:after="120"/>
                              <w:jc w:val="center"/>
                            </w:pPr>
                            <w:r w:rsidRPr="00E4135E">
                              <w:t xml:space="preserve">This </w:t>
                            </w:r>
                            <w:r>
                              <w:t>l</w:t>
                            </w:r>
                            <w:r w:rsidRPr="00E4135E">
                              <w:t xml:space="preserve">egislative </w:t>
                            </w:r>
                            <w:r>
                              <w:t>i</w:t>
                            </w:r>
                            <w:r w:rsidRPr="00E4135E">
                              <w:t xml:space="preserve">nstrument is compatible with the human rights and freedoms recognised or declared in the international instruments listed in section 3 of the </w:t>
                            </w:r>
                            <w:r w:rsidRPr="00E4135E">
                              <w:rPr>
                                <w:i/>
                              </w:rPr>
                              <w:t>Human Rights (Parliamentary Scrutiny) Act 2011</w:t>
                            </w:r>
                            <w:r w:rsidRPr="00E4135E">
                              <w:t>.</w:t>
                            </w:r>
                          </w:p>
                          <w:p w:rsidR="005B2BAC" w:rsidRPr="00E4135E" w:rsidRDefault="005B2BAC" w:rsidP="00A45D78">
                            <w:pPr>
                              <w:spacing w:before="120" w:after="120"/>
                              <w:jc w:val="center"/>
                            </w:pPr>
                          </w:p>
                          <w:p w:rsidR="005B2BAC" w:rsidRPr="00E4135E" w:rsidRDefault="005B2BAC" w:rsidP="00A45D78">
                            <w:pPr>
                              <w:spacing w:before="120" w:after="120"/>
                              <w:jc w:val="center"/>
                            </w:pPr>
                          </w:p>
                          <w:p w:rsidR="005B2BAC" w:rsidRPr="00E4135E" w:rsidRDefault="005B2BAC" w:rsidP="00A45D78">
                            <w:pPr>
                              <w:spacing w:before="120" w:after="120"/>
                              <w:jc w:val="both"/>
                              <w:rPr>
                                <w:b/>
                              </w:rPr>
                            </w:pPr>
                            <w:r w:rsidRPr="00E4135E">
                              <w:rPr>
                                <w:b/>
                              </w:rPr>
                              <w:t>Overview of the Legislative Instrument</w:t>
                            </w:r>
                          </w:p>
                          <w:p w:rsidR="005B2BAC" w:rsidRPr="00386B6A" w:rsidRDefault="005B2BAC" w:rsidP="00A45D78">
                            <w:pPr>
                              <w:spacing w:before="120" w:after="120"/>
                            </w:pPr>
                            <w:r>
                              <w:t>The</w:t>
                            </w:r>
                            <w:r w:rsidRPr="00513D8E">
                              <w:t xml:space="preserve"> </w:t>
                            </w:r>
                            <w:r w:rsidRPr="001B7898">
                              <w:rPr>
                                <w:i/>
                              </w:rPr>
                              <w:t>Radiocommunications (Electromagnetic Radiation — Human Exposure) Standard 2014</w:t>
                            </w:r>
                            <w:r>
                              <w:rPr>
                                <w:i/>
                              </w:rPr>
                              <w:t xml:space="preserve"> </w:t>
                            </w:r>
                            <w:r>
                              <w:t xml:space="preserve">replaces the </w:t>
                            </w:r>
                            <w:r w:rsidRPr="001B7898">
                              <w:rPr>
                                <w:i/>
                              </w:rPr>
                              <w:t>Radiocommunications (Electromagnetic Radiation — Human Exposure) Standard 20</w:t>
                            </w:r>
                            <w:r>
                              <w:rPr>
                                <w:i/>
                              </w:rPr>
                              <w:t xml:space="preserve">03 </w:t>
                            </w:r>
                            <w:r w:rsidRPr="008F3077">
                              <w:t>made under</w:t>
                            </w:r>
                            <w:r>
                              <w:rPr>
                                <w:i/>
                              </w:rPr>
                              <w:t xml:space="preserve"> </w:t>
                            </w:r>
                            <w:r w:rsidRPr="008F3077">
                              <w:t>subsection 1</w:t>
                            </w:r>
                            <w:r>
                              <w:t>62</w:t>
                            </w:r>
                            <w:r w:rsidRPr="008F3077">
                              <w:t>(1) of the</w:t>
                            </w:r>
                            <w:r w:rsidRPr="009518BA">
                              <w:rPr>
                                <w:i/>
                              </w:rPr>
                              <w:t xml:space="preserve"> Radiocommunications Act 1992.</w:t>
                            </w:r>
                            <w:r w:rsidR="00386B6A">
                              <w:t xml:space="preserve">  It sets standards for particular radiocommunications transmitters to be met, in relation to human exposure to electromagnetic energy.</w:t>
                            </w:r>
                          </w:p>
                          <w:p w:rsidR="005B2BAC" w:rsidRPr="00E4135E" w:rsidRDefault="005B2BAC" w:rsidP="00A45D78">
                            <w:pPr>
                              <w:spacing w:before="120" w:after="120"/>
                            </w:pPr>
                          </w:p>
                          <w:p w:rsidR="005B2BAC" w:rsidRPr="00E4135E" w:rsidRDefault="005B2BAC" w:rsidP="00A45D78">
                            <w:pPr>
                              <w:spacing w:before="120" w:after="120"/>
                              <w:rPr>
                                <w:b/>
                              </w:rPr>
                            </w:pPr>
                            <w:r w:rsidRPr="00E4135E">
                              <w:rPr>
                                <w:b/>
                              </w:rPr>
                              <w:t>Human rights implications</w:t>
                            </w:r>
                          </w:p>
                          <w:p w:rsidR="005B2BAC" w:rsidRPr="00E4135E" w:rsidRDefault="005B2BAC" w:rsidP="00A45D78">
                            <w:pPr>
                              <w:spacing w:before="120" w:after="120"/>
                            </w:pPr>
                            <w:r>
                              <w:t>The Instrument does</w:t>
                            </w:r>
                            <w:r w:rsidRPr="00E4135E">
                              <w:t xml:space="preserve"> not engage any of the applicable rights or freedoms.</w:t>
                            </w:r>
                          </w:p>
                          <w:p w:rsidR="005B2BAC" w:rsidRPr="00E4135E" w:rsidRDefault="005B2BAC" w:rsidP="00A45D78">
                            <w:pPr>
                              <w:spacing w:before="120" w:after="120"/>
                            </w:pPr>
                          </w:p>
                          <w:p w:rsidR="005B2BAC" w:rsidRPr="00E4135E" w:rsidRDefault="005B2BAC" w:rsidP="00A45D78">
                            <w:pPr>
                              <w:spacing w:before="120" w:after="120"/>
                              <w:rPr>
                                <w:b/>
                              </w:rPr>
                            </w:pPr>
                            <w:r w:rsidRPr="00E4135E">
                              <w:rPr>
                                <w:b/>
                              </w:rPr>
                              <w:t>Conclusion</w:t>
                            </w:r>
                          </w:p>
                          <w:p w:rsidR="005B2BAC" w:rsidRPr="00E4135E" w:rsidRDefault="005B2BAC" w:rsidP="00A45D78">
                            <w:pPr>
                              <w:spacing w:before="120" w:after="120"/>
                            </w:pPr>
                            <w:r>
                              <w:t>The Instrument</w:t>
                            </w:r>
                            <w:r w:rsidRPr="00E4135E">
                              <w:t xml:space="preserve"> is compatible with human rights as it does not raise any human rights issues.</w:t>
                            </w:r>
                          </w:p>
                          <w:p w:rsidR="005B2BAC" w:rsidRPr="00E4135E" w:rsidRDefault="005B2BAC" w:rsidP="00A45D78">
                            <w:pPr>
                              <w:spacing w:before="120" w:after="120"/>
                              <w:jc w:val="center"/>
                            </w:pPr>
                          </w:p>
                          <w:p w:rsidR="005B2BAC" w:rsidRPr="00E4135E" w:rsidRDefault="005B2BAC" w:rsidP="00A45D78">
                            <w:pPr>
                              <w:spacing w:before="120" w:after="120"/>
                              <w:jc w:val="center"/>
                            </w:pPr>
                          </w:p>
                          <w:p w:rsidR="005B2BAC" w:rsidRPr="00E4135E" w:rsidRDefault="005B2BAC" w:rsidP="0076039D">
                            <w:pPr>
                              <w:spacing w:before="120" w:after="120"/>
                              <w:jc w:val="center"/>
                            </w:pPr>
                            <w:r>
                              <w:rPr>
                                <w:b/>
                              </w:rPr>
                              <w:t>Australian Communications and Media Authority</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92D9A" id="Rectangle 2" o:spid="_x0000_s1026" style="position:absolute;left:0;text-align:left;margin-left:.85pt;margin-top:14.15pt;width:481.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" strokeweight="6pt">
                <v:stroke linestyle="thickBetweenThin"/>
                <v:textbox inset="5mm,,5mm">
                  <w:txbxContent>
                    <w:p w:rsidR="005B2BAC" w:rsidRPr="00E4135E" w:rsidRDefault="005B2BAC" w:rsidP="00A45D78">
                      <w:pPr>
                        <w:spacing w:before="360" w:after="120"/>
                        <w:jc w:val="center"/>
                        <w:rPr>
                          <w:b/>
                          <w:sz w:val="28"/>
                          <w:szCs w:val="28"/>
                        </w:rPr>
                      </w:pPr>
                      <w:r w:rsidRPr="00E4135E">
                        <w:rPr>
                          <w:b/>
                          <w:sz w:val="28"/>
                          <w:szCs w:val="28"/>
                        </w:rPr>
                        <w:t>Statement of Compatibility with Human Rights</w:t>
                      </w:r>
                    </w:p>
                    <w:p w:rsidR="005B2BAC" w:rsidRPr="00E4135E" w:rsidRDefault="005B2BAC" w:rsidP="00A45D78">
                      <w:pPr>
                        <w:spacing w:before="120" w:after="120"/>
                        <w:jc w:val="center"/>
                      </w:pPr>
                      <w:r w:rsidRPr="00E4135E">
                        <w:rPr>
                          <w:i/>
                        </w:rPr>
                        <w:t>Prepared in accordance with Part 3 of the Human Rights (Parliamentary Scrutiny) Act 2011</w:t>
                      </w:r>
                    </w:p>
                    <w:p w:rsidR="005B2BAC" w:rsidRPr="00E4135E" w:rsidRDefault="005B2BAC" w:rsidP="00A45D78">
                      <w:pPr>
                        <w:spacing w:before="120" w:after="120"/>
                        <w:jc w:val="center"/>
                      </w:pPr>
                    </w:p>
                    <w:p w:rsidR="005B2BAC" w:rsidRDefault="005B2BAC" w:rsidP="00A45D78">
                      <w:pPr>
                        <w:spacing w:before="120" w:after="120"/>
                        <w:jc w:val="center"/>
                      </w:pPr>
                      <w:r w:rsidRPr="001B7898">
                        <w:rPr>
                          <w:b/>
                          <w:i/>
                        </w:rPr>
                        <w:t>Radiocommunications (Electromagnetic Radiation — Human Exposure) Standard 2014</w:t>
                      </w:r>
                    </w:p>
                    <w:p w:rsidR="005B2BAC" w:rsidRDefault="005B2BAC" w:rsidP="00A45D78">
                      <w:pPr>
                        <w:spacing w:before="120" w:after="120"/>
                        <w:jc w:val="center"/>
                      </w:pPr>
                    </w:p>
                    <w:p w:rsidR="005B2BAC" w:rsidRPr="00E4135E" w:rsidRDefault="005B2BAC" w:rsidP="00A45D78">
                      <w:pPr>
                        <w:spacing w:before="120" w:after="120"/>
                        <w:jc w:val="center"/>
                      </w:pPr>
                      <w:r w:rsidRPr="00E4135E">
                        <w:t xml:space="preserve">This </w:t>
                      </w:r>
                      <w:r>
                        <w:t>l</w:t>
                      </w:r>
                      <w:r w:rsidRPr="00E4135E">
                        <w:t xml:space="preserve">egislative </w:t>
                      </w:r>
                      <w:r>
                        <w:t>i</w:t>
                      </w:r>
                      <w:r w:rsidRPr="00E4135E">
                        <w:t xml:space="preserve">nstrument is compatible with the human rights and freedoms recognised or declared in the international instruments listed in section 3 of the </w:t>
                      </w:r>
                      <w:r w:rsidRPr="00E4135E">
                        <w:rPr>
                          <w:i/>
                        </w:rPr>
                        <w:t>Human Rights (Parliamentary Scrutiny) Act 2011</w:t>
                      </w:r>
                      <w:r w:rsidRPr="00E4135E">
                        <w:t>.</w:t>
                      </w:r>
                    </w:p>
                    <w:p w:rsidR="005B2BAC" w:rsidRPr="00E4135E" w:rsidRDefault="005B2BAC" w:rsidP="00A45D78">
                      <w:pPr>
                        <w:spacing w:before="120" w:after="120"/>
                        <w:jc w:val="center"/>
                      </w:pPr>
                    </w:p>
                    <w:p w:rsidR="005B2BAC" w:rsidRPr="00E4135E" w:rsidRDefault="005B2BAC" w:rsidP="00A45D78">
                      <w:pPr>
                        <w:spacing w:before="120" w:after="120"/>
                        <w:jc w:val="center"/>
                      </w:pPr>
                    </w:p>
                    <w:p w:rsidR="005B2BAC" w:rsidRPr="00E4135E" w:rsidRDefault="005B2BAC" w:rsidP="00A45D78">
                      <w:pPr>
                        <w:spacing w:before="120" w:after="120"/>
                        <w:jc w:val="both"/>
                        <w:rPr>
                          <w:b/>
                        </w:rPr>
                      </w:pPr>
                      <w:r w:rsidRPr="00E4135E">
                        <w:rPr>
                          <w:b/>
                        </w:rPr>
                        <w:t>Overview of the Legislative Instrument</w:t>
                      </w:r>
                    </w:p>
                    <w:p w:rsidR="005B2BAC" w:rsidRPr="00386B6A" w:rsidRDefault="005B2BAC" w:rsidP="00A45D78">
                      <w:pPr>
                        <w:spacing w:before="120" w:after="120"/>
                      </w:pPr>
                      <w:r>
                        <w:t>The</w:t>
                      </w:r>
                      <w:r w:rsidRPr="00513D8E">
                        <w:t xml:space="preserve"> </w:t>
                      </w:r>
                      <w:r w:rsidRPr="001B7898">
                        <w:rPr>
                          <w:i/>
                        </w:rPr>
                        <w:t>Radiocommunications (Electromagnetic Radiation — Human Exposure) Standard 2014</w:t>
                      </w:r>
                      <w:r>
                        <w:rPr>
                          <w:i/>
                        </w:rPr>
                        <w:t xml:space="preserve"> </w:t>
                      </w:r>
                      <w:r>
                        <w:t xml:space="preserve">replaces the </w:t>
                      </w:r>
                      <w:r w:rsidRPr="001B7898">
                        <w:rPr>
                          <w:i/>
                        </w:rPr>
                        <w:t>Radiocommunications (Electromagnetic Radiation — Human Exposure) Standard 20</w:t>
                      </w:r>
                      <w:r>
                        <w:rPr>
                          <w:i/>
                        </w:rPr>
                        <w:t xml:space="preserve">03 </w:t>
                      </w:r>
                      <w:r w:rsidRPr="008F3077">
                        <w:t>made under</w:t>
                      </w:r>
                      <w:r>
                        <w:rPr>
                          <w:i/>
                        </w:rPr>
                        <w:t xml:space="preserve"> </w:t>
                      </w:r>
                      <w:r w:rsidRPr="008F3077">
                        <w:t>subsection 1</w:t>
                      </w:r>
                      <w:r>
                        <w:t>62</w:t>
                      </w:r>
                      <w:r w:rsidRPr="008F3077">
                        <w:t>(1) of the</w:t>
                      </w:r>
                      <w:r w:rsidRPr="009518BA">
                        <w:rPr>
                          <w:i/>
                        </w:rPr>
                        <w:t xml:space="preserve"> Radiocommunications Act 1992.</w:t>
                      </w:r>
                      <w:r w:rsidR="00386B6A">
                        <w:t xml:space="preserve">  It sets standards for particular radiocommunications transmitters to be met, in relation to human exposure to electromagnetic energy.</w:t>
                      </w:r>
                    </w:p>
                    <w:p w:rsidR="005B2BAC" w:rsidRPr="00E4135E" w:rsidRDefault="005B2BAC" w:rsidP="00A45D78">
                      <w:pPr>
                        <w:spacing w:before="120" w:after="120"/>
                      </w:pPr>
                    </w:p>
                    <w:p w:rsidR="005B2BAC" w:rsidRPr="00E4135E" w:rsidRDefault="005B2BAC" w:rsidP="00A45D78">
                      <w:pPr>
                        <w:spacing w:before="120" w:after="120"/>
                        <w:rPr>
                          <w:b/>
                        </w:rPr>
                      </w:pPr>
                      <w:r w:rsidRPr="00E4135E">
                        <w:rPr>
                          <w:b/>
                        </w:rPr>
                        <w:t>Human rights implications</w:t>
                      </w:r>
                    </w:p>
                    <w:p w:rsidR="005B2BAC" w:rsidRPr="00E4135E" w:rsidRDefault="005B2BAC" w:rsidP="00A45D78">
                      <w:pPr>
                        <w:spacing w:before="120" w:after="120"/>
                      </w:pPr>
                      <w:r>
                        <w:t>The Instrument does</w:t>
                      </w:r>
                      <w:r w:rsidRPr="00E4135E">
                        <w:t xml:space="preserve"> not engage any of the applicable rights or freedoms.</w:t>
                      </w:r>
                    </w:p>
                    <w:p w:rsidR="005B2BAC" w:rsidRPr="00E4135E" w:rsidRDefault="005B2BAC" w:rsidP="00A45D78">
                      <w:pPr>
                        <w:spacing w:before="120" w:after="120"/>
                      </w:pPr>
                    </w:p>
                    <w:p w:rsidR="005B2BAC" w:rsidRPr="00E4135E" w:rsidRDefault="005B2BAC" w:rsidP="00A45D78">
                      <w:pPr>
                        <w:spacing w:before="120" w:after="120"/>
                        <w:rPr>
                          <w:b/>
                        </w:rPr>
                      </w:pPr>
                      <w:r w:rsidRPr="00E4135E">
                        <w:rPr>
                          <w:b/>
                        </w:rPr>
                        <w:t>Conclusion</w:t>
                      </w:r>
                    </w:p>
                    <w:p w:rsidR="005B2BAC" w:rsidRPr="00E4135E" w:rsidRDefault="005B2BAC" w:rsidP="00A45D78">
                      <w:pPr>
                        <w:spacing w:before="120" w:after="120"/>
                      </w:pPr>
                      <w:r>
                        <w:t>The Instrument</w:t>
                      </w:r>
                      <w:r w:rsidRPr="00E4135E">
                        <w:t xml:space="preserve"> is compatible with human rights as it does not raise any human rights issues.</w:t>
                      </w:r>
                    </w:p>
                    <w:p w:rsidR="005B2BAC" w:rsidRPr="00E4135E" w:rsidRDefault="005B2BAC" w:rsidP="00A45D78">
                      <w:pPr>
                        <w:spacing w:before="120" w:after="120"/>
                        <w:jc w:val="center"/>
                      </w:pPr>
                    </w:p>
                    <w:p w:rsidR="005B2BAC" w:rsidRPr="00E4135E" w:rsidRDefault="005B2BAC" w:rsidP="00A45D78">
                      <w:pPr>
                        <w:spacing w:before="120" w:after="120"/>
                        <w:jc w:val="center"/>
                      </w:pPr>
                    </w:p>
                    <w:p w:rsidR="005B2BAC" w:rsidRPr="00E4135E" w:rsidRDefault="005B2BAC" w:rsidP="0076039D">
                      <w:pPr>
                        <w:spacing w:before="120" w:after="120"/>
                        <w:jc w:val="center"/>
                      </w:pPr>
                      <w:r>
                        <w:rPr>
                          <w:b/>
                        </w:rPr>
                        <w:t>Australian Communications and Media Authority</w:t>
                      </w:r>
                    </w:p>
                  </w:txbxContent>
                </v:textbox>
              </v:rect>
            </w:pict>
          </mc:Fallback>
        </mc:AlternateContent>
      </w: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Pr="00E372FA" w:rsidRDefault="00A45D78" w:rsidP="00993194">
      <w:pPr>
        <w:spacing w:before="80" w:after="120" w:line="280" w:lineRule="atLeast"/>
        <w:rPr>
          <w:rFonts w:ascii="Arial" w:hAnsi="Arial" w:cs="Arial"/>
          <w:sz w:val="20"/>
          <w:szCs w:val="20"/>
        </w:rPr>
      </w:pPr>
    </w:p>
    <w:sectPr w:rsidR="00A45D78" w:rsidRPr="00E372FA" w:rsidSect="004A73DD">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E0B" w:rsidRDefault="00433E0B" w:rsidP="009E4497">
      <w:r>
        <w:separator/>
      </w:r>
    </w:p>
  </w:endnote>
  <w:endnote w:type="continuationSeparator" w:id="0">
    <w:p w:rsidR="00433E0B" w:rsidRDefault="00433E0B" w:rsidP="009E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BAC" w:rsidRDefault="00447AF3">
    <w:pPr>
      <w:pStyle w:val="Footer"/>
      <w:jc w:val="right"/>
    </w:pPr>
    <w:r>
      <w:fldChar w:fldCharType="begin"/>
    </w:r>
    <w:r w:rsidR="004229F9">
      <w:instrText xml:space="preserve"> PAGE   \* MERGEFORMAT </w:instrText>
    </w:r>
    <w:r>
      <w:fldChar w:fldCharType="separate"/>
    </w:r>
    <w:r w:rsidR="00D256F3">
      <w:rPr>
        <w:noProof/>
      </w:rPr>
      <w:t>3</w:t>
    </w:r>
    <w:r>
      <w:rPr>
        <w:noProof/>
      </w:rPr>
      <w:fldChar w:fldCharType="end"/>
    </w:r>
  </w:p>
  <w:p w:rsidR="005B2BAC" w:rsidRDefault="005B2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E0B" w:rsidRDefault="00433E0B" w:rsidP="009E4497">
      <w:r>
        <w:separator/>
      </w:r>
    </w:p>
  </w:footnote>
  <w:footnote w:type="continuationSeparator" w:id="0">
    <w:p w:rsidR="00433E0B" w:rsidRDefault="00433E0B" w:rsidP="009E4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16087"/>
    <w:multiLevelType w:val="hybridMultilevel"/>
    <w:tmpl w:val="C90EA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A83B90"/>
    <w:multiLevelType w:val="hybridMultilevel"/>
    <w:tmpl w:val="A55A05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A2561D"/>
    <w:multiLevelType w:val="hybridMultilevel"/>
    <w:tmpl w:val="A5649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9133CA0"/>
    <w:multiLevelType w:val="hybridMultilevel"/>
    <w:tmpl w:val="13002B62"/>
    <w:lvl w:ilvl="0" w:tplc="DF8EC4D0">
      <w:start w:val="1"/>
      <w:numFmt w:val="bullet"/>
      <w:lvlText w:val=""/>
      <w:lvlJc w:val="left"/>
      <w:pPr>
        <w:tabs>
          <w:tab w:val="num" w:pos="1080"/>
        </w:tabs>
        <w:ind w:left="108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F852C4C"/>
    <w:multiLevelType w:val="hybridMultilevel"/>
    <w:tmpl w:val="4D4A7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15F3435"/>
    <w:multiLevelType w:val="hybridMultilevel"/>
    <w:tmpl w:val="84923818"/>
    <w:lvl w:ilvl="0" w:tplc="E3B2E8C2">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6FC2F11"/>
    <w:multiLevelType w:val="hybridMultilevel"/>
    <w:tmpl w:val="6E8088D4"/>
    <w:lvl w:ilvl="0" w:tplc="E3B2E8C2">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2F3110"/>
    <w:multiLevelType w:val="hybridMultilevel"/>
    <w:tmpl w:val="EDB86966"/>
    <w:lvl w:ilvl="0" w:tplc="DF8EC4D0">
      <w:start w:val="1"/>
      <w:numFmt w:val="bullet"/>
      <w:lvlText w:val=""/>
      <w:lvlJc w:val="left"/>
      <w:pPr>
        <w:tabs>
          <w:tab w:val="num" w:pos="1080"/>
        </w:tabs>
        <w:ind w:left="108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F8C2BEA"/>
    <w:multiLevelType w:val="hybridMultilevel"/>
    <w:tmpl w:val="22EE4E1C"/>
    <w:lvl w:ilvl="0" w:tplc="9F04DE98">
      <w:numFmt w:val="bullet"/>
      <w:lvlText w:val="-"/>
      <w:lvlJc w:val="left"/>
      <w:pPr>
        <w:tabs>
          <w:tab w:val="num" w:pos="1080"/>
        </w:tabs>
        <w:ind w:left="1080" w:hanging="360"/>
      </w:pPr>
      <w:rPr>
        <w:rFonts w:ascii="Times New Roman" w:eastAsia="Times New Roman" w:hAnsi="Times New Roman"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nsid w:val="7D306FF8"/>
    <w:multiLevelType w:val="hybridMultilevel"/>
    <w:tmpl w:val="ADFC07D6"/>
    <w:lvl w:ilvl="0" w:tplc="DF8EC4D0">
      <w:start w:val="1"/>
      <w:numFmt w:val="bullet"/>
      <w:lvlText w:val=""/>
      <w:lvlJc w:val="left"/>
      <w:pPr>
        <w:tabs>
          <w:tab w:val="num" w:pos="1080"/>
        </w:tabs>
        <w:ind w:left="108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1"/>
  </w:num>
  <w:num w:numId="6">
    <w:abstractNumId w:val="6"/>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FF"/>
    <w:rsid w:val="0000050F"/>
    <w:rsid w:val="000065D7"/>
    <w:rsid w:val="0001357B"/>
    <w:rsid w:val="00013B19"/>
    <w:rsid w:val="00014FC8"/>
    <w:rsid w:val="000174D0"/>
    <w:rsid w:val="000252DB"/>
    <w:rsid w:val="00025F7B"/>
    <w:rsid w:val="00032F11"/>
    <w:rsid w:val="0003400B"/>
    <w:rsid w:val="000513B9"/>
    <w:rsid w:val="00061837"/>
    <w:rsid w:val="00061D3E"/>
    <w:rsid w:val="00073EA7"/>
    <w:rsid w:val="00080493"/>
    <w:rsid w:val="000843E0"/>
    <w:rsid w:val="00091887"/>
    <w:rsid w:val="00092C4C"/>
    <w:rsid w:val="00093662"/>
    <w:rsid w:val="00095524"/>
    <w:rsid w:val="00097C68"/>
    <w:rsid w:val="000A0B9F"/>
    <w:rsid w:val="000A0E46"/>
    <w:rsid w:val="000A19BA"/>
    <w:rsid w:val="000A2C68"/>
    <w:rsid w:val="000A7A43"/>
    <w:rsid w:val="000C5ABC"/>
    <w:rsid w:val="000D08AE"/>
    <w:rsid w:val="000D3932"/>
    <w:rsid w:val="000D439C"/>
    <w:rsid w:val="000D636F"/>
    <w:rsid w:val="000E43B8"/>
    <w:rsid w:val="000F4255"/>
    <w:rsid w:val="000F5F7B"/>
    <w:rsid w:val="00102911"/>
    <w:rsid w:val="00103138"/>
    <w:rsid w:val="00103B2A"/>
    <w:rsid w:val="00106E24"/>
    <w:rsid w:val="00106F01"/>
    <w:rsid w:val="00110D52"/>
    <w:rsid w:val="00117606"/>
    <w:rsid w:val="00120CE6"/>
    <w:rsid w:val="00122D99"/>
    <w:rsid w:val="00123C6E"/>
    <w:rsid w:val="00131D4A"/>
    <w:rsid w:val="0013489D"/>
    <w:rsid w:val="00135927"/>
    <w:rsid w:val="00136F79"/>
    <w:rsid w:val="001408C3"/>
    <w:rsid w:val="001451F6"/>
    <w:rsid w:val="001452BA"/>
    <w:rsid w:val="00151C30"/>
    <w:rsid w:val="00154CEA"/>
    <w:rsid w:val="001567D5"/>
    <w:rsid w:val="001645B0"/>
    <w:rsid w:val="00165879"/>
    <w:rsid w:val="00170377"/>
    <w:rsid w:val="00170D39"/>
    <w:rsid w:val="00172B4F"/>
    <w:rsid w:val="001816A8"/>
    <w:rsid w:val="00184D60"/>
    <w:rsid w:val="00186229"/>
    <w:rsid w:val="00193CE2"/>
    <w:rsid w:val="00196B7F"/>
    <w:rsid w:val="001A018D"/>
    <w:rsid w:val="001A141C"/>
    <w:rsid w:val="001A6AC1"/>
    <w:rsid w:val="001B7898"/>
    <w:rsid w:val="001C0D7D"/>
    <w:rsid w:val="001C210D"/>
    <w:rsid w:val="001D7008"/>
    <w:rsid w:val="001E7ECE"/>
    <w:rsid w:val="001F079C"/>
    <w:rsid w:val="001F4899"/>
    <w:rsid w:val="00201ED4"/>
    <w:rsid w:val="00204306"/>
    <w:rsid w:val="002045DA"/>
    <w:rsid w:val="00205521"/>
    <w:rsid w:val="00211480"/>
    <w:rsid w:val="002151F1"/>
    <w:rsid w:val="00217128"/>
    <w:rsid w:val="002371D9"/>
    <w:rsid w:val="002446B8"/>
    <w:rsid w:val="00253866"/>
    <w:rsid w:val="00262F58"/>
    <w:rsid w:val="002641E3"/>
    <w:rsid w:val="00275275"/>
    <w:rsid w:val="002773CC"/>
    <w:rsid w:val="002916C7"/>
    <w:rsid w:val="0029344A"/>
    <w:rsid w:val="002977F9"/>
    <w:rsid w:val="002A26CC"/>
    <w:rsid w:val="002A39BD"/>
    <w:rsid w:val="002A5EBD"/>
    <w:rsid w:val="002A6597"/>
    <w:rsid w:val="002B5F65"/>
    <w:rsid w:val="002C078A"/>
    <w:rsid w:val="002C48F2"/>
    <w:rsid w:val="002C69E8"/>
    <w:rsid w:val="002C72B7"/>
    <w:rsid w:val="002C74D1"/>
    <w:rsid w:val="002D0EE5"/>
    <w:rsid w:val="002D6C1C"/>
    <w:rsid w:val="002D6DED"/>
    <w:rsid w:val="002E0BDF"/>
    <w:rsid w:val="002F1329"/>
    <w:rsid w:val="002F190B"/>
    <w:rsid w:val="0030124D"/>
    <w:rsid w:val="003145AE"/>
    <w:rsid w:val="003146F9"/>
    <w:rsid w:val="00315A5D"/>
    <w:rsid w:val="003206D6"/>
    <w:rsid w:val="00324423"/>
    <w:rsid w:val="0033645F"/>
    <w:rsid w:val="003414FA"/>
    <w:rsid w:val="00344C1B"/>
    <w:rsid w:val="0034523F"/>
    <w:rsid w:val="0035555D"/>
    <w:rsid w:val="003571C5"/>
    <w:rsid w:val="00360FCB"/>
    <w:rsid w:val="00364D35"/>
    <w:rsid w:val="00366C3E"/>
    <w:rsid w:val="0036783C"/>
    <w:rsid w:val="003732EE"/>
    <w:rsid w:val="00377035"/>
    <w:rsid w:val="003806A5"/>
    <w:rsid w:val="0038530B"/>
    <w:rsid w:val="00386B6A"/>
    <w:rsid w:val="003A13EB"/>
    <w:rsid w:val="003A358C"/>
    <w:rsid w:val="003B126B"/>
    <w:rsid w:val="003C4910"/>
    <w:rsid w:val="003C6835"/>
    <w:rsid w:val="003C77BE"/>
    <w:rsid w:val="003D54FD"/>
    <w:rsid w:val="003D7B28"/>
    <w:rsid w:val="003E3B94"/>
    <w:rsid w:val="003E69AE"/>
    <w:rsid w:val="003F3BBA"/>
    <w:rsid w:val="00402512"/>
    <w:rsid w:val="004025BD"/>
    <w:rsid w:val="00407145"/>
    <w:rsid w:val="0041373F"/>
    <w:rsid w:val="00416744"/>
    <w:rsid w:val="004229F9"/>
    <w:rsid w:val="00433E0B"/>
    <w:rsid w:val="00436874"/>
    <w:rsid w:val="004379AC"/>
    <w:rsid w:val="00440E62"/>
    <w:rsid w:val="00442B45"/>
    <w:rsid w:val="00446991"/>
    <w:rsid w:val="00447AF3"/>
    <w:rsid w:val="004573F2"/>
    <w:rsid w:val="004600B6"/>
    <w:rsid w:val="00466CC0"/>
    <w:rsid w:val="0047456D"/>
    <w:rsid w:val="00476BF4"/>
    <w:rsid w:val="00482E35"/>
    <w:rsid w:val="004836AB"/>
    <w:rsid w:val="0048390A"/>
    <w:rsid w:val="00490C58"/>
    <w:rsid w:val="00491BCC"/>
    <w:rsid w:val="00493CB2"/>
    <w:rsid w:val="00495648"/>
    <w:rsid w:val="004A2233"/>
    <w:rsid w:val="004A7318"/>
    <w:rsid w:val="004A73DD"/>
    <w:rsid w:val="004B0C8E"/>
    <w:rsid w:val="004B4201"/>
    <w:rsid w:val="004C0E21"/>
    <w:rsid w:val="004C255E"/>
    <w:rsid w:val="004D166F"/>
    <w:rsid w:val="004D2F95"/>
    <w:rsid w:val="004D67F1"/>
    <w:rsid w:val="004D79F9"/>
    <w:rsid w:val="004E1E6C"/>
    <w:rsid w:val="004E2642"/>
    <w:rsid w:val="004E65B1"/>
    <w:rsid w:val="004E69E6"/>
    <w:rsid w:val="00501F1E"/>
    <w:rsid w:val="0050579B"/>
    <w:rsid w:val="00510804"/>
    <w:rsid w:val="005110BE"/>
    <w:rsid w:val="0051241C"/>
    <w:rsid w:val="00513317"/>
    <w:rsid w:val="00513D8E"/>
    <w:rsid w:val="00517D63"/>
    <w:rsid w:val="0052044F"/>
    <w:rsid w:val="00521BC6"/>
    <w:rsid w:val="00532AF0"/>
    <w:rsid w:val="00550045"/>
    <w:rsid w:val="00553720"/>
    <w:rsid w:val="0055575E"/>
    <w:rsid w:val="005646BB"/>
    <w:rsid w:val="005650B0"/>
    <w:rsid w:val="00566E50"/>
    <w:rsid w:val="00572914"/>
    <w:rsid w:val="00586DE7"/>
    <w:rsid w:val="00590B9E"/>
    <w:rsid w:val="00593FFF"/>
    <w:rsid w:val="005A60BC"/>
    <w:rsid w:val="005B2BAC"/>
    <w:rsid w:val="005B5539"/>
    <w:rsid w:val="005B75FE"/>
    <w:rsid w:val="005C1275"/>
    <w:rsid w:val="005C3FB2"/>
    <w:rsid w:val="005C5F9C"/>
    <w:rsid w:val="005D6CD7"/>
    <w:rsid w:val="005E5D80"/>
    <w:rsid w:val="005F6A84"/>
    <w:rsid w:val="00604625"/>
    <w:rsid w:val="00605414"/>
    <w:rsid w:val="006224D9"/>
    <w:rsid w:val="00625A2A"/>
    <w:rsid w:val="00625FF6"/>
    <w:rsid w:val="0063014A"/>
    <w:rsid w:val="00632A61"/>
    <w:rsid w:val="0063696F"/>
    <w:rsid w:val="00640898"/>
    <w:rsid w:val="00641076"/>
    <w:rsid w:val="00641DD9"/>
    <w:rsid w:val="00645E9D"/>
    <w:rsid w:val="00646BAE"/>
    <w:rsid w:val="00652721"/>
    <w:rsid w:val="0065419D"/>
    <w:rsid w:val="00662752"/>
    <w:rsid w:val="00670A9A"/>
    <w:rsid w:val="00672C13"/>
    <w:rsid w:val="00680928"/>
    <w:rsid w:val="006809E5"/>
    <w:rsid w:val="006847F6"/>
    <w:rsid w:val="00693BC6"/>
    <w:rsid w:val="00694C61"/>
    <w:rsid w:val="006A6A71"/>
    <w:rsid w:val="006A6B9A"/>
    <w:rsid w:val="006B596F"/>
    <w:rsid w:val="006C1AE0"/>
    <w:rsid w:val="006C2709"/>
    <w:rsid w:val="006C6500"/>
    <w:rsid w:val="006D1619"/>
    <w:rsid w:val="006D1BAB"/>
    <w:rsid w:val="006D6C18"/>
    <w:rsid w:val="006F3C32"/>
    <w:rsid w:val="006F5237"/>
    <w:rsid w:val="007077F7"/>
    <w:rsid w:val="0071190A"/>
    <w:rsid w:val="00712700"/>
    <w:rsid w:val="00715191"/>
    <w:rsid w:val="00715FDE"/>
    <w:rsid w:val="00725C47"/>
    <w:rsid w:val="007449BD"/>
    <w:rsid w:val="0076039D"/>
    <w:rsid w:val="00780D43"/>
    <w:rsid w:val="00782F37"/>
    <w:rsid w:val="0078369A"/>
    <w:rsid w:val="0079118F"/>
    <w:rsid w:val="00797838"/>
    <w:rsid w:val="00797B7A"/>
    <w:rsid w:val="007A66A9"/>
    <w:rsid w:val="007B49A5"/>
    <w:rsid w:val="007B4CDB"/>
    <w:rsid w:val="007C1A70"/>
    <w:rsid w:val="007C3063"/>
    <w:rsid w:val="007C6AA7"/>
    <w:rsid w:val="007D158E"/>
    <w:rsid w:val="007D2A65"/>
    <w:rsid w:val="007D4F64"/>
    <w:rsid w:val="007E03F4"/>
    <w:rsid w:val="007E27B3"/>
    <w:rsid w:val="007F04C6"/>
    <w:rsid w:val="007F19E8"/>
    <w:rsid w:val="00803B06"/>
    <w:rsid w:val="0080603E"/>
    <w:rsid w:val="008062E5"/>
    <w:rsid w:val="00806EA0"/>
    <w:rsid w:val="00815926"/>
    <w:rsid w:val="00822D41"/>
    <w:rsid w:val="00826933"/>
    <w:rsid w:val="00836C45"/>
    <w:rsid w:val="0084096D"/>
    <w:rsid w:val="00854FF8"/>
    <w:rsid w:val="00855929"/>
    <w:rsid w:val="008571FE"/>
    <w:rsid w:val="0085762C"/>
    <w:rsid w:val="00860043"/>
    <w:rsid w:val="0086545E"/>
    <w:rsid w:val="00873B3A"/>
    <w:rsid w:val="008774DE"/>
    <w:rsid w:val="008A03A4"/>
    <w:rsid w:val="008A7EBA"/>
    <w:rsid w:val="008B5345"/>
    <w:rsid w:val="008B63D4"/>
    <w:rsid w:val="008B6B93"/>
    <w:rsid w:val="008B7A46"/>
    <w:rsid w:val="008C6A73"/>
    <w:rsid w:val="008D7451"/>
    <w:rsid w:val="008D77C0"/>
    <w:rsid w:val="008E76E3"/>
    <w:rsid w:val="008F1741"/>
    <w:rsid w:val="008F1882"/>
    <w:rsid w:val="008F3077"/>
    <w:rsid w:val="008F3F64"/>
    <w:rsid w:val="008F6E59"/>
    <w:rsid w:val="00901E34"/>
    <w:rsid w:val="00901E38"/>
    <w:rsid w:val="009053E8"/>
    <w:rsid w:val="00905BE0"/>
    <w:rsid w:val="0091611C"/>
    <w:rsid w:val="00916D42"/>
    <w:rsid w:val="00925CB7"/>
    <w:rsid w:val="0093595E"/>
    <w:rsid w:val="00940CF3"/>
    <w:rsid w:val="009451DF"/>
    <w:rsid w:val="00945BE0"/>
    <w:rsid w:val="0095018C"/>
    <w:rsid w:val="009518BA"/>
    <w:rsid w:val="009518D7"/>
    <w:rsid w:val="00960C8E"/>
    <w:rsid w:val="00965297"/>
    <w:rsid w:val="00976823"/>
    <w:rsid w:val="00993194"/>
    <w:rsid w:val="00993667"/>
    <w:rsid w:val="009A065D"/>
    <w:rsid w:val="009B3215"/>
    <w:rsid w:val="009B4F60"/>
    <w:rsid w:val="009B601A"/>
    <w:rsid w:val="009B755A"/>
    <w:rsid w:val="009B7649"/>
    <w:rsid w:val="009C6BB3"/>
    <w:rsid w:val="009C7B71"/>
    <w:rsid w:val="009D4A6B"/>
    <w:rsid w:val="009D58B4"/>
    <w:rsid w:val="009D591D"/>
    <w:rsid w:val="009E02FF"/>
    <w:rsid w:val="009E4497"/>
    <w:rsid w:val="009E6B18"/>
    <w:rsid w:val="009E717E"/>
    <w:rsid w:val="009E7A9B"/>
    <w:rsid w:val="00A023FA"/>
    <w:rsid w:val="00A02532"/>
    <w:rsid w:val="00A10095"/>
    <w:rsid w:val="00A10115"/>
    <w:rsid w:val="00A213B8"/>
    <w:rsid w:val="00A22F9E"/>
    <w:rsid w:val="00A25182"/>
    <w:rsid w:val="00A33379"/>
    <w:rsid w:val="00A347E8"/>
    <w:rsid w:val="00A45D78"/>
    <w:rsid w:val="00A47CE1"/>
    <w:rsid w:val="00A47F7E"/>
    <w:rsid w:val="00A51FDD"/>
    <w:rsid w:val="00A56AE9"/>
    <w:rsid w:val="00A60370"/>
    <w:rsid w:val="00A60911"/>
    <w:rsid w:val="00A6279E"/>
    <w:rsid w:val="00A7075A"/>
    <w:rsid w:val="00A75620"/>
    <w:rsid w:val="00A76D78"/>
    <w:rsid w:val="00A77EDE"/>
    <w:rsid w:val="00A85524"/>
    <w:rsid w:val="00A9144C"/>
    <w:rsid w:val="00A96A57"/>
    <w:rsid w:val="00A96E73"/>
    <w:rsid w:val="00A9781D"/>
    <w:rsid w:val="00AA4377"/>
    <w:rsid w:val="00AB7143"/>
    <w:rsid w:val="00AC1FA6"/>
    <w:rsid w:val="00AC7241"/>
    <w:rsid w:val="00AC7D8F"/>
    <w:rsid w:val="00AD41D1"/>
    <w:rsid w:val="00AD6245"/>
    <w:rsid w:val="00AE4A9B"/>
    <w:rsid w:val="00AE4BE1"/>
    <w:rsid w:val="00AE5479"/>
    <w:rsid w:val="00AF723E"/>
    <w:rsid w:val="00AF7AAF"/>
    <w:rsid w:val="00AF7B00"/>
    <w:rsid w:val="00B00AF1"/>
    <w:rsid w:val="00B22709"/>
    <w:rsid w:val="00B2371F"/>
    <w:rsid w:val="00B2670A"/>
    <w:rsid w:val="00B314D7"/>
    <w:rsid w:val="00B37F85"/>
    <w:rsid w:val="00B40BBD"/>
    <w:rsid w:val="00B41F86"/>
    <w:rsid w:val="00B45DF1"/>
    <w:rsid w:val="00B50E1B"/>
    <w:rsid w:val="00B519E1"/>
    <w:rsid w:val="00B524F2"/>
    <w:rsid w:val="00B669C6"/>
    <w:rsid w:val="00B67C73"/>
    <w:rsid w:val="00B73843"/>
    <w:rsid w:val="00B7456F"/>
    <w:rsid w:val="00B757C0"/>
    <w:rsid w:val="00B76D16"/>
    <w:rsid w:val="00B777D4"/>
    <w:rsid w:val="00B87799"/>
    <w:rsid w:val="00B94A1C"/>
    <w:rsid w:val="00BA29CE"/>
    <w:rsid w:val="00BA4C77"/>
    <w:rsid w:val="00BA628D"/>
    <w:rsid w:val="00BA6EC5"/>
    <w:rsid w:val="00BB62E5"/>
    <w:rsid w:val="00BC7E67"/>
    <w:rsid w:val="00BD0278"/>
    <w:rsid w:val="00BD356E"/>
    <w:rsid w:val="00BD52E5"/>
    <w:rsid w:val="00BE1FAB"/>
    <w:rsid w:val="00BE45AE"/>
    <w:rsid w:val="00BE4F13"/>
    <w:rsid w:val="00C038B1"/>
    <w:rsid w:val="00C05C47"/>
    <w:rsid w:val="00C13ACE"/>
    <w:rsid w:val="00C1570F"/>
    <w:rsid w:val="00C2187E"/>
    <w:rsid w:val="00C239B5"/>
    <w:rsid w:val="00C33412"/>
    <w:rsid w:val="00C37878"/>
    <w:rsid w:val="00C41EBB"/>
    <w:rsid w:val="00C4288C"/>
    <w:rsid w:val="00C44992"/>
    <w:rsid w:val="00C46FCD"/>
    <w:rsid w:val="00C52208"/>
    <w:rsid w:val="00C6020B"/>
    <w:rsid w:val="00C83E8F"/>
    <w:rsid w:val="00C8596B"/>
    <w:rsid w:val="00C8622A"/>
    <w:rsid w:val="00CA24D3"/>
    <w:rsid w:val="00CB154F"/>
    <w:rsid w:val="00CB3B33"/>
    <w:rsid w:val="00CB73E9"/>
    <w:rsid w:val="00CC0BFE"/>
    <w:rsid w:val="00CD1AE8"/>
    <w:rsid w:val="00CD1CDA"/>
    <w:rsid w:val="00CD3AFC"/>
    <w:rsid w:val="00CD6B43"/>
    <w:rsid w:val="00CE5429"/>
    <w:rsid w:val="00CE7107"/>
    <w:rsid w:val="00CF6AA7"/>
    <w:rsid w:val="00D0184E"/>
    <w:rsid w:val="00D126A8"/>
    <w:rsid w:val="00D135AE"/>
    <w:rsid w:val="00D22306"/>
    <w:rsid w:val="00D2336B"/>
    <w:rsid w:val="00D256F3"/>
    <w:rsid w:val="00D3593B"/>
    <w:rsid w:val="00D3608C"/>
    <w:rsid w:val="00D40120"/>
    <w:rsid w:val="00D4166A"/>
    <w:rsid w:val="00D448FA"/>
    <w:rsid w:val="00D4621B"/>
    <w:rsid w:val="00D5099E"/>
    <w:rsid w:val="00D52441"/>
    <w:rsid w:val="00D52D7E"/>
    <w:rsid w:val="00D54D46"/>
    <w:rsid w:val="00D556BB"/>
    <w:rsid w:val="00D612D8"/>
    <w:rsid w:val="00D61744"/>
    <w:rsid w:val="00D66706"/>
    <w:rsid w:val="00D72661"/>
    <w:rsid w:val="00D72DE8"/>
    <w:rsid w:val="00D75685"/>
    <w:rsid w:val="00D7586E"/>
    <w:rsid w:val="00D91557"/>
    <w:rsid w:val="00DA2CDE"/>
    <w:rsid w:val="00DB4BF7"/>
    <w:rsid w:val="00DB75E0"/>
    <w:rsid w:val="00DD1339"/>
    <w:rsid w:val="00DD572F"/>
    <w:rsid w:val="00DD7962"/>
    <w:rsid w:val="00DE4119"/>
    <w:rsid w:val="00DE5E89"/>
    <w:rsid w:val="00DF1FBB"/>
    <w:rsid w:val="00DF518F"/>
    <w:rsid w:val="00DF6CFD"/>
    <w:rsid w:val="00E10A07"/>
    <w:rsid w:val="00E12476"/>
    <w:rsid w:val="00E17FE2"/>
    <w:rsid w:val="00E21400"/>
    <w:rsid w:val="00E23047"/>
    <w:rsid w:val="00E2497F"/>
    <w:rsid w:val="00E25B07"/>
    <w:rsid w:val="00E26D80"/>
    <w:rsid w:val="00E372FA"/>
    <w:rsid w:val="00E41707"/>
    <w:rsid w:val="00E453AF"/>
    <w:rsid w:val="00E4660E"/>
    <w:rsid w:val="00E4790B"/>
    <w:rsid w:val="00E50689"/>
    <w:rsid w:val="00E50C71"/>
    <w:rsid w:val="00E558DB"/>
    <w:rsid w:val="00E56F07"/>
    <w:rsid w:val="00E631C6"/>
    <w:rsid w:val="00E651C9"/>
    <w:rsid w:val="00E73767"/>
    <w:rsid w:val="00E74CDA"/>
    <w:rsid w:val="00E761C8"/>
    <w:rsid w:val="00E762A0"/>
    <w:rsid w:val="00E76527"/>
    <w:rsid w:val="00E83ACC"/>
    <w:rsid w:val="00E8483D"/>
    <w:rsid w:val="00E84E96"/>
    <w:rsid w:val="00E92EE6"/>
    <w:rsid w:val="00E941D3"/>
    <w:rsid w:val="00E96675"/>
    <w:rsid w:val="00E96C65"/>
    <w:rsid w:val="00EA12CB"/>
    <w:rsid w:val="00EA3A8E"/>
    <w:rsid w:val="00EB35D9"/>
    <w:rsid w:val="00EB377A"/>
    <w:rsid w:val="00EB4C5A"/>
    <w:rsid w:val="00EB7ADB"/>
    <w:rsid w:val="00EC1D90"/>
    <w:rsid w:val="00EC4B55"/>
    <w:rsid w:val="00EC6421"/>
    <w:rsid w:val="00EC6897"/>
    <w:rsid w:val="00ED006E"/>
    <w:rsid w:val="00ED3E51"/>
    <w:rsid w:val="00ED63C7"/>
    <w:rsid w:val="00ED6C9C"/>
    <w:rsid w:val="00EE2C75"/>
    <w:rsid w:val="00EE345F"/>
    <w:rsid w:val="00EE5718"/>
    <w:rsid w:val="00EE708C"/>
    <w:rsid w:val="00EF6A64"/>
    <w:rsid w:val="00EF6ABD"/>
    <w:rsid w:val="00F06405"/>
    <w:rsid w:val="00F15598"/>
    <w:rsid w:val="00F26EEE"/>
    <w:rsid w:val="00F411B0"/>
    <w:rsid w:val="00F41498"/>
    <w:rsid w:val="00F41BA6"/>
    <w:rsid w:val="00F453E6"/>
    <w:rsid w:val="00F5771A"/>
    <w:rsid w:val="00F64A16"/>
    <w:rsid w:val="00F667F3"/>
    <w:rsid w:val="00F66EC5"/>
    <w:rsid w:val="00F72A5B"/>
    <w:rsid w:val="00F72F71"/>
    <w:rsid w:val="00F81E6B"/>
    <w:rsid w:val="00F82C25"/>
    <w:rsid w:val="00F85454"/>
    <w:rsid w:val="00F92CDC"/>
    <w:rsid w:val="00FA0C10"/>
    <w:rsid w:val="00FA3888"/>
    <w:rsid w:val="00FA5852"/>
    <w:rsid w:val="00FA71AF"/>
    <w:rsid w:val="00FA7556"/>
    <w:rsid w:val="00FB489A"/>
    <w:rsid w:val="00FC311F"/>
    <w:rsid w:val="00FC74F1"/>
    <w:rsid w:val="00FD001F"/>
    <w:rsid w:val="00FD4084"/>
    <w:rsid w:val="00FE2F08"/>
    <w:rsid w:val="00FF2229"/>
    <w:rsid w:val="00FF7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3F2F12-BC34-4E7D-9AFB-6F113C0E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3DD"/>
    <w:rPr>
      <w:sz w:val="24"/>
      <w:szCs w:val="24"/>
    </w:rPr>
  </w:style>
  <w:style w:type="paragraph" w:styleId="Heading1">
    <w:name w:val="heading 1"/>
    <w:basedOn w:val="Normal"/>
    <w:next w:val="Normal"/>
    <w:link w:val="Heading1Char"/>
    <w:uiPriority w:val="9"/>
    <w:qFormat/>
    <w:locked/>
    <w:rsid w:val="00A45D78"/>
    <w:pPr>
      <w:keepNext/>
      <w:spacing w:before="240" w:after="60" w:line="276" w:lineRule="auto"/>
      <w:outlineLvl w:val="0"/>
    </w:pPr>
    <w:rPr>
      <w:rFonts w:ascii="Cambria"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24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6AA7"/>
    <w:rPr>
      <w:rFonts w:cs="Times New Roman"/>
      <w:sz w:val="2"/>
    </w:rPr>
  </w:style>
  <w:style w:type="character" w:styleId="CommentReference">
    <w:name w:val="annotation reference"/>
    <w:basedOn w:val="DefaultParagraphFont"/>
    <w:uiPriority w:val="99"/>
    <w:rsid w:val="00E2497F"/>
    <w:rPr>
      <w:rFonts w:cs="Times New Roman"/>
      <w:sz w:val="16"/>
      <w:szCs w:val="16"/>
    </w:rPr>
  </w:style>
  <w:style w:type="paragraph" w:styleId="CommentText">
    <w:name w:val="annotation text"/>
    <w:basedOn w:val="Normal"/>
    <w:link w:val="CommentTextChar"/>
    <w:uiPriority w:val="99"/>
    <w:rsid w:val="00E2497F"/>
    <w:rPr>
      <w:sz w:val="20"/>
      <w:szCs w:val="20"/>
    </w:rPr>
  </w:style>
  <w:style w:type="character" w:customStyle="1" w:styleId="CommentTextChar">
    <w:name w:val="Comment Text Char"/>
    <w:basedOn w:val="DefaultParagraphFont"/>
    <w:link w:val="CommentText"/>
    <w:uiPriority w:val="99"/>
    <w:locked/>
    <w:rsid w:val="00E2497F"/>
    <w:rPr>
      <w:rFonts w:cs="Times New Roman"/>
    </w:rPr>
  </w:style>
  <w:style w:type="paragraph" w:styleId="CommentSubject">
    <w:name w:val="annotation subject"/>
    <w:basedOn w:val="CommentText"/>
    <w:next w:val="CommentText"/>
    <w:link w:val="CommentSubjectChar"/>
    <w:uiPriority w:val="99"/>
    <w:rsid w:val="00E2497F"/>
    <w:rPr>
      <w:b/>
      <w:bCs/>
    </w:rPr>
  </w:style>
  <w:style w:type="character" w:customStyle="1" w:styleId="CommentSubjectChar">
    <w:name w:val="Comment Subject Char"/>
    <w:basedOn w:val="CommentTextChar"/>
    <w:link w:val="CommentSubject"/>
    <w:uiPriority w:val="99"/>
    <w:locked/>
    <w:rsid w:val="00E2497F"/>
    <w:rPr>
      <w:rFonts w:cs="Times New Roman"/>
      <w:b/>
      <w:bCs/>
    </w:rPr>
  </w:style>
  <w:style w:type="paragraph" w:styleId="Revision">
    <w:name w:val="Revision"/>
    <w:hidden/>
    <w:uiPriority w:val="99"/>
    <w:semiHidden/>
    <w:rsid w:val="00D22306"/>
    <w:rPr>
      <w:sz w:val="24"/>
      <w:szCs w:val="24"/>
    </w:rPr>
  </w:style>
  <w:style w:type="paragraph" w:styleId="FootnoteText">
    <w:name w:val="footnote text"/>
    <w:basedOn w:val="Normal"/>
    <w:link w:val="FootnoteTextChar"/>
    <w:uiPriority w:val="99"/>
    <w:semiHidden/>
    <w:unhideWhenUsed/>
    <w:rsid w:val="009E4497"/>
    <w:rPr>
      <w:sz w:val="20"/>
      <w:szCs w:val="20"/>
    </w:rPr>
  </w:style>
  <w:style w:type="character" w:customStyle="1" w:styleId="FootnoteTextChar">
    <w:name w:val="Footnote Text Char"/>
    <w:basedOn w:val="DefaultParagraphFont"/>
    <w:link w:val="FootnoteText"/>
    <w:uiPriority w:val="99"/>
    <w:semiHidden/>
    <w:rsid w:val="009E4497"/>
    <w:rPr>
      <w:sz w:val="20"/>
      <w:szCs w:val="20"/>
    </w:rPr>
  </w:style>
  <w:style w:type="character" w:styleId="FootnoteReference">
    <w:name w:val="footnote reference"/>
    <w:basedOn w:val="DefaultParagraphFont"/>
    <w:uiPriority w:val="99"/>
    <w:semiHidden/>
    <w:unhideWhenUsed/>
    <w:rsid w:val="009E4497"/>
    <w:rPr>
      <w:vertAlign w:val="superscript"/>
    </w:rPr>
  </w:style>
  <w:style w:type="character" w:customStyle="1" w:styleId="Heading1Char">
    <w:name w:val="Heading 1 Char"/>
    <w:basedOn w:val="DefaultParagraphFont"/>
    <w:link w:val="Heading1"/>
    <w:uiPriority w:val="9"/>
    <w:rsid w:val="00A45D78"/>
    <w:rPr>
      <w:rFonts w:ascii="Cambria" w:hAnsi="Cambria"/>
      <w:b/>
      <w:bCs/>
      <w:kern w:val="32"/>
      <w:sz w:val="32"/>
      <w:szCs w:val="32"/>
      <w:lang w:eastAsia="en-US"/>
    </w:rPr>
  </w:style>
  <w:style w:type="paragraph" w:customStyle="1" w:styleId="ACMABodyText">
    <w:name w:val="ACMA Body Text"/>
    <w:link w:val="ACMABodyTextChar1"/>
    <w:uiPriority w:val="99"/>
    <w:rsid w:val="007D4F64"/>
    <w:pPr>
      <w:suppressAutoHyphens/>
      <w:spacing w:before="80" w:after="120" w:line="280" w:lineRule="atLeast"/>
    </w:pPr>
    <w:rPr>
      <w:snapToGrid w:val="0"/>
      <w:sz w:val="24"/>
      <w:lang w:eastAsia="en-US"/>
    </w:rPr>
  </w:style>
  <w:style w:type="paragraph" w:customStyle="1" w:styleId="ACMAHeading3">
    <w:name w:val="ACMA Heading 3"/>
    <w:next w:val="ACMABodyText"/>
    <w:rsid w:val="007D4F64"/>
    <w:pPr>
      <w:keepNext/>
      <w:suppressAutoHyphens/>
      <w:spacing w:before="240"/>
      <w:outlineLvl w:val="3"/>
    </w:pPr>
    <w:rPr>
      <w:rFonts w:ascii="Arial" w:hAnsi="Arial"/>
      <w:b/>
      <w:sz w:val="24"/>
      <w:lang w:val="en-US" w:eastAsia="en-US"/>
    </w:rPr>
  </w:style>
  <w:style w:type="character" w:customStyle="1" w:styleId="ACMABodyTextChar1">
    <w:name w:val="ACMA Body Text Char1"/>
    <w:basedOn w:val="DefaultParagraphFont"/>
    <w:link w:val="ACMABodyText"/>
    <w:uiPriority w:val="99"/>
    <w:rsid w:val="007D4F64"/>
    <w:rPr>
      <w:snapToGrid w:val="0"/>
      <w:sz w:val="24"/>
      <w:lang w:val="en-AU" w:eastAsia="en-US" w:bidi="ar-SA"/>
    </w:rPr>
  </w:style>
  <w:style w:type="paragraph" w:styleId="Header">
    <w:name w:val="header"/>
    <w:basedOn w:val="Normal"/>
    <w:link w:val="HeaderChar"/>
    <w:uiPriority w:val="99"/>
    <w:semiHidden/>
    <w:unhideWhenUsed/>
    <w:rsid w:val="00217128"/>
    <w:pPr>
      <w:tabs>
        <w:tab w:val="center" w:pos="4513"/>
        <w:tab w:val="right" w:pos="9026"/>
      </w:tabs>
    </w:pPr>
  </w:style>
  <w:style w:type="character" w:customStyle="1" w:styleId="HeaderChar">
    <w:name w:val="Header Char"/>
    <w:basedOn w:val="DefaultParagraphFont"/>
    <w:link w:val="Header"/>
    <w:uiPriority w:val="99"/>
    <w:semiHidden/>
    <w:rsid w:val="00217128"/>
    <w:rPr>
      <w:sz w:val="24"/>
      <w:szCs w:val="24"/>
    </w:rPr>
  </w:style>
  <w:style w:type="paragraph" w:styleId="Footer">
    <w:name w:val="footer"/>
    <w:basedOn w:val="Normal"/>
    <w:link w:val="FooterChar"/>
    <w:uiPriority w:val="99"/>
    <w:unhideWhenUsed/>
    <w:rsid w:val="00217128"/>
    <w:pPr>
      <w:tabs>
        <w:tab w:val="center" w:pos="4513"/>
        <w:tab w:val="right" w:pos="9026"/>
      </w:tabs>
    </w:pPr>
  </w:style>
  <w:style w:type="character" w:customStyle="1" w:styleId="FooterChar">
    <w:name w:val="Footer Char"/>
    <w:basedOn w:val="DefaultParagraphFont"/>
    <w:link w:val="Footer"/>
    <w:uiPriority w:val="99"/>
    <w:rsid w:val="00217128"/>
    <w:rPr>
      <w:sz w:val="24"/>
      <w:szCs w:val="24"/>
    </w:rPr>
  </w:style>
  <w:style w:type="paragraph" w:styleId="ListParagraph">
    <w:name w:val="List Paragraph"/>
    <w:basedOn w:val="Normal"/>
    <w:uiPriority w:val="34"/>
    <w:qFormat/>
    <w:rsid w:val="000C5ABC"/>
    <w:pPr>
      <w:ind w:left="720"/>
      <w:contextualSpacing/>
    </w:pPr>
  </w:style>
  <w:style w:type="character" w:styleId="Hyperlink">
    <w:name w:val="Hyperlink"/>
    <w:basedOn w:val="DefaultParagraphFont"/>
    <w:uiPriority w:val="99"/>
    <w:unhideWhenUsed/>
    <w:rsid w:val="00DA2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omlaw.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aiglobal.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rpan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033047a-93aa-421b-8aef-52cbfb63cf36" ContentTypeId="0x01010070E27D6A746B5B48ADF22C2128054D55" PreviousValue="false"/>
</file>

<file path=customXml/item3.xml><?xml version="1.0" encoding="utf-8"?>
<ct:contentTypeSchema xmlns:ct="http://schemas.microsoft.com/office/2006/metadata/contentType" xmlns:ma="http://schemas.microsoft.com/office/2006/metadata/properties/metaAttributes" ct:_="" ma:_="" ma:contentTypeName="Record" ma:contentTypeID="0x01010070E27D6A746B5B48ADF22C2128054D5500A693152E1C35154185216143C34A3F31" ma:contentTypeVersion="35" ma:contentTypeDescription="A document enhanced so that it is automatically captured by RecordPoint." ma:contentTypeScope="" ma:versionID="1b072fbd30c1a63ea8e63a2c0385c599">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5cb7b8efecd42c539099e757c2687b6"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KNAH4PPFC442-2667-509</_dlc_DocId>
    <_dlc_DocIdUrl xmlns="6db8f3c6-01a1-4322-b043-a3b2a190f7a8">
      <Url>http://collaboration/organisation/Auth/Chair/Auth/_layouts/DocIdRedir.aspx?ID=KNAH4PPFC442-2667-509</Url>
      <Description>KNAH4PPFC442-2667-509</Description>
    </_dlc_DocIdUrl>
    <Record_x0020_Number xmlns="83630db1-6fc2-4dfd-b3fe-d61d34e1440c">ER2014/072144</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493A-41B9-4C30-98C8-A53EF8BA8B9B}">
  <ds:schemaRefs>
    <ds:schemaRef ds:uri="http://schemas.microsoft.com/sharepoint/events"/>
  </ds:schemaRefs>
</ds:datastoreItem>
</file>

<file path=customXml/itemProps2.xml><?xml version="1.0" encoding="utf-8"?>
<ds:datastoreItem xmlns:ds="http://schemas.openxmlformats.org/officeDocument/2006/customXml" ds:itemID="{1B9BCE43-4D79-4F6D-A91F-CBB97C254480}">
  <ds:schemaRefs>
    <ds:schemaRef ds:uri="Microsoft.SharePoint.Taxonomy.ContentTypeSync"/>
  </ds:schemaRefs>
</ds:datastoreItem>
</file>

<file path=customXml/itemProps3.xml><?xml version="1.0" encoding="utf-8"?>
<ds:datastoreItem xmlns:ds="http://schemas.openxmlformats.org/officeDocument/2006/customXml" ds:itemID="{645E88D3-4220-45DE-B17C-FC6A61A85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33CD0-06D8-490E-A7F6-B57DA0EBF0C2}">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 ds:uri="5e268b55-9e20-462b-aba6-694451a37717"/>
  </ds:schemaRefs>
</ds:datastoreItem>
</file>

<file path=customXml/itemProps5.xml><?xml version="1.0" encoding="utf-8"?>
<ds:datastoreItem xmlns:ds="http://schemas.openxmlformats.org/officeDocument/2006/customXml" ds:itemID="{5593B894-6A56-452A-B7A2-E72368A871AB}">
  <ds:schemaRefs>
    <ds:schemaRef ds:uri="http://schemas.microsoft.com/sharepoint/v3/contenttype/forms"/>
  </ds:schemaRefs>
</ds:datastoreItem>
</file>

<file path=customXml/itemProps6.xml><?xml version="1.0" encoding="utf-8"?>
<ds:datastoreItem xmlns:ds="http://schemas.openxmlformats.org/officeDocument/2006/customXml" ds:itemID="{3FE665DE-8A2A-44AB-A9AF-7F5524AF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EXLANATORY STATEMENT</vt:lpstr>
    </vt:vector>
  </TitlesOfParts>
  <Company>Australian Communications Media Authority</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EXLANATORY STATEMENT</dc:title>
  <dc:creator>jchua</dc:creator>
  <cp:lastModifiedBy>Alison Jermey</cp:lastModifiedBy>
  <cp:revision>2</cp:revision>
  <cp:lastPrinted>2010-02-22T23:59:00Z</cp:lastPrinted>
  <dcterms:created xsi:type="dcterms:W3CDTF">2014-07-01T06:55:00Z</dcterms:created>
  <dcterms:modified xsi:type="dcterms:W3CDTF">2014-07-01T06:55:00Z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b2cfa016-f5d4-400d-aeb7-09b4c2bd40e4</vt:lpwstr>
  </property>
  <property fmtid="{D5CDD505-2E9C-101B-9397-08002B2CF9AE}" pid="3" name="ContentTypeId">
    <vt:lpwstr>0x01010070E27D6A746B5B48ADF22C2128054D5500A693152E1C35154185216143C34A3F31</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{aa02821a-f0b7-4f59-9c9d-33ae55ea486f}</vt:lpwstr>
  </property>
  <property fmtid="{D5CDD505-2E9C-101B-9397-08002B2CF9AE}" pid="7" name="RecordPoint_RecordFormat">
    <vt:lpwstr/>
  </property>
  <property fmtid="{D5CDD505-2E9C-101B-9397-08002B2CF9AE}" pid="8" name="RecordPoint_ActiveItemUniqueId">
    <vt:lpwstr>{b2cfa016-f5d4-400d-aeb7-09b4c2bd40e4}</vt:lpwstr>
  </property>
  <property fmtid="{D5CDD505-2E9C-101B-9397-08002B2CF9AE}" pid="9" name="RecordPoint_SubmissionCompleted">
    <vt:lpwstr>2014-06-18T13:56:14.1805931+10:00</vt:lpwstr>
  </property>
  <property fmtid="{D5CDD505-2E9C-101B-9397-08002B2CF9AE}" pid="10" name="RecordPoint_ActiveItemMoved">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