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B6" w:rsidRPr="00151EB6" w:rsidRDefault="00151EB6" w:rsidP="00151EB6">
      <w:pPr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bookmarkStart w:id="0" w:name="_GoBack"/>
      <w:bookmarkEnd w:id="0"/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ASIC CLASS ORDER </w:t>
      </w:r>
      <w:r w:rsidR="00B110EC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[CO 14/</w:t>
      </w:r>
      <w:r w:rsidR="00DC6124" w:rsidRPr="00DC6124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648]</w:t>
      </w:r>
    </w:p>
    <w:p w:rsidR="00151EB6" w:rsidRPr="00151EB6" w:rsidRDefault="00151EB6" w:rsidP="00151EB6">
      <w:pPr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EXPLANATORY STATEMENT</w:t>
      </w:r>
    </w:p>
    <w:p w:rsidR="00151EB6" w:rsidRPr="00151EB6" w:rsidRDefault="00151EB6" w:rsidP="00151EB6">
      <w:pPr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Prepared by the Australian Securities and Investments Commission</w:t>
      </w:r>
    </w:p>
    <w:p w:rsidR="00151EB6" w:rsidRPr="00151EB6" w:rsidRDefault="00151EB6" w:rsidP="00151EB6">
      <w:pPr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Corporations Act 2001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The Australian Securities and Investments Commission (</w:t>
      </w:r>
      <w:r w:rsidRPr="00151E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ASIC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makes ASIC Class Order </w:t>
      </w:r>
      <w:r w:rsidR="00DC6124" w:rsidRPr="00C847B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[</w:t>
      </w:r>
      <w:r w:rsidR="00DC6124" w:rsidRPr="005B18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</w:t>
      </w:r>
      <w:r w:rsidR="00B110E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14/</w:t>
      </w:r>
      <w:r w:rsidR="00DC612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648</w:t>
      </w:r>
      <w:r w:rsidR="00DC6124" w:rsidRPr="00C847B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]</w:t>
      </w:r>
      <w:r w:rsidR="00DC612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under paragraphs </w:t>
      </w:r>
      <w:proofErr w:type="gramStart"/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601QA(</w:t>
      </w:r>
      <w:proofErr w:type="gramEnd"/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1)(a) and 911A(2)(l) of the </w:t>
      </w:r>
      <w:r w:rsidRPr="00151EB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Corporations Act 2001 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(the </w:t>
      </w:r>
      <w:r w:rsidRPr="00151E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Act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).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Paragraph </w:t>
      </w:r>
      <w:proofErr w:type="gramStart"/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601QA(</w:t>
      </w:r>
      <w:proofErr w:type="gramEnd"/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1)(a) of the Act provides that ASIC may exempt a class of persons from the provisions of Chapter 5C of the Act.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Paragraph </w:t>
      </w:r>
      <w:proofErr w:type="gramStart"/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911A(</w:t>
      </w:r>
      <w:proofErr w:type="gramEnd"/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2)(l) of the Act provides that ASIC may exempt a class of persons from the requirement to hold an Australian financial services licence (</w:t>
      </w:r>
      <w:r w:rsidRPr="00151E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AFS licence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).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1. Background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ASIC Class Order [CO 08/1] </w:t>
      </w:r>
      <w:r w:rsidRPr="00151EB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Group purchasing bodies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, the principal class order, gives conditional relief from the AFS licensing regime and Chapter 5C of the Act for some group purchasing bodies (</w:t>
      </w:r>
      <w:r w:rsidRPr="00151E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GPBs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) who arrange or hold risk management products (</w:t>
      </w:r>
      <w:r w:rsidRPr="00151E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insurance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for the benefit of third parties. GPBs include sporting and other not-for-profit organisations which arrange insurance for third parties (e.g. players or volunteers). </w:t>
      </w:r>
    </w:p>
    <w:p w:rsidR="00151EB6" w:rsidRPr="00591263" w:rsidRDefault="00151EB6" w:rsidP="0015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ASIC Class Order [CO 08/1] provides conditional relief to a limited class of GPBs that organise insurance on a non-commercial basis. </w:t>
      </w:r>
      <w:r w:rsid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It contains a condition that requires a GPB who relies on the relief to report to ASIC breaches of conditions of the relief. 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requirement to comply with the breach reporting condition was subject to a delayed </w:t>
      </w:r>
      <w:r w:rsid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start to allow for transition. </w:t>
      </w:r>
      <w:r w:rsid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transitional period for compliance with the breach reporting condition in [CO 08/1] </w:t>
      </w:r>
      <w:r w:rsid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currently 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scheduled to end on </w:t>
      </w:r>
      <w:r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30 June 201</w:t>
      </w:r>
      <w:r w:rsidR="00DD6778"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4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2. Purpose of the class order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ASIC Class Order</w:t>
      </w:r>
      <w:r w:rsid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DC6124" w:rsidRPr="00C847B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[</w:t>
      </w:r>
      <w:r w:rsidR="00DC6124" w:rsidRPr="005B18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</w:t>
      </w:r>
      <w:r w:rsidR="00B110E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14/</w:t>
      </w:r>
      <w:r w:rsidR="00DC612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648</w:t>
      </w:r>
      <w:r w:rsidR="00DC6124" w:rsidRPr="00C847B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]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an amending class order, extends the transitional period for compliance with the breach reporting conditions in [CO 08/1] by </w:t>
      </w:r>
      <w:r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another 12 months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while the Government</w:t>
      </w:r>
      <w:r w:rsid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ASIC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considers the issue. That is, </w:t>
      </w:r>
      <w:r w:rsidR="00DD677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GPBs will not need to report breaches of [CO 08/1] to ASIC 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until </w:t>
      </w:r>
      <w:r w:rsidR="00914DC1">
        <w:rPr>
          <w:rFonts w:ascii="Times New Roman" w:eastAsia="Times New Roman" w:hAnsi="Times New Roman" w:cs="Times New Roman"/>
          <w:sz w:val="24"/>
          <w:szCs w:val="24"/>
          <w:lang w:eastAsia="en-AU"/>
        </w:rPr>
        <w:t>after the earlier of</w:t>
      </w:r>
      <w:r w:rsidR="00DD6778"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first time that the </w:t>
      </w:r>
      <w:r w:rsidR="00DD6778">
        <w:rPr>
          <w:rFonts w:ascii="Times New Roman" w:eastAsia="Times New Roman" w:hAnsi="Times New Roman" w:cs="Times New Roman"/>
          <w:sz w:val="24"/>
          <w:szCs w:val="24"/>
          <w:lang w:eastAsia="en-AU"/>
        </w:rPr>
        <w:t>GPB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acquires, renews or renegotiates the terms of, the risk management product on or after </w:t>
      </w:r>
      <w:r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30 June 201</w:t>
      </w:r>
      <w:r w:rsidR="00DD6778"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5</w:t>
      </w:r>
      <w:r w:rsid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DC6124"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</w:t>
      </w:r>
      <w:r w:rsidR="00DD6778"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30 June 201</w:t>
      </w:r>
      <w:r w:rsidR="00DD6778" w:rsidRP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>6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. This extension will enable the Government</w:t>
      </w:r>
      <w:r w:rsidR="00DC61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ASIC 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consider how the issues raised by GPBs can be addressed by amendments to the </w:t>
      </w:r>
      <w:r w:rsidRPr="00151EB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Corporations Regulations 2001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, and to consult with stakeholders in the development of the regulations.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3. Operation of the class order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Paragraph 4 of the amending class order amends [CO 08/1] by substituting </w:t>
      </w:r>
      <w:r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'30 June 201</w:t>
      </w:r>
      <w:r w:rsidR="00DD6778"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5</w:t>
      </w:r>
      <w:r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' in place of '30 June 201</w:t>
      </w:r>
      <w:r w:rsidR="00DD6778"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4</w:t>
      </w:r>
      <w:r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' and substituting '30 June 201</w:t>
      </w:r>
      <w:r w:rsidR="00DD6778"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6</w:t>
      </w:r>
      <w:r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' in place of '30 June 201</w:t>
      </w:r>
      <w:r w:rsidR="00DD6778"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5</w:t>
      </w:r>
      <w:r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'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subparagraphs 10(f)(</w:t>
      </w:r>
      <w:proofErr w:type="spellStart"/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proofErr w:type="spellEnd"/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and (ii), respectively. This means that GPBs relying on relief under [CO 08/1] will need to report any breaches of the conditions of [CO 08/1] to ASIC under 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subparagraph 10(f) </w:t>
      </w:r>
      <w:r w:rsidR="00914DC1">
        <w:rPr>
          <w:rFonts w:ascii="Times New Roman" w:eastAsia="Times New Roman" w:hAnsi="Times New Roman" w:cs="Times New Roman"/>
          <w:sz w:val="24"/>
          <w:szCs w:val="24"/>
          <w:lang w:eastAsia="en-AU"/>
        </w:rPr>
        <w:t>after the earlier of</w:t>
      </w:r>
      <w:r w:rsidR="009672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first time the GPB acquires, renews or renegotiates the terms of the risk management product on or after 30 June 2015</w:t>
      </w:r>
      <w:r w:rsid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, or</w:t>
      </w:r>
      <w:r w:rsidR="0096725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30 June 2016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4. Consultation </w:t>
      </w:r>
    </w:p>
    <w:p w:rsidR="00151EB6" w:rsidRDefault="00151EB6" w:rsidP="00151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ASIC did not undertake consultation with respect to </w:t>
      </w:r>
      <w:r w:rsidR="00591263" w:rsidRPr="00C847B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[</w:t>
      </w:r>
      <w:r w:rsidR="00591263" w:rsidRPr="005B18A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</w:t>
      </w:r>
      <w:r w:rsidR="00B110E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14/</w:t>
      </w:r>
      <w:r w:rsidR="0059126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648</w:t>
      </w:r>
      <w:r w:rsidR="00591263" w:rsidRPr="00C847B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]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it is a transitional measure of a minor and machinery nature, and was required as a matter of urgency to extend the transitional period in [CO 08/1]. </w:t>
      </w:r>
    </w:p>
    <w:p w:rsidR="00591263" w:rsidRDefault="00591263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:rsidR="00591263" w:rsidRPr="00151EB6" w:rsidRDefault="00591263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</w:p>
    <w:p w:rsidR="00151EB6" w:rsidRPr="00151EB6" w:rsidRDefault="00151EB6" w:rsidP="00151EB6">
      <w:pPr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Statement of Compatibility with Human Rights</w:t>
      </w:r>
    </w:p>
    <w:p w:rsidR="00151EB6" w:rsidRPr="00151EB6" w:rsidRDefault="00151EB6" w:rsidP="00151EB6">
      <w:pPr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Prepared in accordance with Part 3 of the Human Rights (Parliamentary Scrutiny) Act 2011</w:t>
      </w:r>
    </w:p>
    <w:p w:rsidR="00151EB6" w:rsidRPr="00151EB6" w:rsidRDefault="00151EB6" w:rsidP="00151EB6">
      <w:pPr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ASIC Class Order </w:t>
      </w:r>
      <w:r w:rsidR="00B110EC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[CO 14/</w:t>
      </w:r>
      <w:r w:rsidR="00591263" w:rsidRPr="00591263">
        <w:rPr>
          <w:rFonts w:ascii="Times New Roman" w:eastAsia="Times New Roman" w:hAnsi="Times New Roman" w:cs="Times New Roman"/>
          <w:b/>
          <w:sz w:val="24"/>
          <w:szCs w:val="24"/>
          <w:lang w:val="en-US" w:eastAsia="en-AU"/>
        </w:rPr>
        <w:t>648]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class order is compatible with the human rights and freedoms recognised or declared in the international instruments listed in section 3 of the </w:t>
      </w:r>
      <w:r w:rsidRPr="00151EB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Human Rights (Parliamentary Scrutiny) Act 2011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Overview of the class order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class order amends ASIC Class Order [CO 8/1] (the </w:t>
      </w:r>
      <w:r w:rsidRPr="00151E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principal class order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). The principal class order gives conditional relief from the Australian financial services licensing regime and Chapter 5C of the </w:t>
      </w:r>
      <w:r w:rsidRPr="00151EB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Corporations Act 2001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a limited class of group purchasing bodies (</w:t>
      </w:r>
      <w:r w:rsidRPr="00151E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GPBs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that organise insurance on a non-commercial basis for the benefit of third parties. GPBs include sporting and other not-for-profit organisations.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transitional period for compliance with the breach reporting conditions in the principal class order was scheduled to end on </w:t>
      </w:r>
      <w:r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30 June 201</w:t>
      </w:r>
      <w:r w:rsidR="0096725B"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4</w:t>
      </w:r>
      <w:r w:rsidRPr="00591263">
        <w:rPr>
          <w:rFonts w:ascii="Times New Roman" w:eastAsia="Times New Roman" w:hAnsi="Times New Roman" w:cs="Times New Roman"/>
          <w:sz w:val="24"/>
          <w:szCs w:val="24"/>
          <w:lang w:eastAsia="en-AU"/>
        </w:rPr>
        <w:t>. This class order extends that transitional period by another 12 months w</w:t>
      </w: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hile the Government considers the issue.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Human rights implications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class order does not engage any of the applicable rights or freedoms.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Conclusion </w:t>
      </w:r>
    </w:p>
    <w:p w:rsidR="00151EB6" w:rsidRPr="00151EB6" w:rsidRDefault="00151EB6" w:rsidP="00151EB6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19"/>
          <w:szCs w:val="19"/>
          <w:lang w:eastAsia="en-AU"/>
        </w:rPr>
      </w:pPr>
      <w:r w:rsidRPr="00151EB6">
        <w:rPr>
          <w:rFonts w:ascii="Times New Roman" w:eastAsia="Times New Roman" w:hAnsi="Times New Roman" w:cs="Times New Roman"/>
          <w:sz w:val="24"/>
          <w:szCs w:val="24"/>
          <w:lang w:eastAsia="en-AU"/>
        </w:rPr>
        <w:t>This class order is compatible with human rights as it does not raise any human rights issues.</w:t>
      </w:r>
    </w:p>
    <w:p w:rsidR="005543D8" w:rsidRDefault="005543D8"/>
    <w:sectPr w:rsidR="0055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6"/>
    <w:rsid w:val="00151EB6"/>
    <w:rsid w:val="005543D8"/>
    <w:rsid w:val="00591263"/>
    <w:rsid w:val="00637A51"/>
    <w:rsid w:val="00755396"/>
    <w:rsid w:val="00914DC1"/>
    <w:rsid w:val="0096725B"/>
    <w:rsid w:val="00A97659"/>
    <w:rsid w:val="00B110EC"/>
    <w:rsid w:val="00DC6124"/>
    <w:rsid w:val="00D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1EB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6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1EB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6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7352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anthony.thompson</dc:creator>
  <cp:lastModifiedBy>Merrill.murray</cp:lastModifiedBy>
  <cp:revision>2</cp:revision>
  <cp:lastPrinted>2014-06-30T03:32:00Z</cp:lastPrinted>
  <dcterms:created xsi:type="dcterms:W3CDTF">2014-06-30T03:33:00Z</dcterms:created>
  <dcterms:modified xsi:type="dcterms:W3CDTF">2014-06-30T03:33:00Z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B805069</vt:lpwstr>
  </property>
  <property fmtid="{D5CDD505-2E9C-101B-9397-08002B2CF9AE}" pid="4" name="Objective-Title">
    <vt:lpwstr>Explanatory statement for CO 14-648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2014-06-29T23:05:27Z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2014-06-29T23:08:45Z</vt:filetime>
  </property>
  <property fmtid="{D5CDD505-2E9C-101B-9397-08002B2CF9AE}" pid="11" name="Objective-Owner">
    <vt:lpwstr>Fleur Grey</vt:lpwstr>
  </property>
  <property fmtid="{D5CDD505-2E9C-101B-9397-08002B2CF9AE}" pid="12" name="Objective-Path">
    <vt:lpwstr>Fleur Grey:Special Folder - Fleur Grey:</vt:lpwstr>
  </property>
  <property fmtid="{D5CDD505-2E9C-101B-9397-08002B2CF9AE}" pid="13" name="Objective-Parent">
    <vt:lpwstr>Special Folder - Fleur Grey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>
    </vt:lpwstr>
  </property>
  <property fmtid="{D5CDD505-2E9C-101B-9397-08002B2CF9AE}" pid="21" name="Objective-Category [system]">
    <vt:lpwstr>
    </vt:lpwstr>
  </property>
</Properties>
</file>