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470" w:rsidRPr="00977D04" w:rsidRDefault="00952ED1" w:rsidP="00515B8E">
      <w:pPr>
        <w:pStyle w:val="Heading1"/>
        <w:spacing w:before="120" w:after="240"/>
        <w:jc w:val="center"/>
        <w:rPr>
          <w:rFonts w:ascii="Times New Roman" w:hAnsi="Times New Roman" w:cs="Times New Roman"/>
          <w:sz w:val="24"/>
          <w:szCs w:val="24"/>
        </w:rPr>
      </w:pPr>
      <w:r w:rsidRPr="00977D04">
        <w:rPr>
          <w:rFonts w:ascii="Times New Roman" w:hAnsi="Times New Roman" w:cs="Times New Roman"/>
          <w:sz w:val="24"/>
          <w:szCs w:val="24"/>
        </w:rPr>
        <w:t>E</w:t>
      </w:r>
      <w:r w:rsidR="00BA0BF3" w:rsidRPr="00977D04">
        <w:rPr>
          <w:rFonts w:ascii="Times New Roman" w:hAnsi="Times New Roman" w:cs="Times New Roman"/>
          <w:sz w:val="24"/>
          <w:szCs w:val="24"/>
        </w:rPr>
        <w:t>XPLANATORY STATEMENT</w:t>
      </w:r>
    </w:p>
    <w:p w:rsidR="006A749C" w:rsidRPr="00977D04" w:rsidRDefault="00474C20">
      <w:pPr>
        <w:jc w:val="center"/>
        <w:rPr>
          <w:b/>
        </w:rPr>
      </w:pPr>
      <w:r w:rsidRPr="00977D04">
        <w:rPr>
          <w:b/>
        </w:rPr>
        <w:t>Issued by the Authority of the Minister for Finance</w:t>
      </w:r>
    </w:p>
    <w:p w:rsidR="006A749C" w:rsidRPr="00977D04" w:rsidRDefault="006A749C">
      <w:pPr>
        <w:jc w:val="center"/>
        <w:rPr>
          <w:b/>
        </w:rPr>
      </w:pPr>
    </w:p>
    <w:p w:rsidR="006A749C" w:rsidRPr="00977D04" w:rsidRDefault="00474C20">
      <w:pPr>
        <w:jc w:val="center"/>
        <w:rPr>
          <w:i/>
        </w:rPr>
      </w:pPr>
      <w:r w:rsidRPr="00977D04">
        <w:rPr>
          <w:i/>
        </w:rPr>
        <w:t>Public Governance, Performance and Accountability Act 2013</w:t>
      </w:r>
    </w:p>
    <w:p w:rsidR="006A749C" w:rsidRPr="00977D04" w:rsidRDefault="006A749C">
      <w:pPr>
        <w:jc w:val="center"/>
        <w:rPr>
          <w:i/>
        </w:rPr>
      </w:pPr>
    </w:p>
    <w:p w:rsidR="00E93916" w:rsidRDefault="00474C20">
      <w:pPr>
        <w:jc w:val="center"/>
        <w:rPr>
          <w:i/>
        </w:rPr>
      </w:pPr>
      <w:r w:rsidRPr="00977D04">
        <w:rPr>
          <w:i/>
        </w:rPr>
        <w:t xml:space="preserve">Public Governance, Performance and Accountability </w:t>
      </w:r>
    </w:p>
    <w:p w:rsidR="006A749C" w:rsidRPr="00977D04" w:rsidRDefault="006A749C">
      <w:pPr>
        <w:jc w:val="center"/>
        <w:rPr>
          <w:i/>
        </w:rPr>
      </w:pPr>
      <w:r w:rsidRPr="00977D04">
        <w:rPr>
          <w:i/>
        </w:rPr>
        <w:t>(Consequential and Transitional</w:t>
      </w:r>
      <w:r w:rsidR="00E93916">
        <w:rPr>
          <w:i/>
        </w:rPr>
        <w:t xml:space="preserve"> Provisions</w:t>
      </w:r>
      <w:r w:rsidRPr="00977D04">
        <w:rPr>
          <w:i/>
        </w:rPr>
        <w:t xml:space="preserve">) </w:t>
      </w:r>
      <w:r w:rsidR="00474C20" w:rsidRPr="00977D04">
        <w:rPr>
          <w:i/>
        </w:rPr>
        <w:t xml:space="preserve">Rule 2014 </w:t>
      </w:r>
    </w:p>
    <w:p w:rsidR="006A749C" w:rsidRPr="00977D04" w:rsidRDefault="006A749C">
      <w:pPr>
        <w:jc w:val="center"/>
        <w:rPr>
          <w:i/>
        </w:rPr>
      </w:pPr>
    </w:p>
    <w:p w:rsidR="00132DCA" w:rsidRPr="00977D04" w:rsidRDefault="00F95FE8" w:rsidP="00D976E6">
      <w:pPr>
        <w:rPr>
          <w:lang w:val="en-AU"/>
        </w:rPr>
      </w:pPr>
      <w:r w:rsidRPr="00977D04">
        <w:rPr>
          <w:lang w:val="en-AU"/>
        </w:rPr>
        <w:t xml:space="preserve">The </w:t>
      </w:r>
      <w:r w:rsidRPr="00977D04">
        <w:rPr>
          <w:i/>
          <w:lang w:val="en-AU"/>
        </w:rPr>
        <w:t>Public Governance, Performance and Accountability Act 2013</w:t>
      </w:r>
      <w:r w:rsidRPr="00977D04">
        <w:rPr>
          <w:lang w:val="en-AU"/>
        </w:rPr>
        <w:t xml:space="preserve"> (PGPA Act) consolidates into a single piece of legislation the governance, performance and accountability requirements of the Commonwealth, setting out a fra</w:t>
      </w:r>
      <w:r w:rsidR="009C0A93" w:rsidRPr="00977D04">
        <w:rPr>
          <w:lang w:val="en-AU"/>
        </w:rPr>
        <w:t>mework for regulating resource</w:t>
      </w:r>
      <w:r w:rsidRPr="00977D04">
        <w:rPr>
          <w:lang w:val="en-AU"/>
        </w:rPr>
        <w:t xml:space="preserve"> management by the Commonwealth and relevant entities.</w:t>
      </w:r>
      <w:r w:rsidR="00916010" w:rsidRPr="00977D04">
        <w:rPr>
          <w:lang w:val="en-AU"/>
        </w:rPr>
        <w:t xml:space="preserve"> </w:t>
      </w:r>
      <w:r w:rsidR="00132DCA" w:rsidRPr="00977D04">
        <w:rPr>
          <w:lang w:val="en-AU"/>
        </w:rPr>
        <w:t xml:space="preserve">The PGPA Act will replace the </w:t>
      </w:r>
      <w:r w:rsidR="00132DCA" w:rsidRPr="00977D04">
        <w:rPr>
          <w:i/>
          <w:iCs/>
          <w:lang w:val="en-AU"/>
        </w:rPr>
        <w:t>Financial Management and Accountability Act 1997</w:t>
      </w:r>
      <w:r w:rsidR="00132DCA" w:rsidRPr="00977D04">
        <w:rPr>
          <w:lang w:val="en-AU"/>
        </w:rPr>
        <w:t xml:space="preserve"> </w:t>
      </w:r>
      <w:r w:rsidR="004B6092" w:rsidRPr="00977D04">
        <w:rPr>
          <w:lang w:val="en-AU"/>
        </w:rPr>
        <w:t xml:space="preserve">(FMA Act) </w:t>
      </w:r>
      <w:r w:rsidR="00132DCA" w:rsidRPr="00977D04">
        <w:rPr>
          <w:lang w:val="en-AU"/>
        </w:rPr>
        <w:t xml:space="preserve">and the </w:t>
      </w:r>
      <w:r w:rsidR="00132DCA" w:rsidRPr="00977D04">
        <w:rPr>
          <w:i/>
          <w:iCs/>
          <w:lang w:val="en-AU"/>
        </w:rPr>
        <w:t xml:space="preserve">Commonwealth Authorities and Companies Act 1997 </w:t>
      </w:r>
      <w:r w:rsidR="004B6092" w:rsidRPr="00977D04">
        <w:rPr>
          <w:iCs/>
          <w:lang w:val="en-AU"/>
        </w:rPr>
        <w:t>(CAC Act)</w:t>
      </w:r>
      <w:r w:rsidR="00132DCA" w:rsidRPr="00977D04">
        <w:rPr>
          <w:lang w:val="en-AU"/>
        </w:rPr>
        <w:t>.</w:t>
      </w:r>
      <w:r w:rsidR="00916010" w:rsidRPr="00977D04">
        <w:rPr>
          <w:lang w:val="en-AU"/>
        </w:rPr>
        <w:t xml:space="preserve"> </w:t>
      </w:r>
      <w:r w:rsidR="00132DCA" w:rsidRPr="00977D04">
        <w:rPr>
          <w:lang w:val="en-AU"/>
        </w:rPr>
        <w:t xml:space="preserve">The </w:t>
      </w:r>
      <w:r w:rsidRPr="00977D04">
        <w:rPr>
          <w:lang w:val="en-AU"/>
        </w:rPr>
        <w:t xml:space="preserve">substantive </w:t>
      </w:r>
      <w:r w:rsidR="00132DCA" w:rsidRPr="00977D04">
        <w:rPr>
          <w:lang w:val="en-AU"/>
        </w:rPr>
        <w:t xml:space="preserve">provisions </w:t>
      </w:r>
      <w:r w:rsidRPr="00977D04">
        <w:rPr>
          <w:lang w:val="en-AU"/>
        </w:rPr>
        <w:t xml:space="preserve">of </w:t>
      </w:r>
      <w:r w:rsidR="00132DCA" w:rsidRPr="00977D04">
        <w:rPr>
          <w:lang w:val="en-AU"/>
        </w:rPr>
        <w:t>the PGPA</w:t>
      </w:r>
      <w:r w:rsidRPr="00977D04">
        <w:rPr>
          <w:lang w:val="en-AU"/>
        </w:rPr>
        <w:t> </w:t>
      </w:r>
      <w:r w:rsidR="00132DCA" w:rsidRPr="00977D04">
        <w:rPr>
          <w:lang w:val="en-AU"/>
        </w:rPr>
        <w:t>Act will commence on 1 July 2014.</w:t>
      </w:r>
      <w:r w:rsidR="00916010" w:rsidRPr="00977D04">
        <w:rPr>
          <w:lang w:val="en-AU"/>
        </w:rPr>
        <w:t xml:space="preserve"> </w:t>
      </w:r>
    </w:p>
    <w:p w:rsidR="00977D04" w:rsidRPr="00FA0AFE" w:rsidRDefault="00977D04">
      <w:pPr>
        <w:rPr>
          <w:lang w:val="en-AU"/>
        </w:rPr>
      </w:pPr>
    </w:p>
    <w:p w:rsidR="004816AF" w:rsidRDefault="00977D04" w:rsidP="004816AF">
      <w:pPr>
        <w:pStyle w:val="Subitem"/>
        <w:spacing w:before="0"/>
        <w:ind w:left="0" w:firstLine="0"/>
        <w:rPr>
          <w:sz w:val="24"/>
          <w:szCs w:val="24"/>
        </w:rPr>
      </w:pPr>
      <w:r w:rsidRPr="00977D04">
        <w:rPr>
          <w:sz w:val="24"/>
          <w:szCs w:val="24"/>
        </w:rPr>
        <w:t xml:space="preserve">Item 6 of Schedule 14 the </w:t>
      </w:r>
      <w:r w:rsidRPr="00977D04">
        <w:rPr>
          <w:i/>
          <w:sz w:val="24"/>
          <w:szCs w:val="24"/>
        </w:rPr>
        <w:t>Public Governance, Performance and Accountability (Consequential and Transitional Provisions) Act 2014</w:t>
      </w:r>
      <w:r w:rsidRPr="00977D04">
        <w:rPr>
          <w:sz w:val="24"/>
          <w:szCs w:val="24"/>
        </w:rPr>
        <w:t xml:space="preserve"> </w:t>
      </w:r>
      <w:r w:rsidR="00203F10">
        <w:rPr>
          <w:sz w:val="24"/>
          <w:szCs w:val="24"/>
        </w:rPr>
        <w:t xml:space="preserve">(PGPA (C&amp;T) Act) </w:t>
      </w:r>
      <w:r w:rsidRPr="00977D04">
        <w:rPr>
          <w:sz w:val="24"/>
          <w:szCs w:val="24"/>
        </w:rPr>
        <w:t xml:space="preserve">provides that the Finance Minister may make </w:t>
      </w:r>
      <w:r w:rsidR="00E93916">
        <w:rPr>
          <w:sz w:val="24"/>
          <w:szCs w:val="24"/>
        </w:rPr>
        <w:t xml:space="preserve">transitional </w:t>
      </w:r>
      <w:r w:rsidRPr="00977D04">
        <w:rPr>
          <w:sz w:val="24"/>
          <w:szCs w:val="24"/>
        </w:rPr>
        <w:t>rules by legislative instrument</w:t>
      </w:r>
      <w:r w:rsidR="00FA0AFE">
        <w:rPr>
          <w:sz w:val="24"/>
          <w:szCs w:val="24"/>
        </w:rPr>
        <w:t>.</w:t>
      </w:r>
      <w:r w:rsidRPr="00977D04">
        <w:rPr>
          <w:sz w:val="24"/>
          <w:szCs w:val="24"/>
        </w:rPr>
        <w:t xml:space="preserve"> The Finance Minister may, by legislative instrument, make </w:t>
      </w:r>
      <w:r w:rsidR="00E93916">
        <w:rPr>
          <w:sz w:val="24"/>
          <w:szCs w:val="24"/>
        </w:rPr>
        <w:t xml:space="preserve">transitional </w:t>
      </w:r>
      <w:r w:rsidRPr="00977D04">
        <w:rPr>
          <w:sz w:val="24"/>
          <w:szCs w:val="24"/>
        </w:rPr>
        <w:t>rules prescribing matters required or permitted by th</w:t>
      </w:r>
      <w:r w:rsidR="00203F10">
        <w:rPr>
          <w:sz w:val="24"/>
          <w:szCs w:val="24"/>
        </w:rPr>
        <w:t>e PGPA (C&amp;T)</w:t>
      </w:r>
      <w:r w:rsidRPr="00977D04">
        <w:rPr>
          <w:sz w:val="24"/>
          <w:szCs w:val="24"/>
        </w:rPr>
        <w:t xml:space="preserve"> Act to be prescribed by the rules, or necessary or convenient to be prescribed for carrying out or giving effect to th</w:t>
      </w:r>
      <w:r w:rsidR="00203F10">
        <w:rPr>
          <w:sz w:val="24"/>
          <w:szCs w:val="24"/>
        </w:rPr>
        <w:t>e PGPA (C&amp;T)</w:t>
      </w:r>
      <w:r w:rsidRPr="00977D04">
        <w:rPr>
          <w:sz w:val="24"/>
          <w:szCs w:val="24"/>
        </w:rPr>
        <w:t xml:space="preserve"> Act.</w:t>
      </w:r>
    </w:p>
    <w:p w:rsidR="00977D04" w:rsidRPr="00977D04" w:rsidRDefault="00977D04" w:rsidP="00FA0AFE"/>
    <w:p w:rsidR="006A749C" w:rsidRPr="00977D04" w:rsidRDefault="00F770B3">
      <w:pPr>
        <w:spacing w:after="120"/>
      </w:pPr>
      <w:r w:rsidRPr="00977D04">
        <w:t xml:space="preserve">The </w:t>
      </w:r>
      <w:r w:rsidR="0025196F" w:rsidRPr="00977D04">
        <w:rPr>
          <w:i/>
        </w:rPr>
        <w:t xml:space="preserve">Public Governance, Performance and Accountability </w:t>
      </w:r>
      <w:r w:rsidR="006A749C" w:rsidRPr="00977D04">
        <w:rPr>
          <w:i/>
        </w:rPr>
        <w:t>(Consequential and Transitional</w:t>
      </w:r>
      <w:r w:rsidR="00E93916">
        <w:rPr>
          <w:i/>
        </w:rPr>
        <w:t xml:space="preserve"> Provisions</w:t>
      </w:r>
      <w:r w:rsidR="006A749C" w:rsidRPr="00977D04">
        <w:rPr>
          <w:i/>
        </w:rPr>
        <w:t xml:space="preserve">) </w:t>
      </w:r>
      <w:r w:rsidR="0025196F" w:rsidRPr="00977D04">
        <w:rPr>
          <w:i/>
        </w:rPr>
        <w:t xml:space="preserve">Rule 2014 </w:t>
      </w:r>
      <w:r w:rsidR="0025196F" w:rsidRPr="00977D04">
        <w:t xml:space="preserve">(the PGPA </w:t>
      </w:r>
      <w:r w:rsidR="00E93916">
        <w:t xml:space="preserve">(C&amp;T) </w:t>
      </w:r>
      <w:r w:rsidR="0025196F" w:rsidRPr="00977D04">
        <w:t xml:space="preserve">Rule) is </w:t>
      </w:r>
      <w:r w:rsidRPr="00977D04">
        <w:t xml:space="preserve">being made to support the implementation of the </w:t>
      </w:r>
      <w:r w:rsidR="00167E2E" w:rsidRPr="00977D04">
        <w:t>PGP</w:t>
      </w:r>
      <w:r w:rsidR="0025196F" w:rsidRPr="00977D04">
        <w:t>A Act.</w:t>
      </w:r>
      <w:r w:rsidR="00916010" w:rsidRPr="00977D04">
        <w:t xml:space="preserve"> </w:t>
      </w:r>
      <w:r w:rsidR="0025196F" w:rsidRPr="00977D04">
        <w:t xml:space="preserve">The </w:t>
      </w:r>
      <w:r w:rsidR="00E93916" w:rsidRPr="00977D04">
        <w:t>PGPA</w:t>
      </w:r>
      <w:r w:rsidR="000F1991">
        <w:t xml:space="preserve"> </w:t>
      </w:r>
      <w:r w:rsidR="00E93916">
        <w:t xml:space="preserve">(C&amp;T) </w:t>
      </w:r>
      <w:r w:rsidR="0025196F" w:rsidRPr="00977D04">
        <w:t xml:space="preserve">Rule contains </w:t>
      </w:r>
      <w:r w:rsidR="00281515" w:rsidRPr="00977D04">
        <w:t xml:space="preserve">provisions </w:t>
      </w:r>
      <w:r w:rsidR="00FA2C06" w:rsidRPr="00977D04">
        <w:rPr>
          <w:rFonts w:eastAsia="Times New Roman"/>
          <w:color w:val="000000" w:themeColor="text1"/>
          <w:lang w:val="en-AU" w:bidi="ar-SA"/>
        </w:rPr>
        <w:t xml:space="preserve">that </w:t>
      </w:r>
      <w:r w:rsidR="009C0A93" w:rsidRPr="00977D04">
        <w:rPr>
          <w:rFonts w:eastAsia="Times New Roman"/>
          <w:color w:val="000000" w:themeColor="text1"/>
          <w:lang w:val="en-AU" w:bidi="ar-SA"/>
        </w:rPr>
        <w:t>relate to:</w:t>
      </w:r>
      <w:r w:rsidR="00916010" w:rsidRPr="00977D04">
        <w:rPr>
          <w:rFonts w:eastAsia="Times New Roman"/>
          <w:color w:val="000000" w:themeColor="text1"/>
          <w:lang w:val="en-AU" w:bidi="ar-SA"/>
        </w:rPr>
        <w:t xml:space="preserve"> </w:t>
      </w:r>
    </w:p>
    <w:p w:rsidR="00066013" w:rsidRPr="00066013" w:rsidRDefault="00977D04" w:rsidP="00977D04">
      <w:pPr>
        <w:pStyle w:val="ListParagraph"/>
        <w:numPr>
          <w:ilvl w:val="0"/>
          <w:numId w:val="15"/>
        </w:numPr>
        <w:spacing w:after="120" w:line="276" w:lineRule="auto"/>
        <w:ind w:hanging="363"/>
        <w:contextualSpacing w:val="0"/>
        <w:rPr>
          <w:rFonts w:eastAsia="Calibri"/>
          <w:color w:val="000000" w:themeColor="text1"/>
          <w:lang w:val="en-AU" w:bidi="ar-SA"/>
        </w:rPr>
      </w:pPr>
      <w:r w:rsidRPr="00977D04">
        <w:t xml:space="preserve">Persons performing financial tasks, </w:t>
      </w:r>
    </w:p>
    <w:p w:rsidR="00066013" w:rsidRPr="00066013" w:rsidRDefault="00977D04" w:rsidP="00977D04">
      <w:pPr>
        <w:pStyle w:val="ListParagraph"/>
        <w:numPr>
          <w:ilvl w:val="0"/>
          <w:numId w:val="15"/>
        </w:numPr>
        <w:spacing w:after="120" w:line="276" w:lineRule="auto"/>
        <w:ind w:hanging="363"/>
        <w:contextualSpacing w:val="0"/>
        <w:rPr>
          <w:rFonts w:eastAsia="Calibri"/>
          <w:color w:val="000000" w:themeColor="text1"/>
          <w:lang w:val="en-AU" w:bidi="ar-SA"/>
        </w:rPr>
      </w:pPr>
      <w:r w:rsidRPr="00977D04">
        <w:t>Continuation of delegation powers</w:t>
      </w:r>
      <w:r w:rsidR="00066013">
        <w:t xml:space="preserve">, and </w:t>
      </w:r>
    </w:p>
    <w:p w:rsidR="00977D04" w:rsidRPr="00977D04" w:rsidRDefault="00066013" w:rsidP="00977D04">
      <w:pPr>
        <w:pStyle w:val="ListParagraph"/>
        <w:numPr>
          <w:ilvl w:val="0"/>
          <w:numId w:val="15"/>
        </w:numPr>
        <w:spacing w:after="120" w:line="276" w:lineRule="auto"/>
        <w:ind w:hanging="363"/>
        <w:contextualSpacing w:val="0"/>
        <w:rPr>
          <w:rFonts w:eastAsia="Calibri"/>
          <w:color w:val="000000" w:themeColor="text1"/>
          <w:lang w:val="en-AU" w:bidi="ar-SA"/>
        </w:rPr>
      </w:pPr>
      <w:r>
        <w:t>Legal Services Directions</w:t>
      </w:r>
      <w:r w:rsidR="00977D04" w:rsidRPr="00977D04">
        <w:rPr>
          <w:rFonts w:eastAsia="Calibri"/>
          <w:color w:val="000000" w:themeColor="text1"/>
          <w:lang w:val="en-AU" w:bidi="ar-SA"/>
        </w:rPr>
        <w:t>.</w:t>
      </w:r>
    </w:p>
    <w:p w:rsidR="005C5470" w:rsidRPr="00977D04" w:rsidRDefault="00301C10">
      <w:pPr>
        <w:pStyle w:val="ParaNumbering"/>
        <w:rPr>
          <w:szCs w:val="24"/>
        </w:rPr>
      </w:pPr>
      <w:r w:rsidRPr="00977D04">
        <w:rPr>
          <w:szCs w:val="24"/>
        </w:rPr>
        <w:t xml:space="preserve">Details of the </w:t>
      </w:r>
      <w:r w:rsidR="008E74E6" w:rsidRPr="00977D04">
        <w:rPr>
          <w:szCs w:val="24"/>
        </w:rPr>
        <w:t xml:space="preserve">PGPA </w:t>
      </w:r>
      <w:r w:rsidR="006A749C" w:rsidRPr="00977D04">
        <w:rPr>
          <w:szCs w:val="24"/>
        </w:rPr>
        <w:t>(</w:t>
      </w:r>
      <w:r w:rsidR="00E93916">
        <w:rPr>
          <w:szCs w:val="24"/>
        </w:rPr>
        <w:t>C&amp;T</w:t>
      </w:r>
      <w:r w:rsidR="006A749C" w:rsidRPr="00977D04">
        <w:rPr>
          <w:szCs w:val="24"/>
        </w:rPr>
        <w:t xml:space="preserve">) </w:t>
      </w:r>
      <w:r w:rsidR="0004247F" w:rsidRPr="00977D04">
        <w:rPr>
          <w:szCs w:val="24"/>
        </w:rPr>
        <w:t>Rule are</w:t>
      </w:r>
      <w:r w:rsidRPr="00977D04">
        <w:rPr>
          <w:szCs w:val="24"/>
        </w:rPr>
        <w:t xml:space="preserve"> set out at </w:t>
      </w:r>
      <w:r w:rsidRPr="00977D04">
        <w:rPr>
          <w:szCs w:val="24"/>
          <w:u w:val="single"/>
        </w:rPr>
        <w:t>Attachment A</w:t>
      </w:r>
      <w:r w:rsidRPr="00977D04">
        <w:rPr>
          <w:szCs w:val="24"/>
        </w:rPr>
        <w:t>.</w:t>
      </w:r>
      <w:r w:rsidR="00916010" w:rsidRPr="00977D04">
        <w:rPr>
          <w:szCs w:val="24"/>
        </w:rPr>
        <w:t xml:space="preserve"> </w:t>
      </w:r>
      <w:r w:rsidRPr="00977D04">
        <w:rPr>
          <w:szCs w:val="24"/>
        </w:rPr>
        <w:t xml:space="preserve">A </w:t>
      </w:r>
      <w:r w:rsidR="002E307D" w:rsidRPr="00977D04">
        <w:rPr>
          <w:szCs w:val="24"/>
        </w:rPr>
        <w:t>s</w:t>
      </w:r>
      <w:r w:rsidRPr="00977D04">
        <w:rPr>
          <w:szCs w:val="24"/>
        </w:rPr>
        <w:t xml:space="preserve">tatement of </w:t>
      </w:r>
      <w:r w:rsidR="002E307D" w:rsidRPr="00977D04">
        <w:rPr>
          <w:szCs w:val="24"/>
        </w:rPr>
        <w:t>c</w:t>
      </w:r>
      <w:r w:rsidRPr="00977D04">
        <w:rPr>
          <w:szCs w:val="24"/>
        </w:rPr>
        <w:t xml:space="preserve">ompatibility with </w:t>
      </w:r>
      <w:r w:rsidR="002E307D" w:rsidRPr="00977D04">
        <w:rPr>
          <w:szCs w:val="24"/>
        </w:rPr>
        <w:t>h</w:t>
      </w:r>
      <w:r w:rsidRPr="00977D04">
        <w:rPr>
          <w:szCs w:val="24"/>
        </w:rPr>
        <w:t xml:space="preserve">uman </w:t>
      </w:r>
      <w:r w:rsidR="002E307D" w:rsidRPr="00977D04">
        <w:rPr>
          <w:szCs w:val="24"/>
        </w:rPr>
        <w:t>r</w:t>
      </w:r>
      <w:r w:rsidRPr="00977D04">
        <w:rPr>
          <w:szCs w:val="24"/>
        </w:rPr>
        <w:t xml:space="preserve">ights is at </w:t>
      </w:r>
      <w:r w:rsidRPr="00977D04">
        <w:rPr>
          <w:szCs w:val="24"/>
          <w:u w:val="single"/>
        </w:rPr>
        <w:t>Attachment B</w:t>
      </w:r>
      <w:r w:rsidRPr="00977D04">
        <w:rPr>
          <w:szCs w:val="24"/>
        </w:rPr>
        <w:t>.</w:t>
      </w:r>
      <w:r w:rsidR="00916010" w:rsidRPr="00977D04">
        <w:rPr>
          <w:szCs w:val="24"/>
        </w:rPr>
        <w:t xml:space="preserve"> </w:t>
      </w:r>
    </w:p>
    <w:p w:rsidR="005C5470" w:rsidRPr="00977D04" w:rsidRDefault="005C5470">
      <w:pPr>
        <w:pStyle w:val="ParaNumbering"/>
        <w:rPr>
          <w:szCs w:val="24"/>
        </w:rPr>
      </w:pPr>
    </w:p>
    <w:p w:rsidR="005C5470" w:rsidRPr="00977D04" w:rsidRDefault="00301C10">
      <w:pPr>
        <w:pStyle w:val="ParaNumbering"/>
        <w:rPr>
          <w:szCs w:val="24"/>
        </w:rPr>
      </w:pPr>
      <w:r w:rsidRPr="00977D04">
        <w:rPr>
          <w:szCs w:val="24"/>
        </w:rPr>
        <w:t xml:space="preserve">The </w:t>
      </w:r>
      <w:r w:rsidR="007E37F9" w:rsidRPr="00977D04">
        <w:rPr>
          <w:szCs w:val="24"/>
        </w:rPr>
        <w:t>PGPA</w:t>
      </w:r>
      <w:r w:rsidR="00977D04" w:rsidRPr="00977D04">
        <w:rPr>
          <w:szCs w:val="24"/>
        </w:rPr>
        <w:t xml:space="preserve"> (C&amp;T)</w:t>
      </w:r>
      <w:r w:rsidR="007E37F9" w:rsidRPr="00977D04">
        <w:rPr>
          <w:szCs w:val="24"/>
        </w:rPr>
        <w:t xml:space="preserve"> </w:t>
      </w:r>
      <w:r w:rsidRPr="00977D04">
        <w:rPr>
          <w:szCs w:val="24"/>
        </w:rPr>
        <w:t>Rule is a legislative instrument for the purposes of the</w:t>
      </w:r>
      <w:r w:rsidRPr="00977D04">
        <w:rPr>
          <w:i/>
          <w:szCs w:val="24"/>
        </w:rPr>
        <w:t xml:space="preserve"> Legislative Instruments Act 2003.</w:t>
      </w:r>
      <w:r w:rsidR="00916010" w:rsidRPr="00977D04">
        <w:rPr>
          <w:i/>
          <w:szCs w:val="24"/>
        </w:rPr>
        <w:t xml:space="preserve"> </w:t>
      </w:r>
    </w:p>
    <w:p w:rsidR="00301C10" w:rsidRPr="00977D04" w:rsidRDefault="00301C10" w:rsidP="00D976E6"/>
    <w:p w:rsidR="004816AF" w:rsidRDefault="00A53E39" w:rsidP="004816AF">
      <w:pPr>
        <w:pStyle w:val="Heading2"/>
        <w:spacing w:before="0"/>
      </w:pPr>
      <w:r w:rsidRPr="00977D04">
        <w:rPr>
          <w:rFonts w:ascii="Times New Roman" w:hAnsi="Times New Roman" w:cs="Times New Roman"/>
          <w:sz w:val="24"/>
          <w:szCs w:val="24"/>
        </w:rPr>
        <w:t>Consultation</w:t>
      </w:r>
    </w:p>
    <w:p w:rsidR="004816AF" w:rsidRDefault="00203F10" w:rsidP="00C351ED">
      <w:pPr>
        <w:pStyle w:val="ParaNumbering"/>
        <w:rPr>
          <w:szCs w:val="24"/>
        </w:rPr>
      </w:pPr>
      <w:r w:rsidRPr="00C351ED">
        <w:rPr>
          <w:szCs w:val="24"/>
        </w:rPr>
        <w:t>The PGPA Act was presented to Parliament following two years of consultation and consideration of issues.  The period since its passage has provided an opportunity for reflection and consultation on the provisions of the Act and whether they could be further improved.</w:t>
      </w:r>
    </w:p>
    <w:p w:rsidR="00C351ED" w:rsidRPr="00C351ED" w:rsidRDefault="00C351ED" w:rsidP="00C351ED">
      <w:pPr>
        <w:pStyle w:val="ParaNumbering"/>
        <w:rPr>
          <w:szCs w:val="24"/>
        </w:rPr>
      </w:pPr>
    </w:p>
    <w:p w:rsidR="004816AF" w:rsidRDefault="00203F10" w:rsidP="00C351ED">
      <w:pPr>
        <w:pStyle w:val="ParaNumbering"/>
        <w:rPr>
          <w:szCs w:val="24"/>
        </w:rPr>
      </w:pPr>
      <w:r w:rsidRPr="00C351ED">
        <w:rPr>
          <w:szCs w:val="24"/>
        </w:rPr>
        <w:t xml:space="preserve">Development of the </w:t>
      </w:r>
      <w:r w:rsidR="00C13594" w:rsidRPr="00C351ED">
        <w:rPr>
          <w:szCs w:val="24"/>
        </w:rPr>
        <w:t>PGPA (C&amp;T) Rule</w:t>
      </w:r>
      <w:r w:rsidRPr="00C351ED">
        <w:rPr>
          <w:szCs w:val="24"/>
        </w:rPr>
        <w:t xml:space="preserve"> </w:t>
      </w:r>
      <w:r w:rsidR="00C13594" w:rsidRPr="00C351ED">
        <w:rPr>
          <w:szCs w:val="24"/>
        </w:rPr>
        <w:t xml:space="preserve">has been closely connected with the process of the development of the PGPA (C&amp;T) Act, which </w:t>
      </w:r>
      <w:r w:rsidRPr="00C351ED">
        <w:rPr>
          <w:szCs w:val="24"/>
        </w:rPr>
        <w:t xml:space="preserve">has required consultation with all Commonwealth entities and companies subject to enabling legislation to ensure understanding of the operation of the legislation and how it impacts on the operation of their organisation.  </w:t>
      </w:r>
    </w:p>
    <w:p w:rsidR="00C351ED" w:rsidRPr="00C351ED" w:rsidRDefault="00C351ED" w:rsidP="00C351ED">
      <w:pPr>
        <w:pStyle w:val="ParaNumbering"/>
        <w:rPr>
          <w:szCs w:val="24"/>
        </w:rPr>
      </w:pPr>
    </w:p>
    <w:p w:rsidR="004816AF" w:rsidRPr="00C351ED" w:rsidRDefault="00203F10" w:rsidP="00C351ED">
      <w:pPr>
        <w:pStyle w:val="ParaNumbering"/>
        <w:rPr>
          <w:szCs w:val="24"/>
        </w:rPr>
      </w:pPr>
      <w:r w:rsidRPr="00C351ED">
        <w:rPr>
          <w:szCs w:val="24"/>
        </w:rPr>
        <w:t xml:space="preserve">Following these conversations draft legislative amendments have been developed by the Office of Parliamentary Counsel, and distributed on a progressive basis to Commonwealth entities and companies (and their portfolio departments) to review and provide comment.  </w:t>
      </w:r>
    </w:p>
    <w:p w:rsidR="004816AF" w:rsidRPr="00C351ED" w:rsidRDefault="00203F10" w:rsidP="00C351ED">
      <w:pPr>
        <w:pStyle w:val="ParaNumbering"/>
        <w:rPr>
          <w:szCs w:val="24"/>
        </w:rPr>
      </w:pPr>
      <w:r w:rsidRPr="00C351ED">
        <w:rPr>
          <w:szCs w:val="24"/>
        </w:rPr>
        <w:t>The advice of the Australian Government Solicitor has also been sought as the drafting has progressed, to ensure both the efficacy of proposed provisions and the maintenance of existing policy intent.</w:t>
      </w:r>
    </w:p>
    <w:p w:rsidR="004835F5" w:rsidRPr="00C351ED" w:rsidRDefault="004835F5" w:rsidP="00C351ED">
      <w:pPr>
        <w:pStyle w:val="ParaNumbering"/>
        <w:rPr>
          <w:szCs w:val="24"/>
        </w:rPr>
        <w:sectPr w:rsidR="004835F5" w:rsidRPr="00C351ED" w:rsidSect="004835F5">
          <w:headerReference w:type="default" r:id="rId8"/>
          <w:pgSz w:w="11906" w:h="16838"/>
          <w:pgMar w:top="1440" w:right="1440" w:bottom="1440" w:left="1440" w:header="708" w:footer="514" w:gutter="0"/>
          <w:cols w:space="708"/>
          <w:titlePg/>
          <w:docGrid w:linePitch="360"/>
        </w:sectPr>
      </w:pPr>
    </w:p>
    <w:p w:rsidR="006A749C" w:rsidRPr="00977D04" w:rsidRDefault="00474C20">
      <w:pPr>
        <w:rPr>
          <w:b/>
          <w:i/>
          <w:u w:val="single"/>
        </w:rPr>
      </w:pPr>
      <w:r w:rsidRPr="00977D04">
        <w:rPr>
          <w:b/>
          <w:u w:val="single"/>
        </w:rPr>
        <w:lastRenderedPageBreak/>
        <w:t xml:space="preserve">Details of the </w:t>
      </w:r>
      <w:r w:rsidRPr="00977D04">
        <w:rPr>
          <w:b/>
          <w:i/>
          <w:u w:val="single"/>
        </w:rPr>
        <w:t>Public Governance, Performance and Accountability</w:t>
      </w:r>
      <w:r w:rsidR="006A749C" w:rsidRPr="00977D04">
        <w:rPr>
          <w:b/>
          <w:i/>
          <w:u w:val="single"/>
        </w:rPr>
        <w:t xml:space="preserve"> </w:t>
      </w:r>
      <w:r w:rsidR="006A749C" w:rsidRPr="00792471">
        <w:rPr>
          <w:u w:val="single"/>
        </w:rPr>
        <w:t>(</w:t>
      </w:r>
      <w:r w:rsidR="006A749C" w:rsidRPr="00977D04">
        <w:rPr>
          <w:b/>
          <w:i/>
          <w:u w:val="single"/>
        </w:rPr>
        <w:t>Consequential and Transitional</w:t>
      </w:r>
      <w:r w:rsidR="00E93916">
        <w:rPr>
          <w:b/>
          <w:i/>
          <w:u w:val="single"/>
        </w:rPr>
        <w:t xml:space="preserve"> Provisions</w:t>
      </w:r>
      <w:r w:rsidR="006A749C" w:rsidRPr="00977D04">
        <w:rPr>
          <w:b/>
          <w:i/>
          <w:u w:val="single"/>
        </w:rPr>
        <w:t xml:space="preserve">) </w:t>
      </w:r>
      <w:r w:rsidRPr="00977D04">
        <w:rPr>
          <w:b/>
          <w:i/>
          <w:u w:val="single"/>
        </w:rPr>
        <w:t xml:space="preserve">Rule 2014 </w:t>
      </w:r>
    </w:p>
    <w:p w:rsidR="0035416D" w:rsidRPr="00977D04" w:rsidRDefault="0035416D" w:rsidP="005C5470">
      <w:pPr>
        <w:pStyle w:val="Heading2"/>
        <w:spacing w:before="0"/>
        <w:rPr>
          <w:rFonts w:ascii="Times New Roman" w:hAnsi="Times New Roman" w:cs="Times New Roman"/>
          <w:sz w:val="24"/>
          <w:szCs w:val="24"/>
        </w:rPr>
      </w:pPr>
    </w:p>
    <w:p w:rsidR="00FA0E5E" w:rsidRPr="00977D04" w:rsidRDefault="00FA0E5E" w:rsidP="006A749C">
      <w:pPr>
        <w:pStyle w:val="Heading2"/>
        <w:spacing w:before="0"/>
        <w:rPr>
          <w:rFonts w:ascii="Times New Roman" w:hAnsi="Times New Roman" w:cs="Times New Roman"/>
          <w:sz w:val="24"/>
          <w:szCs w:val="24"/>
        </w:rPr>
      </w:pPr>
      <w:r w:rsidRPr="00977D04">
        <w:rPr>
          <w:rFonts w:ascii="Times New Roman" w:hAnsi="Times New Roman" w:cs="Times New Roman"/>
          <w:sz w:val="24"/>
          <w:szCs w:val="24"/>
        </w:rPr>
        <w:t>Part 1</w:t>
      </w:r>
      <w:r w:rsidR="001E087F" w:rsidRPr="00977D04">
        <w:rPr>
          <w:rFonts w:ascii="Times New Roman" w:hAnsi="Times New Roman" w:cs="Times New Roman"/>
          <w:sz w:val="24"/>
          <w:szCs w:val="24"/>
        </w:rPr>
        <w:t>—</w:t>
      </w:r>
      <w:r w:rsidR="006A749C" w:rsidRPr="00977D04">
        <w:rPr>
          <w:rFonts w:ascii="Times New Roman" w:hAnsi="Times New Roman" w:cs="Times New Roman"/>
          <w:sz w:val="24"/>
          <w:szCs w:val="24"/>
        </w:rPr>
        <w:t>Preliminary</w:t>
      </w:r>
    </w:p>
    <w:p w:rsidR="003C0A8B" w:rsidRPr="00977D04" w:rsidRDefault="003C0A8B"/>
    <w:p w:rsidR="003C0A8B" w:rsidRPr="00984450" w:rsidRDefault="004816AF">
      <w:pPr>
        <w:rPr>
          <w:b/>
          <w:lang w:val="en-AU"/>
        </w:rPr>
      </w:pPr>
      <w:r w:rsidRPr="004816AF">
        <w:rPr>
          <w:b/>
          <w:lang w:val="en-AU"/>
        </w:rPr>
        <w:t>Section 1—Name of rule</w:t>
      </w:r>
    </w:p>
    <w:p w:rsidR="003C0A8B" w:rsidRPr="00977D04" w:rsidRDefault="003C0A8B">
      <w:pPr>
        <w:rPr>
          <w:lang w:val="en-AU"/>
        </w:rPr>
      </w:pPr>
    </w:p>
    <w:p w:rsidR="003C0A8B" w:rsidRPr="00977D04" w:rsidRDefault="008F323F">
      <w:pPr>
        <w:rPr>
          <w:lang w:val="en-AU"/>
        </w:rPr>
      </w:pPr>
      <w:r w:rsidRPr="00977D04">
        <w:rPr>
          <w:lang w:val="en-AU"/>
        </w:rPr>
        <w:t xml:space="preserve">This section provides that the title of the </w:t>
      </w:r>
      <w:r w:rsidR="00B31B0C" w:rsidRPr="00977D04">
        <w:rPr>
          <w:lang w:val="en-AU"/>
        </w:rPr>
        <w:t>r</w:t>
      </w:r>
      <w:r w:rsidRPr="00977D04">
        <w:rPr>
          <w:lang w:val="en-AU"/>
        </w:rPr>
        <w:t xml:space="preserve">ule is the </w:t>
      </w:r>
      <w:r w:rsidR="004816AF" w:rsidRPr="004816AF">
        <w:rPr>
          <w:i/>
        </w:rPr>
        <w:t xml:space="preserve">Public Governance, Performance and Accountability (Consequential and Transitional Provisions) Rule </w:t>
      </w:r>
      <w:r w:rsidR="004816AF" w:rsidRPr="004816AF">
        <w:rPr>
          <w:i/>
          <w:lang w:val="en-AU"/>
        </w:rPr>
        <w:t>2014</w:t>
      </w:r>
      <w:r w:rsidRPr="00977D04">
        <w:rPr>
          <w:lang w:val="en-AU"/>
        </w:rPr>
        <w:t>.</w:t>
      </w:r>
    </w:p>
    <w:p w:rsidR="003C0A8B" w:rsidRPr="00977D04" w:rsidRDefault="003C0A8B">
      <w:pPr>
        <w:rPr>
          <w:lang w:val="en-AU"/>
        </w:rPr>
      </w:pPr>
    </w:p>
    <w:p w:rsidR="003C0A8B" w:rsidRPr="00984450" w:rsidRDefault="004816AF">
      <w:pPr>
        <w:rPr>
          <w:b/>
          <w:lang w:val="en-AU"/>
        </w:rPr>
      </w:pPr>
      <w:r w:rsidRPr="004816AF">
        <w:rPr>
          <w:b/>
          <w:lang w:val="en-AU"/>
        </w:rPr>
        <w:t xml:space="preserve">Section 2—Commencement </w:t>
      </w:r>
    </w:p>
    <w:p w:rsidR="003C0A8B" w:rsidRPr="00977D04" w:rsidRDefault="003C0A8B">
      <w:pPr>
        <w:rPr>
          <w:lang w:val="en-AU"/>
        </w:rPr>
      </w:pPr>
    </w:p>
    <w:p w:rsidR="003C0A8B" w:rsidRPr="00977D04" w:rsidRDefault="008F323F">
      <w:pPr>
        <w:rPr>
          <w:lang w:val="en-AU"/>
        </w:rPr>
      </w:pPr>
      <w:r w:rsidRPr="00977D04">
        <w:rPr>
          <w:lang w:val="en-AU"/>
        </w:rPr>
        <w:t xml:space="preserve">This section </w:t>
      </w:r>
      <w:r w:rsidR="00F826B8">
        <w:rPr>
          <w:lang w:val="en-AU"/>
        </w:rPr>
        <w:t>provides that t</w:t>
      </w:r>
      <w:r w:rsidR="006A749C" w:rsidRPr="00977D04">
        <w:rPr>
          <w:lang w:val="en-AU"/>
        </w:rPr>
        <w:t xml:space="preserve">he rule </w:t>
      </w:r>
      <w:r w:rsidR="006A749C" w:rsidRPr="00977D04">
        <w:t xml:space="preserve">commences at the same time as item 6 of Schedule 14 to the </w:t>
      </w:r>
      <w:r w:rsidR="006A749C" w:rsidRPr="00977D04">
        <w:rPr>
          <w:i/>
        </w:rPr>
        <w:t>Public Governance, Performance and Accountability (Consequential and Transitional Provisions) Act 2014</w:t>
      </w:r>
      <w:r w:rsidR="00B31B0C" w:rsidRPr="00977D04">
        <w:t>.</w:t>
      </w:r>
      <w:r w:rsidR="00916010" w:rsidRPr="00977D04">
        <w:t xml:space="preserve"> </w:t>
      </w:r>
    </w:p>
    <w:p w:rsidR="003C0A8B" w:rsidRPr="00977D04" w:rsidRDefault="003C0A8B">
      <w:pPr>
        <w:rPr>
          <w:lang w:val="en-AU"/>
        </w:rPr>
      </w:pPr>
    </w:p>
    <w:p w:rsidR="003C0A8B" w:rsidRPr="00984450" w:rsidRDefault="004816AF">
      <w:pPr>
        <w:rPr>
          <w:b/>
          <w:i/>
          <w:lang w:val="en-AU"/>
        </w:rPr>
      </w:pPr>
      <w:r w:rsidRPr="004816AF">
        <w:rPr>
          <w:b/>
          <w:lang w:val="en-AU"/>
        </w:rPr>
        <w:t>Section 3—Authority</w:t>
      </w:r>
      <w:r w:rsidRPr="004816AF">
        <w:rPr>
          <w:b/>
          <w:i/>
          <w:lang w:val="en-AU"/>
        </w:rPr>
        <w:t xml:space="preserve"> </w:t>
      </w:r>
    </w:p>
    <w:p w:rsidR="003C0A8B" w:rsidRPr="00977D04" w:rsidRDefault="003C0A8B">
      <w:pPr>
        <w:rPr>
          <w:lang w:val="en-AU"/>
        </w:rPr>
      </w:pPr>
    </w:p>
    <w:p w:rsidR="003C0A8B" w:rsidRPr="00977D04" w:rsidRDefault="008F323F">
      <w:pPr>
        <w:rPr>
          <w:lang w:val="en-AU"/>
        </w:rPr>
      </w:pPr>
      <w:r w:rsidRPr="00977D04">
        <w:rPr>
          <w:lang w:val="en-AU"/>
        </w:rPr>
        <w:t xml:space="preserve">This section </w:t>
      </w:r>
      <w:r w:rsidR="001E087F" w:rsidRPr="00977D04">
        <w:rPr>
          <w:lang w:val="en-AU"/>
        </w:rPr>
        <w:t xml:space="preserve">states </w:t>
      </w:r>
      <w:r w:rsidRPr="00977D04">
        <w:rPr>
          <w:lang w:val="en-AU"/>
        </w:rPr>
        <w:t>that the</w:t>
      </w:r>
      <w:r w:rsidR="00F826B8">
        <w:rPr>
          <w:lang w:val="en-AU"/>
        </w:rPr>
        <w:t xml:space="preserve"> r</w:t>
      </w:r>
      <w:r w:rsidRPr="00977D04">
        <w:rPr>
          <w:lang w:val="en-AU"/>
        </w:rPr>
        <w:t xml:space="preserve">ule is made under the </w:t>
      </w:r>
      <w:r w:rsidR="006A749C" w:rsidRPr="00977D04">
        <w:rPr>
          <w:i/>
        </w:rPr>
        <w:t>Public Governance, Performance and Accountability (Consequential and Transitional Provisions) Act 2014</w:t>
      </w:r>
      <w:r w:rsidRPr="00977D04">
        <w:rPr>
          <w:lang w:val="en-AU"/>
        </w:rPr>
        <w:t>.</w:t>
      </w:r>
    </w:p>
    <w:p w:rsidR="003C0A8B" w:rsidRPr="00977D04" w:rsidRDefault="003C0A8B">
      <w:pPr>
        <w:rPr>
          <w:lang w:val="en-AU"/>
        </w:rPr>
      </w:pPr>
    </w:p>
    <w:p w:rsidR="003C0A8B" w:rsidRPr="00984450" w:rsidRDefault="004816AF">
      <w:pPr>
        <w:rPr>
          <w:b/>
          <w:i/>
          <w:lang w:val="en-AU"/>
        </w:rPr>
      </w:pPr>
      <w:r w:rsidRPr="004816AF">
        <w:rPr>
          <w:b/>
          <w:lang w:val="en-AU"/>
        </w:rPr>
        <w:t>Section 4—Definitions</w:t>
      </w:r>
      <w:r w:rsidRPr="004816AF">
        <w:rPr>
          <w:b/>
          <w:i/>
          <w:lang w:val="en-AU"/>
        </w:rPr>
        <w:t xml:space="preserve"> </w:t>
      </w:r>
    </w:p>
    <w:p w:rsidR="003C0A8B" w:rsidRPr="00977D04" w:rsidRDefault="003C0A8B">
      <w:pPr>
        <w:rPr>
          <w:lang w:val="en-AU"/>
        </w:rPr>
      </w:pPr>
    </w:p>
    <w:p w:rsidR="003C0A8B" w:rsidRDefault="00296D46">
      <w:pPr>
        <w:rPr>
          <w:lang w:val="en-AU"/>
        </w:rPr>
      </w:pPr>
      <w:r w:rsidRPr="00977D04">
        <w:rPr>
          <w:lang w:val="en-AU"/>
        </w:rPr>
        <w:t xml:space="preserve">This section </w:t>
      </w:r>
      <w:r w:rsidR="008B2D4A" w:rsidRPr="00977D04">
        <w:rPr>
          <w:lang w:val="en-AU"/>
        </w:rPr>
        <w:t xml:space="preserve">defines </w:t>
      </w:r>
      <w:r w:rsidR="001C0A53" w:rsidRPr="00977D04">
        <w:rPr>
          <w:lang w:val="en-AU"/>
        </w:rPr>
        <w:t>certain</w:t>
      </w:r>
      <w:r w:rsidR="008B2D4A" w:rsidRPr="00977D04">
        <w:rPr>
          <w:lang w:val="en-AU"/>
        </w:rPr>
        <w:t xml:space="preserve"> terms that are used in th</w:t>
      </w:r>
      <w:r w:rsidR="00F826B8">
        <w:rPr>
          <w:lang w:val="en-AU"/>
        </w:rPr>
        <w:t>is rule.</w:t>
      </w:r>
    </w:p>
    <w:p w:rsidR="002E0F3C" w:rsidRDefault="002E0F3C">
      <w:pPr>
        <w:rPr>
          <w:lang w:val="en-AU"/>
        </w:rPr>
      </w:pPr>
    </w:p>
    <w:p w:rsidR="002E0F3C" w:rsidRPr="002E0F3C" w:rsidRDefault="002E0F3C">
      <w:pPr>
        <w:rPr>
          <w:lang w:val="en-AU"/>
        </w:rPr>
      </w:pPr>
      <w:r>
        <w:rPr>
          <w:lang w:val="en-AU"/>
        </w:rPr>
        <w:t xml:space="preserve">This section includes a definition of a </w:t>
      </w:r>
      <w:r>
        <w:rPr>
          <w:b/>
          <w:i/>
          <w:lang w:val="en-AU"/>
        </w:rPr>
        <w:t>deemed entity</w:t>
      </w:r>
      <w:r w:rsidR="00F826B8">
        <w:rPr>
          <w:lang w:val="en-AU"/>
        </w:rPr>
        <w:t>.</w:t>
      </w:r>
      <w:r w:rsidRPr="002E0F3C">
        <w:rPr>
          <w:lang w:val="en-AU"/>
        </w:rPr>
        <w:t xml:space="preserve"> </w:t>
      </w:r>
      <w:r w:rsidR="00F826B8">
        <w:rPr>
          <w:lang w:val="en-AU"/>
        </w:rPr>
        <w:t>T</w:t>
      </w:r>
      <w:r>
        <w:rPr>
          <w:lang w:val="en-AU"/>
        </w:rPr>
        <w:t xml:space="preserve">here are </w:t>
      </w:r>
      <w:r w:rsidRPr="002E0F3C">
        <w:rPr>
          <w:lang w:val="en-AU"/>
        </w:rPr>
        <w:t xml:space="preserve">three </w:t>
      </w:r>
      <w:r>
        <w:rPr>
          <w:lang w:val="en-AU"/>
        </w:rPr>
        <w:t xml:space="preserve">entities that are of a </w:t>
      </w:r>
      <w:r w:rsidR="007F23C3">
        <w:rPr>
          <w:lang w:val="en-AU"/>
        </w:rPr>
        <w:t xml:space="preserve">body </w:t>
      </w:r>
      <w:r>
        <w:rPr>
          <w:lang w:val="en-AU"/>
        </w:rPr>
        <w:t xml:space="preserve">corporate nature that are deemed to operate as non-corporate Commonwealth entities for the purposed </w:t>
      </w:r>
      <w:r w:rsidRPr="00F826B8">
        <w:rPr>
          <w:lang w:val="en-AU"/>
        </w:rPr>
        <w:t>of</w:t>
      </w:r>
      <w:r>
        <w:rPr>
          <w:lang w:val="en-AU"/>
        </w:rPr>
        <w:t xml:space="preserve"> </w:t>
      </w:r>
      <w:r w:rsidR="00F826B8" w:rsidRPr="00F826B8">
        <w:rPr>
          <w:lang w:val="en-AU"/>
        </w:rPr>
        <w:t>the</w:t>
      </w:r>
      <w:r w:rsidR="00F826B8">
        <w:rPr>
          <w:lang w:val="en-AU"/>
        </w:rPr>
        <w:t xml:space="preserve"> </w:t>
      </w:r>
      <w:r w:rsidR="00F826B8">
        <w:rPr>
          <w:i/>
          <w:lang w:val="en-AU"/>
        </w:rPr>
        <w:t>Public Governance, Performance and Accountability Act 2013</w:t>
      </w:r>
      <w:r>
        <w:rPr>
          <w:lang w:val="en-AU"/>
        </w:rPr>
        <w:t xml:space="preserve">. This mechanism is established through Part 6 Schedule 5 of the </w:t>
      </w:r>
      <w:r w:rsidRPr="00977D04">
        <w:rPr>
          <w:i/>
        </w:rPr>
        <w:t>Public Governance, Performance and Accountability (Consequential and Transitional Provisions) Act 2014</w:t>
      </w:r>
      <w:r>
        <w:rPr>
          <w:i/>
        </w:rPr>
        <w:t>.</w:t>
      </w:r>
    </w:p>
    <w:p w:rsidR="00977D04" w:rsidRDefault="00977D04">
      <w:pPr>
        <w:rPr>
          <w:lang w:val="en-AU"/>
        </w:rPr>
      </w:pPr>
    </w:p>
    <w:p w:rsidR="007F23C3" w:rsidRDefault="007F23C3">
      <w:r>
        <w:t xml:space="preserve">This section also provides that a reference to a non-corporate Commonwealth entity is taken to include a reference to a deemed entity, and a reference a corporate Commonwealth entity is taken not to include a reference to a deemed entity </w:t>
      </w:r>
    </w:p>
    <w:p w:rsidR="007F23C3" w:rsidRDefault="007F23C3">
      <w:pPr>
        <w:rPr>
          <w:lang w:val="en-AU"/>
        </w:rPr>
      </w:pPr>
    </w:p>
    <w:p w:rsidR="00984450" w:rsidRPr="00984450" w:rsidRDefault="004816AF">
      <w:pPr>
        <w:rPr>
          <w:b/>
          <w:lang w:val="en-AU"/>
        </w:rPr>
      </w:pPr>
      <w:r w:rsidRPr="004816AF">
        <w:rPr>
          <w:b/>
          <w:lang w:val="en-AU"/>
        </w:rPr>
        <w:t xml:space="preserve">Part 2 </w:t>
      </w:r>
      <w:r w:rsidRPr="004816AF">
        <w:rPr>
          <w:b/>
        </w:rPr>
        <w:t>—</w:t>
      </w:r>
      <w:r w:rsidR="00984450">
        <w:rPr>
          <w:b/>
        </w:rPr>
        <w:t>Transitional rules</w:t>
      </w:r>
    </w:p>
    <w:p w:rsidR="00984450" w:rsidRPr="00977D04" w:rsidRDefault="00984450">
      <w:pPr>
        <w:rPr>
          <w:lang w:val="en-AU"/>
        </w:rPr>
      </w:pPr>
    </w:p>
    <w:p w:rsidR="00977D04" w:rsidRPr="00984450" w:rsidRDefault="004816AF" w:rsidP="00977D04">
      <w:pPr>
        <w:rPr>
          <w:b/>
          <w:lang w:val="en-AU"/>
        </w:rPr>
      </w:pPr>
      <w:bookmarkStart w:id="0" w:name="_Toc391472743"/>
      <w:r w:rsidRPr="004816AF">
        <w:rPr>
          <w:b/>
          <w:lang w:val="en-AU"/>
        </w:rPr>
        <w:t>Section 5—Purpose of this Part</w:t>
      </w:r>
      <w:bookmarkEnd w:id="0"/>
    </w:p>
    <w:p w:rsidR="00984450" w:rsidRPr="00984450" w:rsidRDefault="004816AF" w:rsidP="00984450">
      <w:pPr>
        <w:rPr>
          <w:lang w:val="en-AU"/>
        </w:rPr>
      </w:pPr>
      <w:r w:rsidRPr="004816AF">
        <w:rPr>
          <w:lang w:val="en-AU"/>
        </w:rPr>
        <w:tab/>
      </w:r>
    </w:p>
    <w:p w:rsidR="004816AF" w:rsidRDefault="00977D04" w:rsidP="004816AF">
      <w:pPr>
        <w:pStyle w:val="subsection"/>
        <w:spacing w:before="0"/>
        <w:ind w:left="0" w:firstLine="0"/>
        <w:rPr>
          <w:sz w:val="24"/>
          <w:szCs w:val="24"/>
        </w:rPr>
      </w:pPr>
      <w:r w:rsidRPr="00977D04">
        <w:rPr>
          <w:sz w:val="24"/>
          <w:szCs w:val="24"/>
        </w:rPr>
        <w:t xml:space="preserve">This Part is made for item 6 of Schedule 14 to the </w:t>
      </w:r>
      <w:r w:rsidRPr="00977D04">
        <w:rPr>
          <w:i/>
          <w:sz w:val="24"/>
          <w:szCs w:val="24"/>
        </w:rPr>
        <w:t>Public Governance, Performance and Accountability (Consequential and Transitional Provisions) Act 2014</w:t>
      </w:r>
      <w:r w:rsidR="00CE1C74">
        <w:rPr>
          <w:sz w:val="24"/>
          <w:szCs w:val="24"/>
        </w:rPr>
        <w:t xml:space="preserve"> </w:t>
      </w:r>
      <w:r w:rsidRPr="00977D04">
        <w:rPr>
          <w:sz w:val="24"/>
          <w:szCs w:val="24"/>
        </w:rPr>
        <w:t>(which provides for the Finance Minister to make transitional rules).</w:t>
      </w:r>
    </w:p>
    <w:p w:rsidR="004816AF" w:rsidRDefault="004816AF" w:rsidP="004816AF">
      <w:pPr>
        <w:pStyle w:val="subsection"/>
        <w:spacing w:before="0"/>
        <w:ind w:left="0" w:firstLine="0"/>
        <w:rPr>
          <w:sz w:val="24"/>
          <w:szCs w:val="24"/>
        </w:rPr>
      </w:pPr>
    </w:p>
    <w:p w:rsidR="00977D04" w:rsidRPr="00984450" w:rsidRDefault="004816AF" w:rsidP="00977D04">
      <w:pPr>
        <w:rPr>
          <w:b/>
          <w:lang w:val="en-AU"/>
        </w:rPr>
      </w:pPr>
      <w:bookmarkStart w:id="1" w:name="_Toc391472744"/>
      <w:r w:rsidRPr="004816AF">
        <w:rPr>
          <w:b/>
          <w:lang w:val="en-AU"/>
        </w:rPr>
        <w:t>Section 6—Persons performing financial tasks</w:t>
      </w:r>
      <w:bookmarkEnd w:id="1"/>
    </w:p>
    <w:p w:rsidR="004816AF" w:rsidRDefault="004816AF" w:rsidP="004816AF">
      <w:pPr>
        <w:pStyle w:val="Subitem"/>
        <w:spacing w:before="0"/>
        <w:ind w:left="0" w:firstLine="0"/>
        <w:rPr>
          <w:sz w:val="24"/>
          <w:szCs w:val="24"/>
        </w:rPr>
      </w:pPr>
    </w:p>
    <w:p w:rsidR="004816AF" w:rsidRDefault="00BA1001" w:rsidP="004816AF">
      <w:pPr>
        <w:pStyle w:val="Subitem"/>
        <w:spacing w:before="0"/>
        <w:ind w:left="0" w:firstLine="0"/>
        <w:rPr>
          <w:sz w:val="24"/>
          <w:szCs w:val="24"/>
        </w:rPr>
      </w:pPr>
      <w:r>
        <w:rPr>
          <w:sz w:val="24"/>
          <w:szCs w:val="24"/>
        </w:rPr>
        <w:t>Sub</w:t>
      </w:r>
      <w:r w:rsidR="00977D04">
        <w:rPr>
          <w:sz w:val="24"/>
          <w:szCs w:val="24"/>
        </w:rPr>
        <w:t>section</w:t>
      </w:r>
      <w:r>
        <w:rPr>
          <w:sz w:val="24"/>
          <w:szCs w:val="24"/>
        </w:rPr>
        <w:t xml:space="preserve"> 6(1)</w:t>
      </w:r>
      <w:r w:rsidR="00977D04">
        <w:rPr>
          <w:sz w:val="24"/>
          <w:szCs w:val="24"/>
        </w:rPr>
        <w:t xml:space="preserve"> </w:t>
      </w:r>
      <w:r w:rsidR="00CE1C74">
        <w:rPr>
          <w:sz w:val="24"/>
          <w:szCs w:val="24"/>
        </w:rPr>
        <w:t xml:space="preserve">provides that </w:t>
      </w:r>
      <w:r w:rsidR="00977D04">
        <w:rPr>
          <w:sz w:val="24"/>
          <w:szCs w:val="24"/>
        </w:rPr>
        <w:t>a</w:t>
      </w:r>
      <w:r w:rsidR="00977D04" w:rsidRPr="00977D04">
        <w:rPr>
          <w:sz w:val="24"/>
          <w:szCs w:val="24"/>
        </w:rPr>
        <w:t xml:space="preserve"> person is an official of a non</w:t>
      </w:r>
      <w:r w:rsidR="00977D04" w:rsidRPr="00977D04">
        <w:rPr>
          <w:sz w:val="24"/>
          <w:szCs w:val="24"/>
        </w:rPr>
        <w:noBreakHyphen/>
        <w:t>corporate Commonwealth entity if the person</w:t>
      </w:r>
      <w:r w:rsidR="00A31D84">
        <w:rPr>
          <w:sz w:val="24"/>
          <w:szCs w:val="24"/>
        </w:rPr>
        <w:t xml:space="preserve">, as the </w:t>
      </w:r>
      <w:r w:rsidR="00977D04" w:rsidRPr="00977D04">
        <w:rPr>
          <w:sz w:val="24"/>
          <w:szCs w:val="24"/>
        </w:rPr>
        <w:t>result of an agreement or arrangement entered into on or after 1 July 2014 and before 1 July 2015, performs a financial task for a no</w:t>
      </w:r>
      <w:r w:rsidR="00A31D84">
        <w:rPr>
          <w:sz w:val="24"/>
          <w:szCs w:val="24"/>
        </w:rPr>
        <w:t>n</w:t>
      </w:r>
      <w:r w:rsidR="00A31D84">
        <w:rPr>
          <w:sz w:val="24"/>
          <w:szCs w:val="24"/>
        </w:rPr>
        <w:noBreakHyphen/>
        <w:t xml:space="preserve">corporate Commonwealth entity, </w:t>
      </w:r>
      <w:r w:rsidR="00977D04" w:rsidRPr="008A2D7B">
        <w:rPr>
          <w:sz w:val="24"/>
          <w:szCs w:val="24"/>
        </w:rPr>
        <w:t>and</w:t>
      </w:r>
      <w:r w:rsidR="00A31D84" w:rsidRPr="008A2D7B">
        <w:rPr>
          <w:sz w:val="24"/>
          <w:szCs w:val="24"/>
        </w:rPr>
        <w:t xml:space="preserve"> </w:t>
      </w:r>
      <w:r w:rsidR="004816AF" w:rsidRPr="004816AF">
        <w:rPr>
          <w:sz w:val="24"/>
          <w:szCs w:val="24"/>
        </w:rPr>
        <w:t>is not otherwise an official of the entity.</w:t>
      </w:r>
    </w:p>
    <w:p w:rsidR="004816AF" w:rsidRDefault="004816AF" w:rsidP="004816AF">
      <w:pPr>
        <w:pStyle w:val="Subitem"/>
        <w:spacing w:before="0"/>
        <w:ind w:left="0" w:firstLine="0"/>
      </w:pPr>
    </w:p>
    <w:p w:rsidR="004816AF" w:rsidRDefault="00BA1001" w:rsidP="004816AF">
      <w:pPr>
        <w:pStyle w:val="Subitem"/>
        <w:spacing w:before="0"/>
        <w:ind w:left="0" w:firstLine="0"/>
        <w:rPr>
          <w:sz w:val="24"/>
          <w:szCs w:val="24"/>
        </w:rPr>
      </w:pPr>
      <w:r>
        <w:rPr>
          <w:sz w:val="24"/>
          <w:szCs w:val="24"/>
        </w:rPr>
        <w:t>Subsection 6(2) provides that</w:t>
      </w:r>
      <w:r w:rsidR="00A31D84">
        <w:rPr>
          <w:sz w:val="24"/>
          <w:szCs w:val="24"/>
        </w:rPr>
        <w:t xml:space="preserve"> t</w:t>
      </w:r>
      <w:r w:rsidR="00977D04" w:rsidRPr="00977D04">
        <w:rPr>
          <w:sz w:val="24"/>
          <w:szCs w:val="24"/>
        </w:rPr>
        <w:t>he person ceases to be an official under subsection </w:t>
      </w:r>
      <w:r>
        <w:rPr>
          <w:sz w:val="24"/>
          <w:szCs w:val="24"/>
        </w:rPr>
        <w:t>6</w:t>
      </w:r>
      <w:r w:rsidR="00977D04" w:rsidRPr="00977D04">
        <w:rPr>
          <w:sz w:val="24"/>
          <w:szCs w:val="24"/>
        </w:rPr>
        <w:t>(1) at the end of 30 June 2015.</w:t>
      </w:r>
    </w:p>
    <w:p w:rsidR="004816AF" w:rsidRDefault="004816AF" w:rsidP="004816AF">
      <w:pPr>
        <w:pStyle w:val="Subitem"/>
        <w:spacing w:before="0"/>
        <w:ind w:left="0" w:firstLine="0"/>
        <w:rPr>
          <w:sz w:val="24"/>
          <w:szCs w:val="24"/>
        </w:rPr>
      </w:pPr>
    </w:p>
    <w:p w:rsidR="004816AF" w:rsidRDefault="00CE1C74" w:rsidP="004816AF">
      <w:pPr>
        <w:pStyle w:val="Subitem"/>
        <w:spacing w:before="0"/>
        <w:ind w:left="0" w:firstLine="0"/>
        <w:rPr>
          <w:sz w:val="24"/>
          <w:szCs w:val="24"/>
        </w:rPr>
      </w:pPr>
      <w:r>
        <w:rPr>
          <w:sz w:val="24"/>
          <w:szCs w:val="24"/>
        </w:rPr>
        <w:t xml:space="preserve">This section continues for a transitional period, the effect of paragraph 4(1)(a), subregulation 4(2) and paragraph 5(1)(b) in the </w:t>
      </w:r>
      <w:r>
        <w:rPr>
          <w:i/>
          <w:sz w:val="24"/>
          <w:szCs w:val="24"/>
        </w:rPr>
        <w:t>Financial Management and Accountability Regulations</w:t>
      </w:r>
      <w:r w:rsidR="00792471">
        <w:rPr>
          <w:i/>
          <w:sz w:val="24"/>
          <w:szCs w:val="24"/>
        </w:rPr>
        <w:t> </w:t>
      </w:r>
      <w:r w:rsidR="002D004B">
        <w:rPr>
          <w:i/>
          <w:sz w:val="24"/>
          <w:szCs w:val="24"/>
        </w:rPr>
        <w:t>1997</w:t>
      </w:r>
      <w:r w:rsidR="002D004B">
        <w:rPr>
          <w:sz w:val="24"/>
          <w:szCs w:val="24"/>
        </w:rPr>
        <w:t xml:space="preserve">. </w:t>
      </w:r>
    </w:p>
    <w:p w:rsidR="004816AF" w:rsidRDefault="004816AF" w:rsidP="004816AF">
      <w:pPr>
        <w:pStyle w:val="Subitem"/>
        <w:spacing w:before="0"/>
        <w:ind w:left="0" w:firstLine="0"/>
        <w:rPr>
          <w:sz w:val="24"/>
          <w:szCs w:val="24"/>
        </w:rPr>
      </w:pPr>
    </w:p>
    <w:p w:rsidR="00977D04" w:rsidRPr="00984450" w:rsidRDefault="004816AF" w:rsidP="007F23C3">
      <w:pPr>
        <w:rPr>
          <w:b/>
          <w:lang w:val="en-AU"/>
        </w:rPr>
      </w:pPr>
      <w:bookmarkStart w:id="2" w:name="_Toc391472746"/>
      <w:r w:rsidRPr="004816AF">
        <w:rPr>
          <w:b/>
          <w:lang w:val="en-AU"/>
        </w:rPr>
        <w:t>Section 7—Continuation of delegation powers</w:t>
      </w:r>
      <w:bookmarkEnd w:id="2"/>
    </w:p>
    <w:p w:rsidR="00106AFA" w:rsidRDefault="00106AFA">
      <w:pPr>
        <w:pStyle w:val="notetext"/>
        <w:spacing w:before="0"/>
        <w:ind w:left="0" w:firstLine="0"/>
        <w:rPr>
          <w:sz w:val="24"/>
          <w:szCs w:val="24"/>
        </w:rPr>
      </w:pPr>
    </w:p>
    <w:p w:rsidR="004816AF" w:rsidRDefault="00A31D84" w:rsidP="004816AF">
      <w:pPr>
        <w:pStyle w:val="notetext"/>
        <w:spacing w:before="0"/>
        <w:ind w:left="0" w:firstLine="0"/>
        <w:rPr>
          <w:sz w:val="24"/>
          <w:szCs w:val="24"/>
        </w:rPr>
      </w:pPr>
      <w:r w:rsidRPr="00977D04">
        <w:rPr>
          <w:sz w:val="24"/>
          <w:szCs w:val="24"/>
        </w:rPr>
        <w:t>The effect of this section is that a power or function under a provision of the FMA Act that continues to apply after the commencement time may be delegated, after that time, under section 53 or 62 of the FMA Act</w:t>
      </w:r>
    </w:p>
    <w:p w:rsidR="004816AF" w:rsidRDefault="004816AF" w:rsidP="004816AF">
      <w:pPr>
        <w:pStyle w:val="notetext"/>
        <w:spacing w:before="0"/>
        <w:ind w:left="0" w:firstLine="0"/>
        <w:rPr>
          <w:sz w:val="24"/>
          <w:szCs w:val="24"/>
        </w:rPr>
      </w:pPr>
    </w:p>
    <w:p w:rsidR="00DA6E5D" w:rsidRPr="00984450" w:rsidRDefault="004816AF" w:rsidP="007F23C3">
      <w:pPr>
        <w:rPr>
          <w:b/>
          <w:lang w:val="en-AU"/>
        </w:rPr>
      </w:pPr>
      <w:r w:rsidRPr="004816AF">
        <w:rPr>
          <w:b/>
          <w:lang w:val="en-AU"/>
        </w:rPr>
        <w:t>Section 8—Legal Services Direction</w:t>
      </w:r>
      <w:r w:rsidR="00011FEC" w:rsidRPr="00203F10">
        <w:rPr>
          <w:b/>
          <w:lang w:val="en-AU"/>
        </w:rPr>
        <w:t>s</w:t>
      </w:r>
    </w:p>
    <w:p w:rsidR="00106AFA" w:rsidRDefault="00106AFA">
      <w:pPr>
        <w:pStyle w:val="notetext"/>
        <w:spacing w:before="0"/>
        <w:ind w:left="0" w:firstLine="0"/>
        <w:rPr>
          <w:sz w:val="24"/>
          <w:szCs w:val="24"/>
        </w:rPr>
      </w:pPr>
    </w:p>
    <w:p w:rsidR="004816AF" w:rsidRDefault="000373C0" w:rsidP="004816AF">
      <w:pPr>
        <w:pStyle w:val="notetext"/>
        <w:spacing w:before="0"/>
        <w:ind w:left="0" w:firstLine="0"/>
        <w:rPr>
          <w:sz w:val="24"/>
          <w:szCs w:val="24"/>
        </w:rPr>
      </w:pPr>
      <w:r>
        <w:rPr>
          <w:sz w:val="24"/>
          <w:szCs w:val="24"/>
        </w:rPr>
        <w:t xml:space="preserve">This section provides that section 55ZF of the </w:t>
      </w:r>
      <w:r>
        <w:rPr>
          <w:i/>
          <w:iCs/>
          <w:sz w:val="24"/>
          <w:szCs w:val="24"/>
        </w:rPr>
        <w:t>Judiciary Act 1903</w:t>
      </w:r>
      <w:r>
        <w:rPr>
          <w:sz w:val="24"/>
          <w:szCs w:val="24"/>
        </w:rPr>
        <w:t xml:space="preserve"> is to apply as if it included certain subsections. The purpose of these subsections is to provide that for a transitional period, references to FMA Act and CAC Act terminology in the legal services directions issued by the Attorney-General are to be read as references to PGPA Act terminology.</w:t>
      </w:r>
    </w:p>
    <w:p w:rsidR="004816AF" w:rsidRDefault="004816AF" w:rsidP="004816AF">
      <w:pPr>
        <w:pStyle w:val="notetext"/>
        <w:spacing w:before="0"/>
        <w:ind w:left="0" w:firstLine="0"/>
        <w:rPr>
          <w:sz w:val="24"/>
          <w:szCs w:val="24"/>
        </w:rPr>
      </w:pPr>
    </w:p>
    <w:p w:rsidR="004816AF" w:rsidRDefault="004816AF" w:rsidP="004816AF">
      <w:pPr>
        <w:pStyle w:val="notetext"/>
        <w:spacing w:before="0"/>
        <w:ind w:left="0" w:firstLine="0"/>
        <w:rPr>
          <w:sz w:val="24"/>
          <w:szCs w:val="24"/>
        </w:rPr>
      </w:pPr>
    </w:p>
    <w:p w:rsidR="004816AF" w:rsidRDefault="004816AF" w:rsidP="004816AF">
      <w:pPr>
        <w:pStyle w:val="notetext"/>
        <w:spacing w:before="0"/>
        <w:ind w:left="0" w:firstLine="0"/>
        <w:rPr>
          <w:sz w:val="24"/>
          <w:szCs w:val="24"/>
        </w:rPr>
      </w:pPr>
    </w:p>
    <w:p w:rsidR="00977D04" w:rsidRPr="00977D04" w:rsidRDefault="00977D04">
      <w:pPr>
        <w:rPr>
          <w:lang w:val="en-AU"/>
        </w:rPr>
      </w:pPr>
    </w:p>
    <w:p w:rsidR="00977D04" w:rsidRPr="00977D04" w:rsidRDefault="00977D04">
      <w:pPr>
        <w:rPr>
          <w:lang w:val="en-AU"/>
        </w:rPr>
      </w:pPr>
    </w:p>
    <w:p w:rsidR="00507E7A" w:rsidRPr="00977D04" w:rsidRDefault="00507E7A" w:rsidP="00D976E6">
      <w:pPr>
        <w:rPr>
          <w:lang w:val="en-AU"/>
        </w:rPr>
      </w:pPr>
      <w:r w:rsidRPr="00977D04">
        <w:rPr>
          <w:lang w:val="en-AU"/>
        </w:rPr>
        <w:t xml:space="preserve"> </w:t>
      </w:r>
    </w:p>
    <w:p w:rsidR="005503F7" w:rsidRPr="00977D04" w:rsidRDefault="005503F7" w:rsidP="00D976E6">
      <w:pPr>
        <w:sectPr w:rsidR="005503F7" w:rsidRPr="00977D04" w:rsidSect="00427E4B">
          <w:headerReference w:type="even" r:id="rId9"/>
          <w:headerReference w:type="default" r:id="rId10"/>
          <w:headerReference w:type="first" r:id="rId11"/>
          <w:footerReference w:type="first" r:id="rId12"/>
          <w:pgSz w:w="11906" w:h="16838"/>
          <w:pgMar w:top="1440" w:right="1440" w:bottom="1440" w:left="1440" w:header="708" w:footer="514" w:gutter="0"/>
          <w:pgNumType w:start="1"/>
          <w:cols w:space="708"/>
          <w:titlePg/>
          <w:docGrid w:linePitch="360"/>
        </w:sectPr>
      </w:pPr>
    </w:p>
    <w:p w:rsidR="006A749C" w:rsidRPr="00977D04" w:rsidRDefault="00167E2E">
      <w:pPr>
        <w:pStyle w:val="Heading2"/>
        <w:jc w:val="center"/>
        <w:rPr>
          <w:rFonts w:ascii="Times New Roman" w:hAnsi="Times New Roman" w:cs="Times New Roman"/>
          <w:sz w:val="24"/>
          <w:szCs w:val="24"/>
        </w:rPr>
      </w:pPr>
      <w:r w:rsidRPr="00977D04">
        <w:rPr>
          <w:rFonts w:ascii="Times New Roman" w:hAnsi="Times New Roman" w:cs="Times New Roman"/>
          <w:sz w:val="24"/>
          <w:szCs w:val="24"/>
        </w:rPr>
        <w:t xml:space="preserve">Statement of </w:t>
      </w:r>
      <w:r w:rsidR="00D75AD5">
        <w:rPr>
          <w:rFonts w:ascii="Times New Roman" w:hAnsi="Times New Roman" w:cs="Times New Roman"/>
          <w:sz w:val="24"/>
          <w:szCs w:val="24"/>
        </w:rPr>
        <w:t>C</w:t>
      </w:r>
      <w:r w:rsidR="00D75AD5" w:rsidRPr="00977D04">
        <w:rPr>
          <w:rFonts w:ascii="Times New Roman" w:hAnsi="Times New Roman" w:cs="Times New Roman"/>
          <w:sz w:val="24"/>
          <w:szCs w:val="24"/>
        </w:rPr>
        <w:t xml:space="preserve">ompatibility </w:t>
      </w:r>
      <w:r w:rsidRPr="00977D04">
        <w:rPr>
          <w:rFonts w:ascii="Times New Roman" w:hAnsi="Times New Roman" w:cs="Times New Roman"/>
          <w:sz w:val="24"/>
          <w:szCs w:val="24"/>
        </w:rPr>
        <w:t xml:space="preserve">with </w:t>
      </w:r>
      <w:r w:rsidR="00D75AD5">
        <w:rPr>
          <w:rFonts w:ascii="Times New Roman" w:hAnsi="Times New Roman" w:cs="Times New Roman"/>
          <w:sz w:val="24"/>
          <w:szCs w:val="24"/>
        </w:rPr>
        <w:t>H</w:t>
      </w:r>
      <w:r w:rsidR="00D75AD5" w:rsidRPr="00977D04">
        <w:rPr>
          <w:rFonts w:ascii="Times New Roman" w:hAnsi="Times New Roman" w:cs="Times New Roman"/>
          <w:sz w:val="24"/>
          <w:szCs w:val="24"/>
        </w:rPr>
        <w:t xml:space="preserve">uman </w:t>
      </w:r>
      <w:r w:rsidR="00D75AD5">
        <w:rPr>
          <w:rFonts w:ascii="Times New Roman" w:hAnsi="Times New Roman" w:cs="Times New Roman"/>
          <w:sz w:val="24"/>
          <w:szCs w:val="24"/>
        </w:rPr>
        <w:t>R</w:t>
      </w:r>
      <w:r w:rsidR="00D75AD5" w:rsidRPr="00977D04">
        <w:rPr>
          <w:rFonts w:ascii="Times New Roman" w:hAnsi="Times New Roman" w:cs="Times New Roman"/>
          <w:sz w:val="24"/>
          <w:szCs w:val="24"/>
        </w:rPr>
        <w:t>ights</w:t>
      </w:r>
    </w:p>
    <w:p w:rsidR="005F3ED4" w:rsidRDefault="005F3ED4" w:rsidP="00D976E6"/>
    <w:p w:rsidR="003C49CD" w:rsidRPr="00977D04" w:rsidRDefault="00167E2E" w:rsidP="00D976E6">
      <w:r w:rsidRPr="00977D04">
        <w:t xml:space="preserve">Prepared in accordance with Part 3 of the </w:t>
      </w:r>
      <w:r w:rsidRPr="00977D04">
        <w:rPr>
          <w:i/>
        </w:rPr>
        <w:t>Human Rights (Parliamentary Scrutiny) Act 2011</w:t>
      </w:r>
    </w:p>
    <w:p w:rsidR="009C481F" w:rsidRPr="00977D04" w:rsidRDefault="009C481F" w:rsidP="00D976E6"/>
    <w:p w:rsidR="003C49CD" w:rsidRPr="00977D04" w:rsidRDefault="00474C20" w:rsidP="00D976E6">
      <w:pPr>
        <w:rPr>
          <w:b/>
          <w:i/>
          <w:lang w:val="en-AU"/>
        </w:rPr>
      </w:pPr>
      <w:r w:rsidRPr="00977D04">
        <w:rPr>
          <w:b/>
          <w:i/>
        </w:rPr>
        <w:t xml:space="preserve">Public Governance, Performance and Accountability </w:t>
      </w:r>
      <w:r w:rsidR="006A749C" w:rsidRPr="00977D04">
        <w:rPr>
          <w:b/>
          <w:i/>
        </w:rPr>
        <w:t>(Consequential and Transitional</w:t>
      </w:r>
      <w:r w:rsidR="00984450">
        <w:rPr>
          <w:b/>
          <w:i/>
        </w:rPr>
        <w:t xml:space="preserve"> Provisions</w:t>
      </w:r>
      <w:r w:rsidR="006A749C" w:rsidRPr="00977D04">
        <w:rPr>
          <w:b/>
          <w:i/>
        </w:rPr>
        <w:t xml:space="preserve">) </w:t>
      </w:r>
      <w:r w:rsidRPr="00977D04">
        <w:rPr>
          <w:b/>
          <w:i/>
        </w:rPr>
        <w:t>Rule 2014</w:t>
      </w:r>
    </w:p>
    <w:p w:rsidR="00E00E37" w:rsidRPr="00977D04" w:rsidRDefault="00E00E37" w:rsidP="00D976E6">
      <w:pPr>
        <w:rPr>
          <w:i/>
        </w:rPr>
      </w:pPr>
      <w:r w:rsidRPr="00977D04">
        <w:t xml:space="preserve">The </w:t>
      </w:r>
      <w:r w:rsidRPr="00977D04">
        <w:rPr>
          <w:i/>
        </w:rPr>
        <w:t xml:space="preserve">Public Governance, Performance and Accountability </w:t>
      </w:r>
      <w:r w:rsidR="006A749C" w:rsidRPr="00977D04">
        <w:rPr>
          <w:i/>
        </w:rPr>
        <w:t>(Consequential and Transitional</w:t>
      </w:r>
      <w:r w:rsidR="00D75AD5">
        <w:rPr>
          <w:i/>
        </w:rPr>
        <w:t xml:space="preserve"> Provisions</w:t>
      </w:r>
      <w:r w:rsidR="006A749C" w:rsidRPr="00977D04">
        <w:rPr>
          <w:i/>
        </w:rPr>
        <w:t xml:space="preserve">) </w:t>
      </w:r>
      <w:r w:rsidRPr="00977D04">
        <w:rPr>
          <w:i/>
        </w:rPr>
        <w:t>Rule 2014</w:t>
      </w:r>
      <w:r w:rsidRPr="00977D04">
        <w:t xml:space="preserve"> </w:t>
      </w:r>
      <w:r w:rsidR="0092738C" w:rsidRPr="00977D04">
        <w:t xml:space="preserve">(PGPA </w:t>
      </w:r>
      <w:r w:rsidR="006A749C" w:rsidRPr="00977D04">
        <w:t xml:space="preserve">(C&amp;T) </w:t>
      </w:r>
      <w:r w:rsidR="0092738C" w:rsidRPr="00977D04">
        <w:t xml:space="preserve">Rule) </w:t>
      </w:r>
      <w:r w:rsidRPr="00977D04">
        <w:t xml:space="preserve">is compatible with the human rights and freedoms recognised or declared in the international instruments listed in section 3 of the </w:t>
      </w:r>
      <w:r w:rsidRPr="00977D04">
        <w:rPr>
          <w:i/>
        </w:rPr>
        <w:t>Human Rights (Parliamentary Scrutiny) Act 2011.</w:t>
      </w:r>
    </w:p>
    <w:p w:rsidR="009C481F" w:rsidRPr="00977D04" w:rsidRDefault="009C481F" w:rsidP="00D976E6"/>
    <w:p w:rsidR="00E00E37" w:rsidRDefault="00661056" w:rsidP="00D976E6">
      <w:pPr>
        <w:rPr>
          <w:b/>
          <w:lang w:val="en-AU"/>
        </w:rPr>
      </w:pPr>
      <w:r w:rsidRPr="00977D04">
        <w:rPr>
          <w:b/>
          <w:lang w:val="en-AU"/>
        </w:rPr>
        <w:t>Overview</w:t>
      </w:r>
      <w:r w:rsidR="00474C20" w:rsidRPr="00977D04">
        <w:rPr>
          <w:b/>
          <w:lang w:val="en-AU"/>
        </w:rPr>
        <w:t xml:space="preserve"> of the legislative instrument</w:t>
      </w:r>
    </w:p>
    <w:p w:rsidR="004816AF" w:rsidRDefault="008C4D2C" w:rsidP="004816AF">
      <w:pPr>
        <w:tabs>
          <w:tab w:val="left" w:pos="567"/>
          <w:tab w:val="left" w:pos="1276"/>
        </w:tabs>
      </w:pPr>
      <w:r w:rsidRPr="00977D04">
        <w:t xml:space="preserve">The </w:t>
      </w:r>
      <w:r w:rsidRPr="00977D04">
        <w:rPr>
          <w:i/>
        </w:rPr>
        <w:t>Public Governance, Performance and Accountability (Consequential and Transitional Provisions) Act 2014</w:t>
      </w:r>
      <w:r w:rsidRPr="00977D04">
        <w:t xml:space="preserve"> amends approximately 250 Acts across the Commonwealth to support the implementation of the </w:t>
      </w:r>
      <w:r w:rsidRPr="00977D04">
        <w:rPr>
          <w:i/>
        </w:rPr>
        <w:t>Public Governance, Performance and Accountability Act 2013</w:t>
      </w:r>
      <w:r w:rsidRPr="00977D04">
        <w:t xml:space="preserve"> (PGPA Act) and its related rules and instruments.</w:t>
      </w:r>
    </w:p>
    <w:p w:rsidR="008C4D2C" w:rsidRPr="00977D04" w:rsidRDefault="008C4D2C" w:rsidP="00D75AD5">
      <w:pPr>
        <w:rPr>
          <w:lang w:val="en-AU"/>
        </w:rPr>
      </w:pPr>
    </w:p>
    <w:p w:rsidR="008C4D2C" w:rsidRPr="00977D04" w:rsidRDefault="009C0A93" w:rsidP="00D75AD5">
      <w:pPr>
        <w:rPr>
          <w:i/>
        </w:rPr>
      </w:pPr>
      <w:r w:rsidRPr="00977D04">
        <w:rPr>
          <w:lang w:val="en-AU"/>
        </w:rPr>
        <w:t xml:space="preserve">The </w:t>
      </w:r>
      <w:r w:rsidRPr="00977D04">
        <w:rPr>
          <w:i/>
          <w:lang w:val="en-AU"/>
        </w:rPr>
        <w:t>Public Governance, Performance and Accountability Act 2013</w:t>
      </w:r>
      <w:r w:rsidRPr="00977D04">
        <w:rPr>
          <w:lang w:val="en-AU"/>
        </w:rPr>
        <w:t xml:space="preserve"> (PGPA Act) consolidates into a single piece of legislation the governance, performance and accountability requirements of the Commonwealth, setting out a framework for regulating resource management by the Commonwealth and relevant entities.</w:t>
      </w:r>
      <w:r w:rsidR="00916010" w:rsidRPr="00977D04">
        <w:rPr>
          <w:lang w:val="en-AU"/>
        </w:rPr>
        <w:t xml:space="preserve"> </w:t>
      </w:r>
      <w:r w:rsidR="00EC0CB5" w:rsidRPr="00977D04">
        <w:rPr>
          <w:lang w:val="en-AU"/>
        </w:rPr>
        <w:t xml:space="preserve">The </w:t>
      </w:r>
      <w:r w:rsidR="00EC0CB5" w:rsidRPr="00977D04">
        <w:rPr>
          <w:i/>
        </w:rPr>
        <w:t xml:space="preserve">Public Governance, Performance and Accountability (Consequential and Transitional Provisions) Act 2014 </w:t>
      </w:r>
    </w:p>
    <w:p w:rsidR="008C4D2C" w:rsidRPr="00977D04" w:rsidRDefault="008C4D2C" w:rsidP="00D75AD5">
      <w:pPr>
        <w:rPr>
          <w:i/>
        </w:rPr>
      </w:pPr>
    </w:p>
    <w:p w:rsidR="009C0A93" w:rsidRPr="00977D04" w:rsidRDefault="009C0A93" w:rsidP="00D75AD5">
      <w:pPr>
        <w:rPr>
          <w:lang w:val="en-AU"/>
        </w:rPr>
      </w:pPr>
      <w:r w:rsidRPr="00977D04">
        <w:rPr>
          <w:lang w:val="en-AU"/>
        </w:rPr>
        <w:t xml:space="preserve">The PGPA Act will replace the </w:t>
      </w:r>
      <w:r w:rsidRPr="00977D04">
        <w:rPr>
          <w:i/>
          <w:iCs/>
          <w:lang w:val="en-AU"/>
        </w:rPr>
        <w:t>Financial Management and Accountability Act 1997</w:t>
      </w:r>
      <w:r w:rsidRPr="00977D04">
        <w:rPr>
          <w:lang w:val="en-AU"/>
        </w:rPr>
        <w:t xml:space="preserve"> and the </w:t>
      </w:r>
      <w:r w:rsidRPr="00977D04">
        <w:rPr>
          <w:i/>
          <w:iCs/>
          <w:lang w:val="en-AU"/>
        </w:rPr>
        <w:t>Commonwealth Authorities and Companies Act 1997</w:t>
      </w:r>
      <w:r w:rsidRPr="00977D04">
        <w:rPr>
          <w:lang w:val="en-AU"/>
        </w:rPr>
        <w:t>.</w:t>
      </w:r>
      <w:r w:rsidR="00916010" w:rsidRPr="00977D04">
        <w:rPr>
          <w:lang w:val="en-AU"/>
        </w:rPr>
        <w:t xml:space="preserve"> </w:t>
      </w:r>
      <w:r w:rsidRPr="00977D04">
        <w:rPr>
          <w:lang w:val="en-AU"/>
        </w:rPr>
        <w:t>The substantive provisions of the PGPA Act will commence on 1</w:t>
      </w:r>
      <w:r w:rsidR="002F2EC8" w:rsidRPr="00977D04">
        <w:rPr>
          <w:lang w:val="en-AU"/>
        </w:rPr>
        <w:t> </w:t>
      </w:r>
      <w:r w:rsidRPr="00977D04">
        <w:rPr>
          <w:lang w:val="en-AU"/>
        </w:rPr>
        <w:t>July</w:t>
      </w:r>
      <w:r w:rsidR="002F2EC8" w:rsidRPr="00977D04">
        <w:rPr>
          <w:lang w:val="en-AU"/>
        </w:rPr>
        <w:t> </w:t>
      </w:r>
      <w:r w:rsidRPr="00977D04">
        <w:rPr>
          <w:lang w:val="en-AU"/>
        </w:rPr>
        <w:t>2014.</w:t>
      </w:r>
      <w:r w:rsidR="00916010" w:rsidRPr="00977D04">
        <w:rPr>
          <w:lang w:val="en-AU"/>
        </w:rPr>
        <w:t xml:space="preserve"> </w:t>
      </w:r>
    </w:p>
    <w:p w:rsidR="009C0A93" w:rsidRPr="00977D04" w:rsidRDefault="009C0A93" w:rsidP="00D75AD5">
      <w:pPr>
        <w:rPr>
          <w:lang w:val="en-AU"/>
        </w:rPr>
      </w:pPr>
    </w:p>
    <w:p w:rsidR="004816AF" w:rsidRDefault="008C4D2C" w:rsidP="004816AF">
      <w:pPr>
        <w:pStyle w:val="Subitem"/>
        <w:spacing w:before="0"/>
        <w:ind w:left="0" w:firstLine="0"/>
        <w:rPr>
          <w:sz w:val="24"/>
          <w:szCs w:val="24"/>
        </w:rPr>
      </w:pPr>
      <w:r w:rsidRPr="00977D04">
        <w:rPr>
          <w:sz w:val="24"/>
          <w:szCs w:val="24"/>
        </w:rPr>
        <w:t xml:space="preserve">Item 6 of Schedule 14 of </w:t>
      </w:r>
      <w:r w:rsidR="009C0A93" w:rsidRPr="00977D04">
        <w:rPr>
          <w:sz w:val="24"/>
          <w:szCs w:val="24"/>
        </w:rPr>
        <w:t xml:space="preserve">Section </w:t>
      </w:r>
      <w:r w:rsidRPr="00977D04">
        <w:rPr>
          <w:sz w:val="24"/>
          <w:szCs w:val="24"/>
        </w:rPr>
        <w:t xml:space="preserve">the </w:t>
      </w:r>
      <w:r w:rsidRPr="00977D04">
        <w:rPr>
          <w:i/>
          <w:sz w:val="24"/>
          <w:szCs w:val="24"/>
        </w:rPr>
        <w:t>Public Governance, Performance and Accountability (Consequential and Transitional Provisions) Act 2014</w:t>
      </w:r>
      <w:r w:rsidRPr="00977D04">
        <w:rPr>
          <w:sz w:val="24"/>
          <w:szCs w:val="24"/>
        </w:rPr>
        <w:t xml:space="preserve"> </w:t>
      </w:r>
      <w:r w:rsidR="009C0A93" w:rsidRPr="00977D04">
        <w:rPr>
          <w:sz w:val="24"/>
          <w:szCs w:val="24"/>
        </w:rPr>
        <w:t xml:space="preserve">provides that the </w:t>
      </w:r>
      <w:r w:rsidR="00D976E6" w:rsidRPr="00977D04">
        <w:rPr>
          <w:sz w:val="24"/>
          <w:szCs w:val="24"/>
        </w:rPr>
        <w:t xml:space="preserve">Finance Minister </w:t>
      </w:r>
      <w:r w:rsidR="009C0A93" w:rsidRPr="00977D04">
        <w:rPr>
          <w:sz w:val="24"/>
          <w:szCs w:val="24"/>
        </w:rPr>
        <w:t xml:space="preserve">may make rules by legislative instrument </w:t>
      </w:r>
      <w:r w:rsidRPr="00977D04">
        <w:rPr>
          <w:sz w:val="24"/>
          <w:szCs w:val="24"/>
        </w:rPr>
        <w:t>The Finance Minister may, by legislative instrument, make rules prescribing matters required or permitted by this Act to be prescribed by the rules, or necessary or convenient to be prescribed for carrying out or giving effect to this Act and the PGPA Act.</w:t>
      </w:r>
    </w:p>
    <w:p w:rsidR="004816AF" w:rsidRDefault="004816AF" w:rsidP="004816AF"/>
    <w:p w:rsidR="006A749C" w:rsidRPr="00977D04" w:rsidRDefault="009C0A93" w:rsidP="00D75AD5">
      <w:pPr>
        <w:spacing w:after="120"/>
      </w:pPr>
      <w:r w:rsidRPr="00977D04">
        <w:t>The PGPA</w:t>
      </w:r>
      <w:r w:rsidR="00977D04" w:rsidRPr="00977D04">
        <w:t xml:space="preserve"> (C&amp;T)</w:t>
      </w:r>
      <w:r w:rsidRPr="00977D04">
        <w:t xml:space="preserve"> Rule is being made to support the implementation of the PGPA Act.</w:t>
      </w:r>
      <w:r w:rsidR="00916010" w:rsidRPr="00977D04">
        <w:t xml:space="preserve"> </w:t>
      </w:r>
      <w:r w:rsidRPr="00977D04">
        <w:t xml:space="preserve">The PGPA </w:t>
      </w:r>
      <w:r w:rsidR="00977D04" w:rsidRPr="00977D04">
        <w:t xml:space="preserve">(C&amp;T) </w:t>
      </w:r>
      <w:r w:rsidRPr="00977D04">
        <w:t xml:space="preserve">Rule contains </w:t>
      </w:r>
      <w:r w:rsidR="00757A24" w:rsidRPr="00977D04">
        <w:t xml:space="preserve">provisions </w:t>
      </w:r>
      <w:r w:rsidRPr="00977D04">
        <w:rPr>
          <w:rFonts w:eastAsia="Times New Roman"/>
          <w:color w:val="000000" w:themeColor="text1"/>
          <w:lang w:val="en-AU" w:bidi="ar-SA"/>
        </w:rPr>
        <w:t>that relate to:</w:t>
      </w:r>
    </w:p>
    <w:p w:rsidR="00977D04" w:rsidRPr="00977D04" w:rsidRDefault="00977D04" w:rsidP="00D75AD5">
      <w:pPr>
        <w:pStyle w:val="ListParagraph"/>
        <w:numPr>
          <w:ilvl w:val="0"/>
          <w:numId w:val="15"/>
        </w:numPr>
        <w:spacing w:after="120" w:line="276" w:lineRule="auto"/>
        <w:ind w:hanging="363"/>
        <w:contextualSpacing w:val="0"/>
        <w:rPr>
          <w:rFonts w:eastAsia="Calibri"/>
          <w:color w:val="000000" w:themeColor="text1"/>
          <w:lang w:val="en-AU" w:bidi="ar-SA"/>
        </w:rPr>
      </w:pPr>
      <w:r w:rsidRPr="00977D04">
        <w:t xml:space="preserve">Persons performing financial tasks, and </w:t>
      </w:r>
    </w:p>
    <w:p w:rsidR="006A749C" w:rsidRPr="00977D04" w:rsidRDefault="00977D04" w:rsidP="00D75AD5">
      <w:pPr>
        <w:pStyle w:val="ListParagraph"/>
        <w:numPr>
          <w:ilvl w:val="0"/>
          <w:numId w:val="15"/>
        </w:numPr>
        <w:spacing w:after="120" w:line="276" w:lineRule="auto"/>
        <w:ind w:hanging="363"/>
        <w:contextualSpacing w:val="0"/>
        <w:rPr>
          <w:rFonts w:eastAsia="Calibri"/>
          <w:color w:val="000000" w:themeColor="text1"/>
          <w:lang w:val="en-AU" w:bidi="ar-SA"/>
        </w:rPr>
      </w:pPr>
      <w:r w:rsidRPr="00977D04">
        <w:t>Continuation of delegation powers</w:t>
      </w:r>
      <w:r w:rsidR="00474C20" w:rsidRPr="00977D04">
        <w:rPr>
          <w:rFonts w:eastAsia="Calibri"/>
          <w:color w:val="000000" w:themeColor="text1"/>
          <w:lang w:val="en-AU" w:bidi="ar-SA"/>
        </w:rPr>
        <w:t>.</w:t>
      </w:r>
    </w:p>
    <w:p w:rsidR="009C481F" w:rsidRPr="00977D04" w:rsidRDefault="00474C20" w:rsidP="00D976E6">
      <w:r w:rsidRPr="00977D04">
        <w:rPr>
          <w:b/>
        </w:rPr>
        <w:t>Human rights implications</w:t>
      </w:r>
    </w:p>
    <w:p w:rsidR="00167E2E" w:rsidRPr="00977D04" w:rsidRDefault="00167E2E" w:rsidP="00D976E6">
      <w:r w:rsidRPr="00977D04">
        <w:t>Th</w:t>
      </w:r>
      <w:r w:rsidR="005503F7" w:rsidRPr="00977D04">
        <w:t>e</w:t>
      </w:r>
      <w:r w:rsidRPr="00977D04">
        <w:t xml:space="preserve"> </w:t>
      </w:r>
      <w:r w:rsidR="0092738C" w:rsidRPr="00977D04">
        <w:t>l</w:t>
      </w:r>
      <w:r w:rsidRPr="00977D04">
        <w:t xml:space="preserve">egislative </w:t>
      </w:r>
      <w:r w:rsidR="0092738C" w:rsidRPr="00977D04">
        <w:t>i</w:t>
      </w:r>
      <w:r w:rsidRPr="00977D04">
        <w:t>nstrument do</w:t>
      </w:r>
      <w:r w:rsidR="005503F7" w:rsidRPr="00977D04">
        <w:t>es</w:t>
      </w:r>
      <w:r w:rsidRPr="00977D04">
        <w:t xml:space="preserve"> not engage any of the applicable rights or freedoms.</w:t>
      </w:r>
    </w:p>
    <w:p w:rsidR="00167E2E" w:rsidRPr="00977D04" w:rsidRDefault="005F3ED4" w:rsidP="005F3ED4">
      <w:pPr>
        <w:spacing w:after="200" w:line="276" w:lineRule="auto"/>
      </w:pPr>
      <w:r>
        <w:rPr>
          <w:b/>
        </w:rPr>
        <w:br/>
      </w:r>
      <w:r w:rsidR="00474C20" w:rsidRPr="00977D04">
        <w:rPr>
          <w:b/>
        </w:rPr>
        <w:t>Conclusion</w:t>
      </w:r>
      <w:r>
        <w:rPr>
          <w:b/>
        </w:rPr>
        <w:br/>
      </w:r>
      <w:r w:rsidR="00167E2E" w:rsidRPr="00977D04">
        <w:t>Th</w:t>
      </w:r>
      <w:r w:rsidR="005503F7" w:rsidRPr="00977D04">
        <w:t>e</w:t>
      </w:r>
      <w:r w:rsidR="00167E2E" w:rsidRPr="00977D04">
        <w:t xml:space="preserve"> </w:t>
      </w:r>
      <w:r w:rsidR="0092738C" w:rsidRPr="00977D04">
        <w:t>l</w:t>
      </w:r>
      <w:r w:rsidR="00167E2E" w:rsidRPr="00977D04">
        <w:t xml:space="preserve">egislative </w:t>
      </w:r>
      <w:r w:rsidR="0092738C" w:rsidRPr="00977D04">
        <w:t>i</w:t>
      </w:r>
      <w:r w:rsidR="00167E2E" w:rsidRPr="00977D04">
        <w:t>nstrumen</w:t>
      </w:r>
      <w:r w:rsidR="006A6ED3" w:rsidRPr="00977D04">
        <w:t>t</w:t>
      </w:r>
      <w:r w:rsidR="005503F7" w:rsidRPr="00977D04">
        <w:t xml:space="preserve"> i</w:t>
      </w:r>
      <w:r w:rsidR="006A6ED3" w:rsidRPr="00977D04">
        <w:t>s</w:t>
      </w:r>
      <w:r w:rsidR="00167E2E" w:rsidRPr="00977D04">
        <w:t xml:space="preserve"> compatible with human rights as </w:t>
      </w:r>
      <w:r w:rsidR="0092738C" w:rsidRPr="00977D04">
        <w:t xml:space="preserve">it </w:t>
      </w:r>
      <w:r w:rsidR="001C68FE" w:rsidRPr="00977D04">
        <w:t>do</w:t>
      </w:r>
      <w:r w:rsidR="0092738C" w:rsidRPr="00977D04">
        <w:t>es</w:t>
      </w:r>
      <w:r w:rsidR="001C68FE" w:rsidRPr="00977D04">
        <w:t xml:space="preserve"> </w:t>
      </w:r>
      <w:r w:rsidR="00167E2E" w:rsidRPr="00977D04">
        <w:t>not raise any human rights issues.</w:t>
      </w:r>
    </w:p>
    <w:p w:rsidR="00B328B9" w:rsidRPr="00977D04" w:rsidRDefault="00B328B9" w:rsidP="00D976E6"/>
    <w:p w:rsidR="00661056" w:rsidRPr="00977D04" w:rsidRDefault="005F3ED4" w:rsidP="00661056">
      <w:pPr>
        <w:pStyle w:val="paranumbering0"/>
        <w:spacing w:before="0" w:beforeAutospacing="0" w:after="0" w:afterAutospacing="0"/>
        <w:jc w:val="center"/>
        <w:rPr>
          <w:b/>
        </w:rPr>
      </w:pPr>
      <w:r>
        <w:rPr>
          <w:b/>
        </w:rPr>
        <w:br/>
      </w:r>
      <w:r w:rsidR="00661056" w:rsidRPr="00977D04">
        <w:rPr>
          <w:b/>
        </w:rPr>
        <w:t>Senator the Hon Mathias Cormann</w:t>
      </w:r>
    </w:p>
    <w:p w:rsidR="00BE3437" w:rsidRPr="00977D04" w:rsidRDefault="00661056" w:rsidP="005F3ED4">
      <w:pPr>
        <w:pStyle w:val="paranumbering0"/>
        <w:spacing w:before="0" w:beforeAutospacing="0" w:after="0" w:afterAutospacing="0"/>
        <w:jc w:val="center"/>
      </w:pPr>
      <w:r w:rsidRPr="00977D04">
        <w:rPr>
          <w:b/>
        </w:rPr>
        <w:t>Minister for Finance</w:t>
      </w:r>
    </w:p>
    <w:sectPr w:rsidR="00BE3437" w:rsidRPr="00977D04" w:rsidSect="005F3ED4">
      <w:headerReference w:type="even" r:id="rId13"/>
      <w:headerReference w:type="default" r:id="rId14"/>
      <w:headerReference w:type="first" r:id="rId15"/>
      <w:pgSz w:w="11906" w:h="16838"/>
      <w:pgMar w:top="1245" w:right="1440" w:bottom="993" w:left="1440" w:header="708" w:footer="51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E26" w:rsidRDefault="004B1E26" w:rsidP="00D976E6">
      <w:r>
        <w:separator/>
      </w:r>
    </w:p>
    <w:p w:rsidR="004B1E26" w:rsidRDefault="004B1E26" w:rsidP="00D976E6"/>
  </w:endnote>
  <w:endnote w:type="continuationSeparator" w:id="0">
    <w:p w:rsidR="004B1E26" w:rsidRDefault="004B1E26" w:rsidP="00D976E6">
      <w:r>
        <w:continuationSeparator/>
      </w:r>
    </w:p>
    <w:p w:rsidR="004B1E26" w:rsidRDefault="004B1E26" w:rsidP="00D976E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10" w:rsidRPr="0092738C" w:rsidRDefault="00203F10" w:rsidP="005F3ED4">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E26" w:rsidRDefault="004B1E26" w:rsidP="00D976E6">
      <w:r>
        <w:separator/>
      </w:r>
    </w:p>
    <w:p w:rsidR="004B1E26" w:rsidRDefault="004B1E26" w:rsidP="00D976E6"/>
  </w:footnote>
  <w:footnote w:type="continuationSeparator" w:id="0">
    <w:p w:rsidR="004B1E26" w:rsidRDefault="004B1E26" w:rsidP="00D976E6">
      <w:r>
        <w:continuationSeparator/>
      </w:r>
    </w:p>
    <w:p w:rsidR="004B1E26" w:rsidRDefault="004B1E26" w:rsidP="00D976E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414669"/>
      <w:docPartObj>
        <w:docPartGallery w:val="Page Numbers (Top of Page)"/>
        <w:docPartUnique/>
      </w:docPartObj>
    </w:sdtPr>
    <w:sdtContent>
      <w:p w:rsidR="00203F10" w:rsidRDefault="00D967BF">
        <w:pPr>
          <w:pStyle w:val="Header"/>
          <w:jc w:val="center"/>
        </w:pPr>
        <w:r>
          <w:fldChar w:fldCharType="begin"/>
        </w:r>
        <w:r w:rsidR="00203F10">
          <w:instrText xml:space="preserve"> PAGE   \* MERGEFORMAT </w:instrText>
        </w:r>
        <w:r>
          <w:fldChar w:fldCharType="separate"/>
        </w:r>
        <w:r w:rsidR="00491729">
          <w:rPr>
            <w:noProof/>
          </w:rPr>
          <w:t>2</w:t>
        </w:r>
        <w:r>
          <w:fldChar w:fldCharType="end"/>
        </w:r>
      </w:p>
    </w:sdtContent>
  </w:sdt>
  <w:p w:rsidR="00203F10" w:rsidRDefault="00203F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10" w:rsidRDefault="00203F10" w:rsidP="00D976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414670"/>
      <w:docPartObj>
        <w:docPartGallery w:val="Page Numbers (Top of Page)"/>
        <w:docPartUnique/>
      </w:docPartObj>
    </w:sdtPr>
    <w:sdtContent>
      <w:p w:rsidR="00203F10" w:rsidRDefault="00D967BF">
        <w:pPr>
          <w:pStyle w:val="Header"/>
          <w:jc w:val="center"/>
        </w:pPr>
        <w:r>
          <w:fldChar w:fldCharType="begin"/>
        </w:r>
        <w:r w:rsidR="00203F10">
          <w:instrText xml:space="preserve"> PAGE   \* MERGEFORMAT </w:instrText>
        </w:r>
        <w:r>
          <w:fldChar w:fldCharType="separate"/>
        </w:r>
        <w:r w:rsidR="00491729">
          <w:rPr>
            <w:noProof/>
          </w:rPr>
          <w:t>2</w:t>
        </w:r>
        <w:r>
          <w:fldChar w:fldCharType="end"/>
        </w:r>
      </w:p>
    </w:sdtContent>
  </w:sdt>
  <w:p w:rsidR="004816AF" w:rsidRDefault="004816AF" w:rsidP="004816AF">
    <w:pPr>
      <w:pStyle w:val="Header"/>
      <w:jc w:val="center"/>
      <w:rPr>
        <w:b/>
        <w:u w:val="singl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10" w:rsidRDefault="00203F10">
    <w:pPr>
      <w:pStyle w:val="Header"/>
      <w:jc w:val="right"/>
      <w:rPr>
        <w:b/>
        <w:u w:val="single"/>
      </w:rPr>
    </w:pPr>
    <w:r w:rsidRPr="00474C20">
      <w:rPr>
        <w:b/>
        <w:u w:val="single"/>
      </w:rPr>
      <w:t>Attachment A</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10" w:rsidRDefault="00203F10" w:rsidP="00D976E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10" w:rsidRPr="005F3ED4" w:rsidRDefault="005F3ED4">
    <w:pPr>
      <w:pStyle w:val="Header"/>
      <w:jc w:val="center"/>
      <w:rPr>
        <w:u w:val="single"/>
      </w:rPr>
    </w:pPr>
    <w:r>
      <w:tab/>
    </w:r>
    <w:r>
      <w:tab/>
    </w:r>
    <w:r w:rsidRPr="005F3ED4">
      <w:rPr>
        <w:u w:val="single"/>
      </w:rPr>
      <w:t>Attachment B</w:t>
    </w:r>
  </w:p>
  <w:p w:rsidR="004816AF" w:rsidRDefault="004816AF" w:rsidP="004816AF">
    <w:pPr>
      <w:pStyle w:val="Header"/>
      <w:jc w:val="center"/>
      <w:rPr>
        <w:b/>
        <w:u w:val="single"/>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F10" w:rsidRDefault="00203F10" w:rsidP="00D976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30031"/>
    <w:multiLevelType w:val="hybridMultilevel"/>
    <w:tmpl w:val="15FCD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CD3AFC"/>
    <w:multiLevelType w:val="multilevel"/>
    <w:tmpl w:val="F0CEA9A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FAE497E"/>
    <w:multiLevelType w:val="hybridMultilevel"/>
    <w:tmpl w:val="4B126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304248B"/>
    <w:multiLevelType w:val="hybridMultilevel"/>
    <w:tmpl w:val="32988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0F213D"/>
    <w:multiLevelType w:val="hybridMultilevel"/>
    <w:tmpl w:val="AEE8A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1B0648"/>
    <w:multiLevelType w:val="hybridMultilevel"/>
    <w:tmpl w:val="5380A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666CDE"/>
    <w:multiLevelType w:val="hybridMultilevel"/>
    <w:tmpl w:val="C21C4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011697D"/>
    <w:multiLevelType w:val="hybridMultilevel"/>
    <w:tmpl w:val="376A4044"/>
    <w:lvl w:ilvl="0" w:tplc="ADF8B48A">
      <w:start w:val="1"/>
      <w:numFmt w:val="bullet"/>
      <w:lvlText w:val=""/>
      <w:lvlJc w:val="left"/>
      <w:pPr>
        <w:ind w:left="720" w:hanging="360"/>
      </w:pPr>
      <w:rPr>
        <w:rFonts w:ascii="Symbol" w:hAnsi="Symbol" w:hint="default"/>
      </w:rPr>
    </w:lvl>
    <w:lvl w:ilvl="1" w:tplc="0C09000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8">
    <w:nsid w:val="22F546B2"/>
    <w:multiLevelType w:val="hybridMultilevel"/>
    <w:tmpl w:val="9D949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56B2655"/>
    <w:multiLevelType w:val="hybridMultilevel"/>
    <w:tmpl w:val="6E2AC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1823EE"/>
    <w:multiLevelType w:val="hybridMultilevel"/>
    <w:tmpl w:val="55A406C2"/>
    <w:lvl w:ilvl="0" w:tplc="F176C90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9C93026"/>
    <w:multiLevelType w:val="hybridMultilevel"/>
    <w:tmpl w:val="7BC834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B4E7879"/>
    <w:multiLevelType w:val="hybridMultilevel"/>
    <w:tmpl w:val="0CE2AF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C0D2622"/>
    <w:multiLevelType w:val="hybridMultilevel"/>
    <w:tmpl w:val="1C6EE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1B3D1C"/>
    <w:multiLevelType w:val="hybridMultilevel"/>
    <w:tmpl w:val="2896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C8F1422"/>
    <w:multiLevelType w:val="hybridMultilevel"/>
    <w:tmpl w:val="057A9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31F6947"/>
    <w:multiLevelType w:val="hybridMultilevel"/>
    <w:tmpl w:val="2E1AFA2E"/>
    <w:lvl w:ilvl="0" w:tplc="0C090001">
      <w:start w:val="1"/>
      <w:numFmt w:val="bullet"/>
      <w:lvlText w:val=""/>
      <w:lvlJc w:val="left"/>
      <w:pPr>
        <w:ind w:left="2718" w:hanging="360"/>
      </w:pPr>
      <w:rPr>
        <w:rFonts w:ascii="Symbol" w:hAnsi="Symbol" w:hint="default"/>
      </w:rPr>
    </w:lvl>
    <w:lvl w:ilvl="1" w:tplc="0C090003">
      <w:start w:val="1"/>
      <w:numFmt w:val="bullet"/>
      <w:lvlText w:val="o"/>
      <w:lvlJc w:val="left"/>
      <w:pPr>
        <w:ind w:left="3438" w:hanging="360"/>
      </w:pPr>
      <w:rPr>
        <w:rFonts w:ascii="Courier New" w:hAnsi="Courier New" w:cs="Courier New" w:hint="default"/>
      </w:rPr>
    </w:lvl>
    <w:lvl w:ilvl="2" w:tplc="0C090005" w:tentative="1">
      <w:start w:val="1"/>
      <w:numFmt w:val="bullet"/>
      <w:lvlText w:val=""/>
      <w:lvlJc w:val="left"/>
      <w:pPr>
        <w:ind w:left="4158" w:hanging="360"/>
      </w:pPr>
      <w:rPr>
        <w:rFonts w:ascii="Wingdings" w:hAnsi="Wingdings" w:hint="default"/>
      </w:rPr>
    </w:lvl>
    <w:lvl w:ilvl="3" w:tplc="0C090001" w:tentative="1">
      <w:start w:val="1"/>
      <w:numFmt w:val="bullet"/>
      <w:lvlText w:val=""/>
      <w:lvlJc w:val="left"/>
      <w:pPr>
        <w:ind w:left="4878" w:hanging="360"/>
      </w:pPr>
      <w:rPr>
        <w:rFonts w:ascii="Symbol" w:hAnsi="Symbol" w:hint="default"/>
      </w:rPr>
    </w:lvl>
    <w:lvl w:ilvl="4" w:tplc="0C090003" w:tentative="1">
      <w:start w:val="1"/>
      <w:numFmt w:val="bullet"/>
      <w:lvlText w:val="o"/>
      <w:lvlJc w:val="left"/>
      <w:pPr>
        <w:ind w:left="5598" w:hanging="360"/>
      </w:pPr>
      <w:rPr>
        <w:rFonts w:ascii="Courier New" w:hAnsi="Courier New" w:cs="Courier New" w:hint="default"/>
      </w:rPr>
    </w:lvl>
    <w:lvl w:ilvl="5" w:tplc="0C090005" w:tentative="1">
      <w:start w:val="1"/>
      <w:numFmt w:val="bullet"/>
      <w:lvlText w:val=""/>
      <w:lvlJc w:val="left"/>
      <w:pPr>
        <w:ind w:left="6318" w:hanging="360"/>
      </w:pPr>
      <w:rPr>
        <w:rFonts w:ascii="Wingdings" w:hAnsi="Wingdings" w:hint="default"/>
      </w:rPr>
    </w:lvl>
    <w:lvl w:ilvl="6" w:tplc="0C090001" w:tentative="1">
      <w:start w:val="1"/>
      <w:numFmt w:val="bullet"/>
      <w:lvlText w:val=""/>
      <w:lvlJc w:val="left"/>
      <w:pPr>
        <w:ind w:left="7038" w:hanging="360"/>
      </w:pPr>
      <w:rPr>
        <w:rFonts w:ascii="Symbol" w:hAnsi="Symbol" w:hint="default"/>
      </w:rPr>
    </w:lvl>
    <w:lvl w:ilvl="7" w:tplc="0C090003" w:tentative="1">
      <w:start w:val="1"/>
      <w:numFmt w:val="bullet"/>
      <w:lvlText w:val="o"/>
      <w:lvlJc w:val="left"/>
      <w:pPr>
        <w:ind w:left="7758" w:hanging="360"/>
      </w:pPr>
      <w:rPr>
        <w:rFonts w:ascii="Courier New" w:hAnsi="Courier New" w:cs="Courier New" w:hint="default"/>
      </w:rPr>
    </w:lvl>
    <w:lvl w:ilvl="8" w:tplc="0C090005" w:tentative="1">
      <w:start w:val="1"/>
      <w:numFmt w:val="bullet"/>
      <w:lvlText w:val=""/>
      <w:lvlJc w:val="left"/>
      <w:pPr>
        <w:ind w:left="8478" w:hanging="360"/>
      </w:pPr>
      <w:rPr>
        <w:rFonts w:ascii="Wingdings" w:hAnsi="Wingdings" w:hint="default"/>
      </w:rPr>
    </w:lvl>
  </w:abstractNum>
  <w:abstractNum w:abstractNumId="17">
    <w:nsid w:val="428F39F1"/>
    <w:multiLevelType w:val="hybridMultilevel"/>
    <w:tmpl w:val="00843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66A1B10"/>
    <w:multiLevelType w:val="hybridMultilevel"/>
    <w:tmpl w:val="42088F62"/>
    <w:lvl w:ilvl="0" w:tplc="0C09000F">
      <w:start w:val="1"/>
      <w:numFmt w:val="decimal"/>
      <w:lvlText w:val="%1."/>
      <w:lvlJc w:val="left"/>
      <w:pPr>
        <w:ind w:left="360" w:hanging="360"/>
      </w:pPr>
    </w:lvl>
    <w:lvl w:ilvl="1" w:tplc="07F0C412">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4CF04FB0"/>
    <w:multiLevelType w:val="hybridMultilevel"/>
    <w:tmpl w:val="D6783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52E2032"/>
    <w:multiLevelType w:val="hybridMultilevel"/>
    <w:tmpl w:val="1B2E2B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64B5657"/>
    <w:multiLevelType w:val="multilevel"/>
    <w:tmpl w:val="F0CEA9A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DBA7EFB"/>
    <w:multiLevelType w:val="hybridMultilevel"/>
    <w:tmpl w:val="5B8A3F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5E2871E8"/>
    <w:multiLevelType w:val="hybridMultilevel"/>
    <w:tmpl w:val="59580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7E32F79"/>
    <w:multiLevelType w:val="hybridMultilevel"/>
    <w:tmpl w:val="E2B02A8A"/>
    <w:lvl w:ilvl="0" w:tplc="5DBA05AA">
      <w:start w:val="1"/>
      <w:numFmt w:val="decimal"/>
      <w:lvlText w:val="%1."/>
      <w:lvlJc w:val="left"/>
      <w:pPr>
        <w:ind w:left="1854" w:hanging="360"/>
      </w:pPr>
      <w:rPr>
        <w:rFonts w:hint="default"/>
        <w:b w:val="0"/>
        <w:i w:val="0"/>
      </w:rPr>
    </w:lvl>
    <w:lvl w:ilvl="1" w:tplc="0C090001">
      <w:start w:val="1"/>
      <w:numFmt w:val="decimal"/>
      <w:lvlText w:val="%2."/>
      <w:lvlJc w:val="left"/>
      <w:pPr>
        <w:tabs>
          <w:tab w:val="num" w:pos="2574"/>
        </w:tabs>
        <w:ind w:left="2574" w:hanging="360"/>
      </w:pPr>
    </w:lvl>
    <w:lvl w:ilvl="2" w:tplc="0C09001B">
      <w:start w:val="1"/>
      <w:numFmt w:val="decimal"/>
      <w:lvlText w:val="%3."/>
      <w:lvlJc w:val="left"/>
      <w:pPr>
        <w:tabs>
          <w:tab w:val="num" w:pos="3294"/>
        </w:tabs>
        <w:ind w:left="3294" w:hanging="360"/>
      </w:pPr>
    </w:lvl>
    <w:lvl w:ilvl="3" w:tplc="0C09000F">
      <w:start w:val="1"/>
      <w:numFmt w:val="decimal"/>
      <w:lvlText w:val="%4."/>
      <w:lvlJc w:val="left"/>
      <w:pPr>
        <w:tabs>
          <w:tab w:val="num" w:pos="4014"/>
        </w:tabs>
        <w:ind w:left="4014" w:hanging="360"/>
      </w:pPr>
    </w:lvl>
    <w:lvl w:ilvl="4" w:tplc="0C090019">
      <w:start w:val="1"/>
      <w:numFmt w:val="decimal"/>
      <w:lvlText w:val="%5."/>
      <w:lvlJc w:val="left"/>
      <w:pPr>
        <w:tabs>
          <w:tab w:val="num" w:pos="4734"/>
        </w:tabs>
        <w:ind w:left="4734" w:hanging="360"/>
      </w:pPr>
    </w:lvl>
    <w:lvl w:ilvl="5" w:tplc="0C09001B">
      <w:start w:val="1"/>
      <w:numFmt w:val="decimal"/>
      <w:lvlText w:val="%6."/>
      <w:lvlJc w:val="left"/>
      <w:pPr>
        <w:tabs>
          <w:tab w:val="num" w:pos="5454"/>
        </w:tabs>
        <w:ind w:left="5454" w:hanging="360"/>
      </w:pPr>
    </w:lvl>
    <w:lvl w:ilvl="6" w:tplc="0C09000F">
      <w:start w:val="1"/>
      <w:numFmt w:val="decimal"/>
      <w:lvlText w:val="%7."/>
      <w:lvlJc w:val="left"/>
      <w:pPr>
        <w:tabs>
          <w:tab w:val="num" w:pos="6174"/>
        </w:tabs>
        <w:ind w:left="6174" w:hanging="360"/>
      </w:pPr>
    </w:lvl>
    <w:lvl w:ilvl="7" w:tplc="0C090019">
      <w:start w:val="1"/>
      <w:numFmt w:val="decimal"/>
      <w:lvlText w:val="%8."/>
      <w:lvlJc w:val="left"/>
      <w:pPr>
        <w:tabs>
          <w:tab w:val="num" w:pos="6894"/>
        </w:tabs>
        <w:ind w:left="6894" w:hanging="360"/>
      </w:pPr>
    </w:lvl>
    <w:lvl w:ilvl="8" w:tplc="0C09001B">
      <w:start w:val="1"/>
      <w:numFmt w:val="decimal"/>
      <w:lvlText w:val="%9."/>
      <w:lvlJc w:val="left"/>
      <w:pPr>
        <w:tabs>
          <w:tab w:val="num" w:pos="7614"/>
        </w:tabs>
        <w:ind w:left="7614" w:hanging="360"/>
      </w:pPr>
    </w:lvl>
  </w:abstractNum>
  <w:abstractNum w:abstractNumId="25">
    <w:nsid w:val="6AEF0FE8"/>
    <w:multiLevelType w:val="hybridMultilevel"/>
    <w:tmpl w:val="B47C7A96"/>
    <w:lvl w:ilvl="0" w:tplc="0C090001">
      <w:start w:val="1"/>
      <w:numFmt w:val="decimal"/>
      <w:lvlText w:val="%1."/>
      <w:lvlJc w:val="left"/>
      <w:pPr>
        <w:ind w:left="786" w:hanging="360"/>
      </w:pPr>
    </w:lvl>
    <w:lvl w:ilvl="1" w:tplc="0C090003">
      <w:start w:val="1"/>
      <w:numFmt w:val="bullet"/>
      <w:lvlText w:val=""/>
      <w:lvlJc w:val="left"/>
      <w:pPr>
        <w:ind w:left="1440" w:hanging="360"/>
      </w:pPr>
      <w:rPr>
        <w:rFonts w:ascii="Symbol" w:hAnsi="Symbol" w:hint="default"/>
      </w:rPr>
    </w:lvl>
    <w:lvl w:ilvl="2" w:tplc="0C090005">
      <w:numFmt w:val="bullet"/>
      <w:lvlText w:val="•"/>
      <w:lvlJc w:val="left"/>
      <w:pPr>
        <w:ind w:left="2700" w:hanging="720"/>
      </w:pPr>
      <w:rPr>
        <w:rFonts w:ascii="Calibri" w:eastAsiaTheme="minorHAnsi" w:hAnsi="Calibri" w:cstheme="minorBidi" w:hint="default"/>
      </w:r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6">
    <w:nsid w:val="7070388C"/>
    <w:multiLevelType w:val="hybridMultilevel"/>
    <w:tmpl w:val="06E24C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73704D8D"/>
    <w:multiLevelType w:val="hybridMultilevel"/>
    <w:tmpl w:val="C8E44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B4C7752"/>
    <w:multiLevelType w:val="multilevel"/>
    <w:tmpl w:val="F0CEA9A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D161472"/>
    <w:multiLevelType w:val="hybridMultilevel"/>
    <w:tmpl w:val="41A02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1"/>
  </w:num>
  <w:num w:numId="4">
    <w:abstractNumId w:val="12"/>
  </w:num>
  <w:num w:numId="5">
    <w:abstractNumId w:val="3"/>
  </w:num>
  <w:num w:numId="6">
    <w:abstractNumId w:val="29"/>
  </w:num>
  <w:num w:numId="7">
    <w:abstractNumId w:val="0"/>
  </w:num>
  <w:num w:numId="8">
    <w:abstractNumId w:val="13"/>
  </w:num>
  <w:num w:numId="9">
    <w:abstractNumId w:val="14"/>
  </w:num>
  <w:num w:numId="10">
    <w:abstractNumId w:val="8"/>
  </w:num>
  <w:num w:numId="11">
    <w:abstractNumId w:val="4"/>
  </w:num>
  <w:num w:numId="12">
    <w:abstractNumId w:val="6"/>
  </w:num>
  <w:num w:numId="13">
    <w:abstractNumId w:val="17"/>
  </w:num>
  <w:num w:numId="14">
    <w:abstractNumId w:val="9"/>
  </w:num>
  <w:num w:numId="15">
    <w:abstractNumId w:val="19"/>
  </w:num>
  <w:num w:numId="16">
    <w:abstractNumId w:val="23"/>
  </w:num>
  <w:num w:numId="17">
    <w:abstractNumId w:val="5"/>
  </w:num>
  <w:num w:numId="18">
    <w:abstractNumId w:val="28"/>
  </w:num>
  <w:num w:numId="19">
    <w:abstractNumId w:val="21"/>
  </w:num>
  <w:num w:numId="20">
    <w:abstractNumId w:val="25"/>
  </w:num>
  <w:num w:numId="21">
    <w:abstractNumId w:val="16"/>
  </w:num>
  <w:num w:numId="22">
    <w:abstractNumId w:val="10"/>
  </w:num>
  <w:num w:numId="23">
    <w:abstractNumId w:val="1"/>
  </w:num>
  <w:num w:numId="24">
    <w:abstractNumId w:val="2"/>
  </w:num>
  <w:num w:numId="25">
    <w:abstractNumId w:val="26"/>
  </w:num>
  <w:num w:numId="26">
    <w:abstractNumId w:val="22"/>
  </w:num>
  <w:num w:numId="27">
    <w:abstractNumId w:val="27"/>
  </w:num>
  <w:num w:numId="28">
    <w:abstractNumId w:val="15"/>
  </w:num>
  <w:num w:numId="29">
    <w:abstractNumId w:val="24"/>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
  <w:rsids>
    <w:rsidRoot w:val="00452D0D"/>
    <w:rsid w:val="00000A08"/>
    <w:rsid w:val="000034CC"/>
    <w:rsid w:val="000043E7"/>
    <w:rsid w:val="00005815"/>
    <w:rsid w:val="00007FE2"/>
    <w:rsid w:val="0001085E"/>
    <w:rsid w:val="0001195F"/>
    <w:rsid w:val="00011FEC"/>
    <w:rsid w:val="00012890"/>
    <w:rsid w:val="000128B4"/>
    <w:rsid w:val="0001494F"/>
    <w:rsid w:val="00016A7B"/>
    <w:rsid w:val="00016E00"/>
    <w:rsid w:val="00021B4D"/>
    <w:rsid w:val="00021D8B"/>
    <w:rsid w:val="00021EF2"/>
    <w:rsid w:val="00022030"/>
    <w:rsid w:val="00022317"/>
    <w:rsid w:val="00023434"/>
    <w:rsid w:val="000261AD"/>
    <w:rsid w:val="00026944"/>
    <w:rsid w:val="00026BC5"/>
    <w:rsid w:val="0003418C"/>
    <w:rsid w:val="00034E7B"/>
    <w:rsid w:val="000373C0"/>
    <w:rsid w:val="00037A61"/>
    <w:rsid w:val="00040627"/>
    <w:rsid w:val="0004247F"/>
    <w:rsid w:val="000433F3"/>
    <w:rsid w:val="00044073"/>
    <w:rsid w:val="000465AC"/>
    <w:rsid w:val="00050EC4"/>
    <w:rsid w:val="000512E1"/>
    <w:rsid w:val="00051C48"/>
    <w:rsid w:val="0005407E"/>
    <w:rsid w:val="000554B7"/>
    <w:rsid w:val="00057D2F"/>
    <w:rsid w:val="0006098E"/>
    <w:rsid w:val="00061B95"/>
    <w:rsid w:val="00063152"/>
    <w:rsid w:val="00064FA4"/>
    <w:rsid w:val="00066013"/>
    <w:rsid w:val="000678F3"/>
    <w:rsid w:val="000717A8"/>
    <w:rsid w:val="000718DC"/>
    <w:rsid w:val="00076A90"/>
    <w:rsid w:val="00076B6F"/>
    <w:rsid w:val="0007737C"/>
    <w:rsid w:val="000801D8"/>
    <w:rsid w:val="00080476"/>
    <w:rsid w:val="00080A2B"/>
    <w:rsid w:val="0008188E"/>
    <w:rsid w:val="00085E21"/>
    <w:rsid w:val="00090136"/>
    <w:rsid w:val="00090756"/>
    <w:rsid w:val="00091186"/>
    <w:rsid w:val="00093909"/>
    <w:rsid w:val="000969F7"/>
    <w:rsid w:val="00097075"/>
    <w:rsid w:val="000A5518"/>
    <w:rsid w:val="000A5D25"/>
    <w:rsid w:val="000A6F15"/>
    <w:rsid w:val="000B09EC"/>
    <w:rsid w:val="000B280B"/>
    <w:rsid w:val="000B64FC"/>
    <w:rsid w:val="000B693D"/>
    <w:rsid w:val="000B7217"/>
    <w:rsid w:val="000C1985"/>
    <w:rsid w:val="000C2407"/>
    <w:rsid w:val="000D0AB1"/>
    <w:rsid w:val="000D15D9"/>
    <w:rsid w:val="000D2ED1"/>
    <w:rsid w:val="000D4F6A"/>
    <w:rsid w:val="000D5C03"/>
    <w:rsid w:val="000E0B88"/>
    <w:rsid w:val="000E540D"/>
    <w:rsid w:val="000E54FC"/>
    <w:rsid w:val="000F1205"/>
    <w:rsid w:val="000F1991"/>
    <w:rsid w:val="000F1F20"/>
    <w:rsid w:val="001019A4"/>
    <w:rsid w:val="00103D96"/>
    <w:rsid w:val="00106AFA"/>
    <w:rsid w:val="00114A68"/>
    <w:rsid w:val="00125A1D"/>
    <w:rsid w:val="00132DCA"/>
    <w:rsid w:val="00132F9A"/>
    <w:rsid w:val="00134A1D"/>
    <w:rsid w:val="0013538B"/>
    <w:rsid w:val="00135B9F"/>
    <w:rsid w:val="00140166"/>
    <w:rsid w:val="00144068"/>
    <w:rsid w:val="00144EA6"/>
    <w:rsid w:val="00146231"/>
    <w:rsid w:val="00146277"/>
    <w:rsid w:val="0014629D"/>
    <w:rsid w:val="00157EBE"/>
    <w:rsid w:val="001616B6"/>
    <w:rsid w:val="0016392F"/>
    <w:rsid w:val="00163ADB"/>
    <w:rsid w:val="001647FC"/>
    <w:rsid w:val="001677F9"/>
    <w:rsid w:val="00167E2E"/>
    <w:rsid w:val="001709E7"/>
    <w:rsid w:val="00176D5D"/>
    <w:rsid w:val="00180197"/>
    <w:rsid w:val="0018067C"/>
    <w:rsid w:val="00185E46"/>
    <w:rsid w:val="001861C4"/>
    <w:rsid w:val="00186FE6"/>
    <w:rsid w:val="00191A27"/>
    <w:rsid w:val="00196919"/>
    <w:rsid w:val="00197F02"/>
    <w:rsid w:val="001A019D"/>
    <w:rsid w:val="001A06F8"/>
    <w:rsid w:val="001A09DE"/>
    <w:rsid w:val="001A1EBC"/>
    <w:rsid w:val="001A228A"/>
    <w:rsid w:val="001A60F4"/>
    <w:rsid w:val="001A745A"/>
    <w:rsid w:val="001B18DD"/>
    <w:rsid w:val="001B24D6"/>
    <w:rsid w:val="001B2F5D"/>
    <w:rsid w:val="001B7ECD"/>
    <w:rsid w:val="001C0A53"/>
    <w:rsid w:val="001C0D33"/>
    <w:rsid w:val="001C2D98"/>
    <w:rsid w:val="001C3154"/>
    <w:rsid w:val="001C4F31"/>
    <w:rsid w:val="001C5E34"/>
    <w:rsid w:val="001C68FE"/>
    <w:rsid w:val="001D1914"/>
    <w:rsid w:val="001D551C"/>
    <w:rsid w:val="001D638D"/>
    <w:rsid w:val="001D6578"/>
    <w:rsid w:val="001D73B8"/>
    <w:rsid w:val="001D7E5A"/>
    <w:rsid w:val="001E087F"/>
    <w:rsid w:val="001E0982"/>
    <w:rsid w:val="001E1224"/>
    <w:rsid w:val="001E34BC"/>
    <w:rsid w:val="001E40D6"/>
    <w:rsid w:val="001E4CEA"/>
    <w:rsid w:val="001E5E26"/>
    <w:rsid w:val="001E75C1"/>
    <w:rsid w:val="001F07AD"/>
    <w:rsid w:val="001F2529"/>
    <w:rsid w:val="001F400C"/>
    <w:rsid w:val="001F5359"/>
    <w:rsid w:val="001F590C"/>
    <w:rsid w:val="001F687E"/>
    <w:rsid w:val="001F72A9"/>
    <w:rsid w:val="002032FC"/>
    <w:rsid w:val="00203F10"/>
    <w:rsid w:val="0020484A"/>
    <w:rsid w:val="00206192"/>
    <w:rsid w:val="00206508"/>
    <w:rsid w:val="00207B5F"/>
    <w:rsid w:val="00210EFB"/>
    <w:rsid w:val="0021459A"/>
    <w:rsid w:val="00216919"/>
    <w:rsid w:val="0021740E"/>
    <w:rsid w:val="00220F02"/>
    <w:rsid w:val="002226FB"/>
    <w:rsid w:val="00222981"/>
    <w:rsid w:val="00222F07"/>
    <w:rsid w:val="00223932"/>
    <w:rsid w:val="0022412F"/>
    <w:rsid w:val="002246AE"/>
    <w:rsid w:val="002265B9"/>
    <w:rsid w:val="002272EA"/>
    <w:rsid w:val="00236791"/>
    <w:rsid w:val="00243BAA"/>
    <w:rsid w:val="00246632"/>
    <w:rsid w:val="00251841"/>
    <w:rsid w:val="0025196F"/>
    <w:rsid w:val="00257472"/>
    <w:rsid w:val="00260183"/>
    <w:rsid w:val="002609DC"/>
    <w:rsid w:val="00261293"/>
    <w:rsid w:val="002616FA"/>
    <w:rsid w:val="00266B6D"/>
    <w:rsid w:val="00267D8A"/>
    <w:rsid w:val="002711F5"/>
    <w:rsid w:val="00272007"/>
    <w:rsid w:val="002728D1"/>
    <w:rsid w:val="00274B9C"/>
    <w:rsid w:val="00274CAE"/>
    <w:rsid w:val="002772BE"/>
    <w:rsid w:val="0028025B"/>
    <w:rsid w:val="00281515"/>
    <w:rsid w:val="002818AD"/>
    <w:rsid w:val="002839A5"/>
    <w:rsid w:val="002843D1"/>
    <w:rsid w:val="002853A5"/>
    <w:rsid w:val="0028727F"/>
    <w:rsid w:val="00287772"/>
    <w:rsid w:val="00287F5F"/>
    <w:rsid w:val="002908A1"/>
    <w:rsid w:val="002918CE"/>
    <w:rsid w:val="002934AF"/>
    <w:rsid w:val="0029535F"/>
    <w:rsid w:val="00296D46"/>
    <w:rsid w:val="00297FF2"/>
    <w:rsid w:val="002A1A8B"/>
    <w:rsid w:val="002A24AD"/>
    <w:rsid w:val="002A282E"/>
    <w:rsid w:val="002A49B0"/>
    <w:rsid w:val="002A6402"/>
    <w:rsid w:val="002A65CB"/>
    <w:rsid w:val="002A666E"/>
    <w:rsid w:val="002B1949"/>
    <w:rsid w:val="002C1217"/>
    <w:rsid w:val="002C20D1"/>
    <w:rsid w:val="002C21C1"/>
    <w:rsid w:val="002C6606"/>
    <w:rsid w:val="002D004B"/>
    <w:rsid w:val="002D36F0"/>
    <w:rsid w:val="002D51B2"/>
    <w:rsid w:val="002D6258"/>
    <w:rsid w:val="002E01CE"/>
    <w:rsid w:val="002E0D75"/>
    <w:rsid w:val="002E0F3C"/>
    <w:rsid w:val="002E2701"/>
    <w:rsid w:val="002E307D"/>
    <w:rsid w:val="002F214A"/>
    <w:rsid w:val="002F2EC8"/>
    <w:rsid w:val="002F77DE"/>
    <w:rsid w:val="00301C10"/>
    <w:rsid w:val="00306D19"/>
    <w:rsid w:val="00312581"/>
    <w:rsid w:val="0031473F"/>
    <w:rsid w:val="00315546"/>
    <w:rsid w:val="00315A11"/>
    <w:rsid w:val="00315E9C"/>
    <w:rsid w:val="00322CAC"/>
    <w:rsid w:val="003233A0"/>
    <w:rsid w:val="00323A1A"/>
    <w:rsid w:val="00324047"/>
    <w:rsid w:val="00326483"/>
    <w:rsid w:val="0032663B"/>
    <w:rsid w:val="003267C3"/>
    <w:rsid w:val="00332640"/>
    <w:rsid w:val="003327B3"/>
    <w:rsid w:val="00333469"/>
    <w:rsid w:val="0033754A"/>
    <w:rsid w:val="00342EC7"/>
    <w:rsid w:val="003437FF"/>
    <w:rsid w:val="003458B4"/>
    <w:rsid w:val="00347CC6"/>
    <w:rsid w:val="0035248E"/>
    <w:rsid w:val="003533EA"/>
    <w:rsid w:val="0035416D"/>
    <w:rsid w:val="003549E2"/>
    <w:rsid w:val="00356CCE"/>
    <w:rsid w:val="00357216"/>
    <w:rsid w:val="00362A63"/>
    <w:rsid w:val="0036443A"/>
    <w:rsid w:val="00365F54"/>
    <w:rsid w:val="003704E8"/>
    <w:rsid w:val="00370F50"/>
    <w:rsid w:val="003804F8"/>
    <w:rsid w:val="0038080A"/>
    <w:rsid w:val="00380B15"/>
    <w:rsid w:val="00382FEA"/>
    <w:rsid w:val="0038485E"/>
    <w:rsid w:val="0038530C"/>
    <w:rsid w:val="003954A0"/>
    <w:rsid w:val="00395C9F"/>
    <w:rsid w:val="00395EB4"/>
    <w:rsid w:val="003A5DB3"/>
    <w:rsid w:val="003A657C"/>
    <w:rsid w:val="003A6FF0"/>
    <w:rsid w:val="003B0C6F"/>
    <w:rsid w:val="003B1654"/>
    <w:rsid w:val="003B4161"/>
    <w:rsid w:val="003B72D5"/>
    <w:rsid w:val="003B738F"/>
    <w:rsid w:val="003C0972"/>
    <w:rsid w:val="003C0A8B"/>
    <w:rsid w:val="003C226F"/>
    <w:rsid w:val="003C2CC2"/>
    <w:rsid w:val="003C3575"/>
    <w:rsid w:val="003C49CD"/>
    <w:rsid w:val="003C4BF6"/>
    <w:rsid w:val="003C6CB8"/>
    <w:rsid w:val="003C6DB3"/>
    <w:rsid w:val="003D21CC"/>
    <w:rsid w:val="003E052E"/>
    <w:rsid w:val="003E179E"/>
    <w:rsid w:val="003E3538"/>
    <w:rsid w:val="003E3C8A"/>
    <w:rsid w:val="003F5656"/>
    <w:rsid w:val="004062D7"/>
    <w:rsid w:val="00406CDE"/>
    <w:rsid w:val="00406EB7"/>
    <w:rsid w:val="004111A2"/>
    <w:rsid w:val="00411D73"/>
    <w:rsid w:val="00413BD9"/>
    <w:rsid w:val="00413ED9"/>
    <w:rsid w:val="004146F9"/>
    <w:rsid w:val="00415B3F"/>
    <w:rsid w:val="004165B9"/>
    <w:rsid w:val="00417420"/>
    <w:rsid w:val="0042298C"/>
    <w:rsid w:val="0042666E"/>
    <w:rsid w:val="00427E4B"/>
    <w:rsid w:val="00431E77"/>
    <w:rsid w:val="00431F5D"/>
    <w:rsid w:val="00431FB8"/>
    <w:rsid w:val="004342C0"/>
    <w:rsid w:val="00434E5C"/>
    <w:rsid w:val="004367A4"/>
    <w:rsid w:val="004378A0"/>
    <w:rsid w:val="0044131F"/>
    <w:rsid w:val="00446662"/>
    <w:rsid w:val="00446A8A"/>
    <w:rsid w:val="00447E0E"/>
    <w:rsid w:val="00450C7D"/>
    <w:rsid w:val="00451CCE"/>
    <w:rsid w:val="00452D0D"/>
    <w:rsid w:val="00455DF8"/>
    <w:rsid w:val="00461A2C"/>
    <w:rsid w:val="00467BD0"/>
    <w:rsid w:val="00471841"/>
    <w:rsid w:val="004725C6"/>
    <w:rsid w:val="00474C20"/>
    <w:rsid w:val="004766F4"/>
    <w:rsid w:val="004770DC"/>
    <w:rsid w:val="004816AF"/>
    <w:rsid w:val="004835F5"/>
    <w:rsid w:val="004856FC"/>
    <w:rsid w:val="00487238"/>
    <w:rsid w:val="00491729"/>
    <w:rsid w:val="00492D16"/>
    <w:rsid w:val="00495107"/>
    <w:rsid w:val="00496EDF"/>
    <w:rsid w:val="004A039A"/>
    <w:rsid w:val="004A12BF"/>
    <w:rsid w:val="004A1967"/>
    <w:rsid w:val="004A1BDD"/>
    <w:rsid w:val="004A43A6"/>
    <w:rsid w:val="004A5CD4"/>
    <w:rsid w:val="004A6F55"/>
    <w:rsid w:val="004A7B43"/>
    <w:rsid w:val="004B1905"/>
    <w:rsid w:val="004B1E26"/>
    <w:rsid w:val="004B3ED8"/>
    <w:rsid w:val="004B6092"/>
    <w:rsid w:val="004C041D"/>
    <w:rsid w:val="004C243D"/>
    <w:rsid w:val="004C474E"/>
    <w:rsid w:val="004C4D35"/>
    <w:rsid w:val="004C54D6"/>
    <w:rsid w:val="004C5940"/>
    <w:rsid w:val="004C5D10"/>
    <w:rsid w:val="004C72F0"/>
    <w:rsid w:val="004D0B37"/>
    <w:rsid w:val="004D102D"/>
    <w:rsid w:val="004D5837"/>
    <w:rsid w:val="004E2F91"/>
    <w:rsid w:val="004E3AC2"/>
    <w:rsid w:val="004F0ADE"/>
    <w:rsid w:val="004F0C0F"/>
    <w:rsid w:val="004F312F"/>
    <w:rsid w:val="004F55AD"/>
    <w:rsid w:val="00503225"/>
    <w:rsid w:val="00503562"/>
    <w:rsid w:val="00504022"/>
    <w:rsid w:val="00505B3D"/>
    <w:rsid w:val="00507E7A"/>
    <w:rsid w:val="00511E7E"/>
    <w:rsid w:val="00514B3D"/>
    <w:rsid w:val="00515980"/>
    <w:rsid w:val="00515B8E"/>
    <w:rsid w:val="0052128D"/>
    <w:rsid w:val="005219AA"/>
    <w:rsid w:val="00524376"/>
    <w:rsid w:val="00527EA6"/>
    <w:rsid w:val="00530040"/>
    <w:rsid w:val="0053006C"/>
    <w:rsid w:val="0053458D"/>
    <w:rsid w:val="005354CD"/>
    <w:rsid w:val="005417A4"/>
    <w:rsid w:val="00542D61"/>
    <w:rsid w:val="005503F7"/>
    <w:rsid w:val="00550D2A"/>
    <w:rsid w:val="00551496"/>
    <w:rsid w:val="00552876"/>
    <w:rsid w:val="005532B4"/>
    <w:rsid w:val="005542C1"/>
    <w:rsid w:val="00554901"/>
    <w:rsid w:val="00554BFE"/>
    <w:rsid w:val="0055596F"/>
    <w:rsid w:val="0056043B"/>
    <w:rsid w:val="00563C05"/>
    <w:rsid w:val="005667AA"/>
    <w:rsid w:val="00567785"/>
    <w:rsid w:val="00567DFD"/>
    <w:rsid w:val="005702E5"/>
    <w:rsid w:val="00572508"/>
    <w:rsid w:val="005746B4"/>
    <w:rsid w:val="00577587"/>
    <w:rsid w:val="00581920"/>
    <w:rsid w:val="00584F3E"/>
    <w:rsid w:val="005860DE"/>
    <w:rsid w:val="00590BAA"/>
    <w:rsid w:val="00594706"/>
    <w:rsid w:val="00594933"/>
    <w:rsid w:val="005956AC"/>
    <w:rsid w:val="00595983"/>
    <w:rsid w:val="005A21CF"/>
    <w:rsid w:val="005B0034"/>
    <w:rsid w:val="005B01BF"/>
    <w:rsid w:val="005B3CB2"/>
    <w:rsid w:val="005B544C"/>
    <w:rsid w:val="005B7B3F"/>
    <w:rsid w:val="005C31A3"/>
    <w:rsid w:val="005C3715"/>
    <w:rsid w:val="005C5470"/>
    <w:rsid w:val="005C6557"/>
    <w:rsid w:val="005D1B5E"/>
    <w:rsid w:val="005D2C2A"/>
    <w:rsid w:val="005D6969"/>
    <w:rsid w:val="005E10A2"/>
    <w:rsid w:val="005E4FAF"/>
    <w:rsid w:val="005E6A8D"/>
    <w:rsid w:val="005E7912"/>
    <w:rsid w:val="005F23EF"/>
    <w:rsid w:val="005F3DBF"/>
    <w:rsid w:val="005F3ED4"/>
    <w:rsid w:val="005F7A45"/>
    <w:rsid w:val="006068AF"/>
    <w:rsid w:val="00610B00"/>
    <w:rsid w:val="0061335A"/>
    <w:rsid w:val="00614B21"/>
    <w:rsid w:val="006158C8"/>
    <w:rsid w:val="00616C5D"/>
    <w:rsid w:val="00622157"/>
    <w:rsid w:val="00626265"/>
    <w:rsid w:val="006332BD"/>
    <w:rsid w:val="0063433B"/>
    <w:rsid w:val="00637F44"/>
    <w:rsid w:val="00640FC7"/>
    <w:rsid w:val="006450F3"/>
    <w:rsid w:val="006461B9"/>
    <w:rsid w:val="00646F27"/>
    <w:rsid w:val="00646F88"/>
    <w:rsid w:val="00653702"/>
    <w:rsid w:val="00656E73"/>
    <w:rsid w:val="00657C55"/>
    <w:rsid w:val="00661056"/>
    <w:rsid w:val="00661076"/>
    <w:rsid w:val="006632FE"/>
    <w:rsid w:val="006639E8"/>
    <w:rsid w:val="0066606C"/>
    <w:rsid w:val="006674F1"/>
    <w:rsid w:val="0067186D"/>
    <w:rsid w:val="00672661"/>
    <w:rsid w:val="00672D48"/>
    <w:rsid w:val="00673473"/>
    <w:rsid w:val="00673D80"/>
    <w:rsid w:val="0068160B"/>
    <w:rsid w:val="00687021"/>
    <w:rsid w:val="006915E2"/>
    <w:rsid w:val="006919AB"/>
    <w:rsid w:val="00693FB0"/>
    <w:rsid w:val="00695A8B"/>
    <w:rsid w:val="00695EA2"/>
    <w:rsid w:val="00697C43"/>
    <w:rsid w:val="00697F48"/>
    <w:rsid w:val="006A07A6"/>
    <w:rsid w:val="006A3C08"/>
    <w:rsid w:val="006A417C"/>
    <w:rsid w:val="006A642D"/>
    <w:rsid w:val="006A6ED3"/>
    <w:rsid w:val="006A6F84"/>
    <w:rsid w:val="006A749C"/>
    <w:rsid w:val="006B1670"/>
    <w:rsid w:val="006B30DE"/>
    <w:rsid w:val="006B3772"/>
    <w:rsid w:val="006B38D6"/>
    <w:rsid w:val="006B3E56"/>
    <w:rsid w:val="006B7B43"/>
    <w:rsid w:val="006C0FE5"/>
    <w:rsid w:val="006C120B"/>
    <w:rsid w:val="006C7E51"/>
    <w:rsid w:val="006D077B"/>
    <w:rsid w:val="006D2212"/>
    <w:rsid w:val="006D258C"/>
    <w:rsid w:val="006D36F5"/>
    <w:rsid w:val="006D4BCA"/>
    <w:rsid w:val="006D5003"/>
    <w:rsid w:val="006D5420"/>
    <w:rsid w:val="006E2791"/>
    <w:rsid w:val="006E43DE"/>
    <w:rsid w:val="006E5D24"/>
    <w:rsid w:val="006F47D9"/>
    <w:rsid w:val="006F7B99"/>
    <w:rsid w:val="00700652"/>
    <w:rsid w:val="00704FFE"/>
    <w:rsid w:val="00712114"/>
    <w:rsid w:val="00714068"/>
    <w:rsid w:val="0071583C"/>
    <w:rsid w:val="0071739C"/>
    <w:rsid w:val="00723465"/>
    <w:rsid w:val="007251D8"/>
    <w:rsid w:val="00727540"/>
    <w:rsid w:val="007314B5"/>
    <w:rsid w:val="007328D3"/>
    <w:rsid w:val="0073452A"/>
    <w:rsid w:val="00737470"/>
    <w:rsid w:val="00737824"/>
    <w:rsid w:val="00741A77"/>
    <w:rsid w:val="00742842"/>
    <w:rsid w:val="00742C87"/>
    <w:rsid w:val="00743C7A"/>
    <w:rsid w:val="007466FE"/>
    <w:rsid w:val="007478DD"/>
    <w:rsid w:val="007504F7"/>
    <w:rsid w:val="00750F20"/>
    <w:rsid w:val="00757A24"/>
    <w:rsid w:val="00760C51"/>
    <w:rsid w:val="00760CA3"/>
    <w:rsid w:val="00763F72"/>
    <w:rsid w:val="007643A5"/>
    <w:rsid w:val="00765F0B"/>
    <w:rsid w:val="00767345"/>
    <w:rsid w:val="00770245"/>
    <w:rsid w:val="007714FF"/>
    <w:rsid w:val="00776833"/>
    <w:rsid w:val="00784041"/>
    <w:rsid w:val="0078464F"/>
    <w:rsid w:val="00786CC5"/>
    <w:rsid w:val="00790DFE"/>
    <w:rsid w:val="00791817"/>
    <w:rsid w:val="00792471"/>
    <w:rsid w:val="00793904"/>
    <w:rsid w:val="00794FCA"/>
    <w:rsid w:val="007A0D3C"/>
    <w:rsid w:val="007A0DA6"/>
    <w:rsid w:val="007A2C4E"/>
    <w:rsid w:val="007A40CE"/>
    <w:rsid w:val="007A5801"/>
    <w:rsid w:val="007B011B"/>
    <w:rsid w:val="007B04BD"/>
    <w:rsid w:val="007B05A1"/>
    <w:rsid w:val="007B0A15"/>
    <w:rsid w:val="007B3498"/>
    <w:rsid w:val="007B5455"/>
    <w:rsid w:val="007B54F1"/>
    <w:rsid w:val="007B7C4B"/>
    <w:rsid w:val="007C1962"/>
    <w:rsid w:val="007D1AD7"/>
    <w:rsid w:val="007D5B8F"/>
    <w:rsid w:val="007D5C88"/>
    <w:rsid w:val="007D7A27"/>
    <w:rsid w:val="007E0308"/>
    <w:rsid w:val="007E37F9"/>
    <w:rsid w:val="007E5747"/>
    <w:rsid w:val="007E6382"/>
    <w:rsid w:val="007E7C9D"/>
    <w:rsid w:val="007F12AE"/>
    <w:rsid w:val="007F23C3"/>
    <w:rsid w:val="007F42B1"/>
    <w:rsid w:val="007F4473"/>
    <w:rsid w:val="007F4937"/>
    <w:rsid w:val="007F5EDB"/>
    <w:rsid w:val="008005CE"/>
    <w:rsid w:val="008008C1"/>
    <w:rsid w:val="00802C95"/>
    <w:rsid w:val="008042C5"/>
    <w:rsid w:val="00805160"/>
    <w:rsid w:val="00805A50"/>
    <w:rsid w:val="00806A5C"/>
    <w:rsid w:val="00807264"/>
    <w:rsid w:val="00807B22"/>
    <w:rsid w:val="008141C4"/>
    <w:rsid w:val="008171FB"/>
    <w:rsid w:val="00820BA6"/>
    <w:rsid w:val="0082495E"/>
    <w:rsid w:val="00827DFA"/>
    <w:rsid w:val="008302C6"/>
    <w:rsid w:val="008323B2"/>
    <w:rsid w:val="00833282"/>
    <w:rsid w:val="00840A19"/>
    <w:rsid w:val="008422E2"/>
    <w:rsid w:val="00845110"/>
    <w:rsid w:val="008454FC"/>
    <w:rsid w:val="00855BE9"/>
    <w:rsid w:val="008569EB"/>
    <w:rsid w:val="00856F7C"/>
    <w:rsid w:val="008576AD"/>
    <w:rsid w:val="00862F91"/>
    <w:rsid w:val="00864A15"/>
    <w:rsid w:val="008668A7"/>
    <w:rsid w:val="00872841"/>
    <w:rsid w:val="00875805"/>
    <w:rsid w:val="008765B6"/>
    <w:rsid w:val="008833A8"/>
    <w:rsid w:val="008857DB"/>
    <w:rsid w:val="00886297"/>
    <w:rsid w:val="00891623"/>
    <w:rsid w:val="008940E3"/>
    <w:rsid w:val="008A2D7B"/>
    <w:rsid w:val="008A5901"/>
    <w:rsid w:val="008A610C"/>
    <w:rsid w:val="008B0C66"/>
    <w:rsid w:val="008B229B"/>
    <w:rsid w:val="008B2D4A"/>
    <w:rsid w:val="008C016F"/>
    <w:rsid w:val="008C04FE"/>
    <w:rsid w:val="008C2DBE"/>
    <w:rsid w:val="008C4D2C"/>
    <w:rsid w:val="008D0485"/>
    <w:rsid w:val="008D1AC7"/>
    <w:rsid w:val="008D22B4"/>
    <w:rsid w:val="008E21FF"/>
    <w:rsid w:val="008E24F3"/>
    <w:rsid w:val="008E74E6"/>
    <w:rsid w:val="008F2166"/>
    <w:rsid w:val="008F323F"/>
    <w:rsid w:val="008F4F61"/>
    <w:rsid w:val="008F5EC7"/>
    <w:rsid w:val="009002E4"/>
    <w:rsid w:val="009015C3"/>
    <w:rsid w:val="00902FEF"/>
    <w:rsid w:val="0090333B"/>
    <w:rsid w:val="0090363A"/>
    <w:rsid w:val="0090543F"/>
    <w:rsid w:val="00906220"/>
    <w:rsid w:val="00916010"/>
    <w:rsid w:val="00916BD3"/>
    <w:rsid w:val="0092041D"/>
    <w:rsid w:val="00921772"/>
    <w:rsid w:val="009221E2"/>
    <w:rsid w:val="009238AC"/>
    <w:rsid w:val="00925B37"/>
    <w:rsid w:val="00925FB7"/>
    <w:rsid w:val="0092738C"/>
    <w:rsid w:val="00930168"/>
    <w:rsid w:val="009321E5"/>
    <w:rsid w:val="00932527"/>
    <w:rsid w:val="009328FC"/>
    <w:rsid w:val="00937AA1"/>
    <w:rsid w:val="009421E1"/>
    <w:rsid w:val="00943E09"/>
    <w:rsid w:val="00944272"/>
    <w:rsid w:val="0094557D"/>
    <w:rsid w:val="00947605"/>
    <w:rsid w:val="00952ED1"/>
    <w:rsid w:val="00952FA3"/>
    <w:rsid w:val="009542CF"/>
    <w:rsid w:val="009556C2"/>
    <w:rsid w:val="00961021"/>
    <w:rsid w:val="00965A32"/>
    <w:rsid w:val="00972689"/>
    <w:rsid w:val="00973426"/>
    <w:rsid w:val="009735BA"/>
    <w:rsid w:val="0097482E"/>
    <w:rsid w:val="0097797C"/>
    <w:rsid w:val="00977D04"/>
    <w:rsid w:val="0098153F"/>
    <w:rsid w:val="0098225E"/>
    <w:rsid w:val="009831BA"/>
    <w:rsid w:val="0098379F"/>
    <w:rsid w:val="00983DFB"/>
    <w:rsid w:val="00984450"/>
    <w:rsid w:val="00986D43"/>
    <w:rsid w:val="009877E2"/>
    <w:rsid w:val="0099057E"/>
    <w:rsid w:val="00990BB2"/>
    <w:rsid w:val="009910AE"/>
    <w:rsid w:val="0099342F"/>
    <w:rsid w:val="009935C5"/>
    <w:rsid w:val="009A1C81"/>
    <w:rsid w:val="009A31BF"/>
    <w:rsid w:val="009A3369"/>
    <w:rsid w:val="009A3D01"/>
    <w:rsid w:val="009B00DD"/>
    <w:rsid w:val="009B1CD2"/>
    <w:rsid w:val="009B41D9"/>
    <w:rsid w:val="009B476F"/>
    <w:rsid w:val="009B5BC0"/>
    <w:rsid w:val="009C0A93"/>
    <w:rsid w:val="009C16CF"/>
    <w:rsid w:val="009C2D4F"/>
    <w:rsid w:val="009C449A"/>
    <w:rsid w:val="009C4556"/>
    <w:rsid w:val="009C481F"/>
    <w:rsid w:val="009C75A8"/>
    <w:rsid w:val="009D1475"/>
    <w:rsid w:val="009D2EC9"/>
    <w:rsid w:val="009D319D"/>
    <w:rsid w:val="009D3A00"/>
    <w:rsid w:val="009E0210"/>
    <w:rsid w:val="009E3017"/>
    <w:rsid w:val="009F00B0"/>
    <w:rsid w:val="009F2A78"/>
    <w:rsid w:val="009F4A79"/>
    <w:rsid w:val="009F6A71"/>
    <w:rsid w:val="009F6E07"/>
    <w:rsid w:val="009F7BDA"/>
    <w:rsid w:val="00A01C71"/>
    <w:rsid w:val="00A036AC"/>
    <w:rsid w:val="00A0393E"/>
    <w:rsid w:val="00A03A50"/>
    <w:rsid w:val="00A03C3E"/>
    <w:rsid w:val="00A068E4"/>
    <w:rsid w:val="00A07268"/>
    <w:rsid w:val="00A106AB"/>
    <w:rsid w:val="00A113B5"/>
    <w:rsid w:val="00A134EB"/>
    <w:rsid w:val="00A15A5F"/>
    <w:rsid w:val="00A160A6"/>
    <w:rsid w:val="00A201D2"/>
    <w:rsid w:val="00A26E77"/>
    <w:rsid w:val="00A26FA9"/>
    <w:rsid w:val="00A31D84"/>
    <w:rsid w:val="00A34934"/>
    <w:rsid w:val="00A35A63"/>
    <w:rsid w:val="00A37534"/>
    <w:rsid w:val="00A507E4"/>
    <w:rsid w:val="00A5154B"/>
    <w:rsid w:val="00A535AE"/>
    <w:rsid w:val="00A53E39"/>
    <w:rsid w:val="00A54EBB"/>
    <w:rsid w:val="00A5559B"/>
    <w:rsid w:val="00A56A24"/>
    <w:rsid w:val="00A601D6"/>
    <w:rsid w:val="00A61374"/>
    <w:rsid w:val="00A61470"/>
    <w:rsid w:val="00A63EDE"/>
    <w:rsid w:val="00A66CF7"/>
    <w:rsid w:val="00A66D05"/>
    <w:rsid w:val="00A67933"/>
    <w:rsid w:val="00A74C4D"/>
    <w:rsid w:val="00A74EDA"/>
    <w:rsid w:val="00A77863"/>
    <w:rsid w:val="00A812DF"/>
    <w:rsid w:val="00A87B4E"/>
    <w:rsid w:val="00A87C84"/>
    <w:rsid w:val="00A93E8E"/>
    <w:rsid w:val="00A951A2"/>
    <w:rsid w:val="00AA2057"/>
    <w:rsid w:val="00AA721B"/>
    <w:rsid w:val="00AB095D"/>
    <w:rsid w:val="00AB58F2"/>
    <w:rsid w:val="00AB5C8F"/>
    <w:rsid w:val="00AC24C5"/>
    <w:rsid w:val="00AC60B9"/>
    <w:rsid w:val="00AC6670"/>
    <w:rsid w:val="00AD2131"/>
    <w:rsid w:val="00AD45EA"/>
    <w:rsid w:val="00AE14FC"/>
    <w:rsid w:val="00AE2D3B"/>
    <w:rsid w:val="00AE55F9"/>
    <w:rsid w:val="00AF1B33"/>
    <w:rsid w:val="00AF2F58"/>
    <w:rsid w:val="00AF36CB"/>
    <w:rsid w:val="00AF3CF2"/>
    <w:rsid w:val="00AF4566"/>
    <w:rsid w:val="00AF474A"/>
    <w:rsid w:val="00AF7658"/>
    <w:rsid w:val="00B0140C"/>
    <w:rsid w:val="00B043E9"/>
    <w:rsid w:val="00B0788B"/>
    <w:rsid w:val="00B107AC"/>
    <w:rsid w:val="00B1348A"/>
    <w:rsid w:val="00B21A17"/>
    <w:rsid w:val="00B2203F"/>
    <w:rsid w:val="00B224C0"/>
    <w:rsid w:val="00B23DEA"/>
    <w:rsid w:val="00B26533"/>
    <w:rsid w:val="00B26826"/>
    <w:rsid w:val="00B30CE7"/>
    <w:rsid w:val="00B31116"/>
    <w:rsid w:val="00B31308"/>
    <w:rsid w:val="00B31B0C"/>
    <w:rsid w:val="00B31EE3"/>
    <w:rsid w:val="00B3209C"/>
    <w:rsid w:val="00B328B9"/>
    <w:rsid w:val="00B36AF8"/>
    <w:rsid w:val="00B37F9F"/>
    <w:rsid w:val="00B41BDA"/>
    <w:rsid w:val="00B4482B"/>
    <w:rsid w:val="00B472AE"/>
    <w:rsid w:val="00B50230"/>
    <w:rsid w:val="00B515B3"/>
    <w:rsid w:val="00B5536C"/>
    <w:rsid w:val="00B60293"/>
    <w:rsid w:val="00B62B01"/>
    <w:rsid w:val="00B668FB"/>
    <w:rsid w:val="00B67849"/>
    <w:rsid w:val="00B71A39"/>
    <w:rsid w:val="00B76B30"/>
    <w:rsid w:val="00B77392"/>
    <w:rsid w:val="00B808DC"/>
    <w:rsid w:val="00B81DCF"/>
    <w:rsid w:val="00B82319"/>
    <w:rsid w:val="00B85851"/>
    <w:rsid w:val="00B872EA"/>
    <w:rsid w:val="00B932BD"/>
    <w:rsid w:val="00B96770"/>
    <w:rsid w:val="00B97CF7"/>
    <w:rsid w:val="00BA011E"/>
    <w:rsid w:val="00BA097C"/>
    <w:rsid w:val="00BA0BF3"/>
    <w:rsid w:val="00BA1001"/>
    <w:rsid w:val="00BA1763"/>
    <w:rsid w:val="00BA293D"/>
    <w:rsid w:val="00BA5077"/>
    <w:rsid w:val="00BA78F7"/>
    <w:rsid w:val="00BB0E7B"/>
    <w:rsid w:val="00BB16BA"/>
    <w:rsid w:val="00BB6960"/>
    <w:rsid w:val="00BC2158"/>
    <w:rsid w:val="00BC2A56"/>
    <w:rsid w:val="00BC4568"/>
    <w:rsid w:val="00BC4CDF"/>
    <w:rsid w:val="00BC75E6"/>
    <w:rsid w:val="00BD0493"/>
    <w:rsid w:val="00BD0539"/>
    <w:rsid w:val="00BD1E94"/>
    <w:rsid w:val="00BD32FD"/>
    <w:rsid w:val="00BD4D4A"/>
    <w:rsid w:val="00BE3437"/>
    <w:rsid w:val="00BF036C"/>
    <w:rsid w:val="00BF32B9"/>
    <w:rsid w:val="00C10296"/>
    <w:rsid w:val="00C122F3"/>
    <w:rsid w:val="00C1311B"/>
    <w:rsid w:val="00C13594"/>
    <w:rsid w:val="00C135D5"/>
    <w:rsid w:val="00C1421A"/>
    <w:rsid w:val="00C142D8"/>
    <w:rsid w:val="00C17205"/>
    <w:rsid w:val="00C176B4"/>
    <w:rsid w:val="00C200AC"/>
    <w:rsid w:val="00C22C59"/>
    <w:rsid w:val="00C23E8A"/>
    <w:rsid w:val="00C24A3A"/>
    <w:rsid w:val="00C24E0A"/>
    <w:rsid w:val="00C24E61"/>
    <w:rsid w:val="00C30C40"/>
    <w:rsid w:val="00C32450"/>
    <w:rsid w:val="00C351ED"/>
    <w:rsid w:val="00C3782D"/>
    <w:rsid w:val="00C37D30"/>
    <w:rsid w:val="00C413D7"/>
    <w:rsid w:val="00C46EF6"/>
    <w:rsid w:val="00C510F2"/>
    <w:rsid w:val="00C52A14"/>
    <w:rsid w:val="00C52B6B"/>
    <w:rsid w:val="00C5484B"/>
    <w:rsid w:val="00C54C9F"/>
    <w:rsid w:val="00C57055"/>
    <w:rsid w:val="00C60565"/>
    <w:rsid w:val="00C61633"/>
    <w:rsid w:val="00C622A5"/>
    <w:rsid w:val="00C62FC6"/>
    <w:rsid w:val="00C65056"/>
    <w:rsid w:val="00C67025"/>
    <w:rsid w:val="00C71E62"/>
    <w:rsid w:val="00C72BCD"/>
    <w:rsid w:val="00C72EC5"/>
    <w:rsid w:val="00C733E5"/>
    <w:rsid w:val="00C761CE"/>
    <w:rsid w:val="00C7759D"/>
    <w:rsid w:val="00C77A77"/>
    <w:rsid w:val="00C827CD"/>
    <w:rsid w:val="00C857DE"/>
    <w:rsid w:val="00C91892"/>
    <w:rsid w:val="00CA02BB"/>
    <w:rsid w:val="00CA2FAE"/>
    <w:rsid w:val="00CA35E3"/>
    <w:rsid w:val="00CA4984"/>
    <w:rsid w:val="00CA629D"/>
    <w:rsid w:val="00CA7EEE"/>
    <w:rsid w:val="00CB0175"/>
    <w:rsid w:val="00CB1C6A"/>
    <w:rsid w:val="00CB2FD4"/>
    <w:rsid w:val="00CB6F34"/>
    <w:rsid w:val="00CB7846"/>
    <w:rsid w:val="00CC02A2"/>
    <w:rsid w:val="00CC4C4B"/>
    <w:rsid w:val="00CC5033"/>
    <w:rsid w:val="00CC601F"/>
    <w:rsid w:val="00CC7D02"/>
    <w:rsid w:val="00CD268A"/>
    <w:rsid w:val="00CE1C74"/>
    <w:rsid w:val="00CE34DB"/>
    <w:rsid w:val="00CE5699"/>
    <w:rsid w:val="00CE5AE7"/>
    <w:rsid w:val="00CE750C"/>
    <w:rsid w:val="00CE7CE8"/>
    <w:rsid w:val="00CF5055"/>
    <w:rsid w:val="00CF7820"/>
    <w:rsid w:val="00D0194F"/>
    <w:rsid w:val="00D05FB3"/>
    <w:rsid w:val="00D077A9"/>
    <w:rsid w:val="00D10316"/>
    <w:rsid w:val="00D14961"/>
    <w:rsid w:val="00D15892"/>
    <w:rsid w:val="00D17345"/>
    <w:rsid w:val="00D1787F"/>
    <w:rsid w:val="00D17999"/>
    <w:rsid w:val="00D2189E"/>
    <w:rsid w:val="00D24861"/>
    <w:rsid w:val="00D35E0C"/>
    <w:rsid w:val="00D3655B"/>
    <w:rsid w:val="00D43942"/>
    <w:rsid w:val="00D43C69"/>
    <w:rsid w:val="00D44C6C"/>
    <w:rsid w:val="00D531F3"/>
    <w:rsid w:val="00D55978"/>
    <w:rsid w:val="00D56F87"/>
    <w:rsid w:val="00D615B4"/>
    <w:rsid w:val="00D61DD7"/>
    <w:rsid w:val="00D62D8C"/>
    <w:rsid w:val="00D64ECC"/>
    <w:rsid w:val="00D65DBE"/>
    <w:rsid w:val="00D66929"/>
    <w:rsid w:val="00D721AD"/>
    <w:rsid w:val="00D73A2C"/>
    <w:rsid w:val="00D7410D"/>
    <w:rsid w:val="00D747DC"/>
    <w:rsid w:val="00D7569F"/>
    <w:rsid w:val="00D75AD5"/>
    <w:rsid w:val="00D76CB0"/>
    <w:rsid w:val="00D83186"/>
    <w:rsid w:val="00D8500C"/>
    <w:rsid w:val="00D865BD"/>
    <w:rsid w:val="00D87FE8"/>
    <w:rsid w:val="00D90DDF"/>
    <w:rsid w:val="00D9282C"/>
    <w:rsid w:val="00D92C1F"/>
    <w:rsid w:val="00D954CF"/>
    <w:rsid w:val="00D95C57"/>
    <w:rsid w:val="00D967BF"/>
    <w:rsid w:val="00D970BC"/>
    <w:rsid w:val="00D976E6"/>
    <w:rsid w:val="00DA2476"/>
    <w:rsid w:val="00DA4AE0"/>
    <w:rsid w:val="00DA6E5D"/>
    <w:rsid w:val="00DA7A40"/>
    <w:rsid w:val="00DA7D04"/>
    <w:rsid w:val="00DA7D55"/>
    <w:rsid w:val="00DB393C"/>
    <w:rsid w:val="00DC0627"/>
    <w:rsid w:val="00DC44A8"/>
    <w:rsid w:val="00DC6867"/>
    <w:rsid w:val="00DC7576"/>
    <w:rsid w:val="00DD03A4"/>
    <w:rsid w:val="00DD3E47"/>
    <w:rsid w:val="00DD4F80"/>
    <w:rsid w:val="00DD513B"/>
    <w:rsid w:val="00DE1573"/>
    <w:rsid w:val="00DE1752"/>
    <w:rsid w:val="00DE37E4"/>
    <w:rsid w:val="00DE45C0"/>
    <w:rsid w:val="00DE4D9D"/>
    <w:rsid w:val="00DE5AD0"/>
    <w:rsid w:val="00DE7F94"/>
    <w:rsid w:val="00DF0800"/>
    <w:rsid w:val="00DF1BDD"/>
    <w:rsid w:val="00DF2942"/>
    <w:rsid w:val="00DF441E"/>
    <w:rsid w:val="00DF4F3B"/>
    <w:rsid w:val="00DF5AEA"/>
    <w:rsid w:val="00DF72BA"/>
    <w:rsid w:val="00E00144"/>
    <w:rsid w:val="00E00E37"/>
    <w:rsid w:val="00E01AFB"/>
    <w:rsid w:val="00E0251A"/>
    <w:rsid w:val="00E04F1E"/>
    <w:rsid w:val="00E05043"/>
    <w:rsid w:val="00E0539D"/>
    <w:rsid w:val="00E079BE"/>
    <w:rsid w:val="00E07A94"/>
    <w:rsid w:val="00E1052A"/>
    <w:rsid w:val="00E10565"/>
    <w:rsid w:val="00E13CAB"/>
    <w:rsid w:val="00E15A6B"/>
    <w:rsid w:val="00E22CAC"/>
    <w:rsid w:val="00E23DE5"/>
    <w:rsid w:val="00E23F04"/>
    <w:rsid w:val="00E26BDA"/>
    <w:rsid w:val="00E27103"/>
    <w:rsid w:val="00E27EEF"/>
    <w:rsid w:val="00E30392"/>
    <w:rsid w:val="00E31D0C"/>
    <w:rsid w:val="00E32E37"/>
    <w:rsid w:val="00E3511D"/>
    <w:rsid w:val="00E35F90"/>
    <w:rsid w:val="00E44FC5"/>
    <w:rsid w:val="00E45CC6"/>
    <w:rsid w:val="00E46ACA"/>
    <w:rsid w:val="00E46B72"/>
    <w:rsid w:val="00E47963"/>
    <w:rsid w:val="00E5020D"/>
    <w:rsid w:val="00E512C6"/>
    <w:rsid w:val="00E5134D"/>
    <w:rsid w:val="00E5200E"/>
    <w:rsid w:val="00E52593"/>
    <w:rsid w:val="00E529C6"/>
    <w:rsid w:val="00E5507F"/>
    <w:rsid w:val="00E577BB"/>
    <w:rsid w:val="00E661AC"/>
    <w:rsid w:val="00E677A6"/>
    <w:rsid w:val="00E7012B"/>
    <w:rsid w:val="00E702CA"/>
    <w:rsid w:val="00E71F41"/>
    <w:rsid w:val="00E722D3"/>
    <w:rsid w:val="00E72F6D"/>
    <w:rsid w:val="00E77A64"/>
    <w:rsid w:val="00E80978"/>
    <w:rsid w:val="00E817CC"/>
    <w:rsid w:val="00E851CB"/>
    <w:rsid w:val="00E85AEB"/>
    <w:rsid w:val="00E869EE"/>
    <w:rsid w:val="00E93916"/>
    <w:rsid w:val="00E94BCC"/>
    <w:rsid w:val="00E95352"/>
    <w:rsid w:val="00E96A40"/>
    <w:rsid w:val="00E96BA1"/>
    <w:rsid w:val="00E978C4"/>
    <w:rsid w:val="00EA2575"/>
    <w:rsid w:val="00EA269B"/>
    <w:rsid w:val="00EA56D9"/>
    <w:rsid w:val="00EA75F5"/>
    <w:rsid w:val="00EB3435"/>
    <w:rsid w:val="00EB371B"/>
    <w:rsid w:val="00EB5BE7"/>
    <w:rsid w:val="00EB6FA4"/>
    <w:rsid w:val="00EB7010"/>
    <w:rsid w:val="00EC0CB5"/>
    <w:rsid w:val="00EC3ABF"/>
    <w:rsid w:val="00EC3CBE"/>
    <w:rsid w:val="00EC52D0"/>
    <w:rsid w:val="00ED49E8"/>
    <w:rsid w:val="00ED5767"/>
    <w:rsid w:val="00EE0899"/>
    <w:rsid w:val="00EE26F4"/>
    <w:rsid w:val="00EE37FE"/>
    <w:rsid w:val="00EE3CD0"/>
    <w:rsid w:val="00EE3FFA"/>
    <w:rsid w:val="00EE41EC"/>
    <w:rsid w:val="00EE66A0"/>
    <w:rsid w:val="00EE75F7"/>
    <w:rsid w:val="00EF0821"/>
    <w:rsid w:val="00EF2329"/>
    <w:rsid w:val="00EF6EA2"/>
    <w:rsid w:val="00F016F1"/>
    <w:rsid w:val="00F01D95"/>
    <w:rsid w:val="00F056D1"/>
    <w:rsid w:val="00F06173"/>
    <w:rsid w:val="00F075BE"/>
    <w:rsid w:val="00F11B14"/>
    <w:rsid w:val="00F12AF3"/>
    <w:rsid w:val="00F13281"/>
    <w:rsid w:val="00F22A7A"/>
    <w:rsid w:val="00F2377C"/>
    <w:rsid w:val="00F23E79"/>
    <w:rsid w:val="00F2560A"/>
    <w:rsid w:val="00F2702D"/>
    <w:rsid w:val="00F274A9"/>
    <w:rsid w:val="00F30A3A"/>
    <w:rsid w:val="00F334CA"/>
    <w:rsid w:val="00F3586D"/>
    <w:rsid w:val="00F362CD"/>
    <w:rsid w:val="00F37299"/>
    <w:rsid w:val="00F4112E"/>
    <w:rsid w:val="00F411A8"/>
    <w:rsid w:val="00F41398"/>
    <w:rsid w:val="00F430D9"/>
    <w:rsid w:val="00F44D19"/>
    <w:rsid w:val="00F46201"/>
    <w:rsid w:val="00F470B7"/>
    <w:rsid w:val="00F4797F"/>
    <w:rsid w:val="00F529BA"/>
    <w:rsid w:val="00F56EA9"/>
    <w:rsid w:val="00F60016"/>
    <w:rsid w:val="00F60224"/>
    <w:rsid w:val="00F71353"/>
    <w:rsid w:val="00F74EDD"/>
    <w:rsid w:val="00F770B3"/>
    <w:rsid w:val="00F80D27"/>
    <w:rsid w:val="00F811C7"/>
    <w:rsid w:val="00F81851"/>
    <w:rsid w:val="00F826B8"/>
    <w:rsid w:val="00F83E96"/>
    <w:rsid w:val="00F84C29"/>
    <w:rsid w:val="00F86B20"/>
    <w:rsid w:val="00F9060C"/>
    <w:rsid w:val="00F90877"/>
    <w:rsid w:val="00F935E6"/>
    <w:rsid w:val="00F93C3D"/>
    <w:rsid w:val="00F95375"/>
    <w:rsid w:val="00F95FE8"/>
    <w:rsid w:val="00FA0AFE"/>
    <w:rsid w:val="00FA0E5E"/>
    <w:rsid w:val="00FA1CC7"/>
    <w:rsid w:val="00FA2C06"/>
    <w:rsid w:val="00FA62A1"/>
    <w:rsid w:val="00FA66F3"/>
    <w:rsid w:val="00FA6B79"/>
    <w:rsid w:val="00FB03BF"/>
    <w:rsid w:val="00FB5F28"/>
    <w:rsid w:val="00FB60A4"/>
    <w:rsid w:val="00FB724C"/>
    <w:rsid w:val="00FB778F"/>
    <w:rsid w:val="00FC309B"/>
    <w:rsid w:val="00FC3A9E"/>
    <w:rsid w:val="00FC789C"/>
    <w:rsid w:val="00FC7A7C"/>
    <w:rsid w:val="00FD24F6"/>
    <w:rsid w:val="00FD372A"/>
    <w:rsid w:val="00FD3C56"/>
    <w:rsid w:val="00FD4113"/>
    <w:rsid w:val="00FD4A07"/>
    <w:rsid w:val="00FD659B"/>
    <w:rsid w:val="00FD6EC5"/>
    <w:rsid w:val="00FE05F4"/>
    <w:rsid w:val="00FE355B"/>
    <w:rsid w:val="00FE6723"/>
    <w:rsid w:val="00FE6737"/>
    <w:rsid w:val="00FF1A86"/>
    <w:rsid w:val="00FF3444"/>
    <w:rsid w:val="00FF37CC"/>
    <w:rsid w:val="00FF778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6E6"/>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141C4"/>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141C4"/>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141C4"/>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141C4"/>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141C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141C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141C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141C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141C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FP GP Bulleted List,List Paragraph1,Recommendation,List Paragraph11"/>
    <w:basedOn w:val="Normal"/>
    <w:link w:val="ListParagraphChar"/>
    <w:uiPriority w:val="34"/>
    <w:qFormat/>
    <w:rsid w:val="008141C4"/>
    <w:pPr>
      <w:ind w:left="720"/>
      <w:contextualSpacing/>
    </w:pPr>
  </w:style>
  <w:style w:type="character" w:customStyle="1" w:styleId="ListParagraphChar">
    <w:name w:val="List Paragraph Char"/>
    <w:aliases w:val="NFP GP Bulleted List Char,List Paragraph1 Char,Recommendation Char,List Paragraph11 Char"/>
    <w:basedOn w:val="DefaultParagraphFont"/>
    <w:link w:val="ListParagraph"/>
    <w:uiPriority w:val="34"/>
    <w:rsid w:val="00952ED1"/>
  </w:style>
  <w:style w:type="character" w:customStyle="1" w:styleId="Heading1Char">
    <w:name w:val="Heading 1 Char"/>
    <w:basedOn w:val="DefaultParagraphFont"/>
    <w:link w:val="Heading1"/>
    <w:uiPriority w:val="9"/>
    <w:rsid w:val="008141C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141C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141C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141C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141C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141C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141C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141C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141C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141C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141C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141C4"/>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8141C4"/>
    <w:rPr>
      <w:rFonts w:asciiTheme="majorHAnsi" w:eastAsiaTheme="majorEastAsia" w:hAnsiTheme="majorHAnsi" w:cstheme="majorBidi"/>
      <w:i/>
      <w:iCs/>
      <w:spacing w:val="13"/>
      <w:sz w:val="24"/>
      <w:szCs w:val="24"/>
    </w:rPr>
  </w:style>
  <w:style w:type="character" w:styleId="Strong">
    <w:name w:val="Strong"/>
    <w:uiPriority w:val="22"/>
    <w:qFormat/>
    <w:rsid w:val="008141C4"/>
    <w:rPr>
      <w:b/>
      <w:bCs/>
    </w:rPr>
  </w:style>
  <w:style w:type="character" w:styleId="Emphasis">
    <w:name w:val="Emphasis"/>
    <w:uiPriority w:val="20"/>
    <w:qFormat/>
    <w:rsid w:val="008141C4"/>
    <w:rPr>
      <w:b/>
      <w:bCs/>
      <w:i/>
      <w:iCs/>
      <w:spacing w:val="10"/>
      <w:bdr w:val="none" w:sz="0" w:space="0" w:color="auto"/>
      <w:shd w:val="clear" w:color="auto" w:fill="auto"/>
    </w:rPr>
  </w:style>
  <w:style w:type="paragraph" w:styleId="NoSpacing">
    <w:name w:val="No Spacing"/>
    <w:basedOn w:val="Normal"/>
    <w:uiPriority w:val="1"/>
    <w:qFormat/>
    <w:rsid w:val="008141C4"/>
  </w:style>
  <w:style w:type="paragraph" w:styleId="Quote">
    <w:name w:val="Quote"/>
    <w:basedOn w:val="Normal"/>
    <w:next w:val="Normal"/>
    <w:link w:val="QuoteChar"/>
    <w:uiPriority w:val="29"/>
    <w:qFormat/>
    <w:rsid w:val="008141C4"/>
    <w:pPr>
      <w:spacing w:before="200"/>
      <w:ind w:left="360" w:right="360"/>
    </w:pPr>
    <w:rPr>
      <w:i/>
      <w:iCs/>
    </w:rPr>
  </w:style>
  <w:style w:type="character" w:customStyle="1" w:styleId="QuoteChar">
    <w:name w:val="Quote Char"/>
    <w:basedOn w:val="DefaultParagraphFont"/>
    <w:link w:val="Quote"/>
    <w:uiPriority w:val="29"/>
    <w:rsid w:val="008141C4"/>
    <w:rPr>
      <w:i/>
      <w:iCs/>
    </w:rPr>
  </w:style>
  <w:style w:type="paragraph" w:styleId="IntenseQuote">
    <w:name w:val="Intense Quote"/>
    <w:basedOn w:val="Normal"/>
    <w:next w:val="Normal"/>
    <w:link w:val="IntenseQuoteChar"/>
    <w:uiPriority w:val="30"/>
    <w:qFormat/>
    <w:rsid w:val="008141C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141C4"/>
    <w:rPr>
      <w:b/>
      <w:bCs/>
      <w:i/>
      <w:iCs/>
    </w:rPr>
  </w:style>
  <w:style w:type="character" w:styleId="SubtleEmphasis">
    <w:name w:val="Subtle Emphasis"/>
    <w:uiPriority w:val="19"/>
    <w:qFormat/>
    <w:rsid w:val="008141C4"/>
    <w:rPr>
      <w:i/>
      <w:iCs/>
    </w:rPr>
  </w:style>
  <w:style w:type="character" w:styleId="IntenseEmphasis">
    <w:name w:val="Intense Emphasis"/>
    <w:uiPriority w:val="21"/>
    <w:qFormat/>
    <w:rsid w:val="008141C4"/>
    <w:rPr>
      <w:b/>
      <w:bCs/>
    </w:rPr>
  </w:style>
  <w:style w:type="character" w:styleId="SubtleReference">
    <w:name w:val="Subtle Reference"/>
    <w:uiPriority w:val="31"/>
    <w:qFormat/>
    <w:rsid w:val="008141C4"/>
    <w:rPr>
      <w:smallCaps/>
    </w:rPr>
  </w:style>
  <w:style w:type="character" w:styleId="IntenseReference">
    <w:name w:val="Intense Reference"/>
    <w:uiPriority w:val="32"/>
    <w:qFormat/>
    <w:rsid w:val="008141C4"/>
    <w:rPr>
      <w:smallCaps/>
      <w:spacing w:val="5"/>
      <w:u w:val="single"/>
    </w:rPr>
  </w:style>
  <w:style w:type="character" w:styleId="BookTitle">
    <w:name w:val="Book Title"/>
    <w:uiPriority w:val="33"/>
    <w:qFormat/>
    <w:rsid w:val="008141C4"/>
    <w:rPr>
      <w:i/>
      <w:iCs/>
      <w:smallCaps/>
      <w:spacing w:val="5"/>
    </w:rPr>
  </w:style>
  <w:style w:type="paragraph" w:styleId="TOCHeading">
    <w:name w:val="TOC Heading"/>
    <w:basedOn w:val="Heading1"/>
    <w:next w:val="Normal"/>
    <w:uiPriority w:val="39"/>
    <w:semiHidden/>
    <w:unhideWhenUsed/>
    <w:qFormat/>
    <w:rsid w:val="008141C4"/>
    <w:pPr>
      <w:outlineLvl w:val="9"/>
    </w:pPr>
  </w:style>
  <w:style w:type="paragraph" w:styleId="Header">
    <w:name w:val="header"/>
    <w:basedOn w:val="Normal"/>
    <w:link w:val="HeaderChar"/>
    <w:uiPriority w:val="99"/>
    <w:unhideWhenUsed/>
    <w:rsid w:val="00452D0D"/>
    <w:pPr>
      <w:tabs>
        <w:tab w:val="center" w:pos="4513"/>
        <w:tab w:val="right" w:pos="9026"/>
      </w:tabs>
    </w:pPr>
  </w:style>
  <w:style w:type="character" w:customStyle="1" w:styleId="HeaderChar">
    <w:name w:val="Header Char"/>
    <w:basedOn w:val="DefaultParagraphFont"/>
    <w:link w:val="Header"/>
    <w:uiPriority w:val="99"/>
    <w:rsid w:val="00452D0D"/>
    <w:rPr>
      <w:sz w:val="24"/>
    </w:rPr>
  </w:style>
  <w:style w:type="paragraph" w:styleId="Footer">
    <w:name w:val="footer"/>
    <w:basedOn w:val="Normal"/>
    <w:link w:val="FooterChar"/>
    <w:uiPriority w:val="99"/>
    <w:unhideWhenUsed/>
    <w:rsid w:val="00452D0D"/>
    <w:pPr>
      <w:tabs>
        <w:tab w:val="center" w:pos="4513"/>
        <w:tab w:val="right" w:pos="9026"/>
      </w:tabs>
    </w:pPr>
  </w:style>
  <w:style w:type="character" w:customStyle="1" w:styleId="FooterChar">
    <w:name w:val="Footer Char"/>
    <w:basedOn w:val="DefaultParagraphFont"/>
    <w:link w:val="Footer"/>
    <w:uiPriority w:val="99"/>
    <w:rsid w:val="00452D0D"/>
    <w:rPr>
      <w:sz w:val="24"/>
    </w:rPr>
  </w:style>
  <w:style w:type="paragraph" w:customStyle="1" w:styleId="ParaNumbering">
    <w:name w:val="Para Numbering"/>
    <w:basedOn w:val="Normal"/>
    <w:rsid w:val="00301C10"/>
    <w:pPr>
      <w:tabs>
        <w:tab w:val="num" w:pos="360"/>
        <w:tab w:val="left" w:pos="567"/>
      </w:tabs>
      <w:spacing w:line="240" w:lineRule="atLeast"/>
    </w:pPr>
    <w:rPr>
      <w:rFonts w:eastAsia="Times New Roman"/>
      <w:szCs w:val="20"/>
      <w:lang w:val="en-AU" w:bidi="ar-SA"/>
    </w:rPr>
  </w:style>
  <w:style w:type="character" w:styleId="Hyperlink">
    <w:name w:val="Hyperlink"/>
    <w:basedOn w:val="DefaultParagraphFont"/>
    <w:uiPriority w:val="99"/>
    <w:unhideWhenUsed/>
    <w:rsid w:val="00132DCA"/>
    <w:rPr>
      <w:color w:val="0000FF" w:themeColor="hyperlink"/>
      <w:u w:val="single"/>
    </w:rPr>
  </w:style>
  <w:style w:type="paragraph" w:styleId="BalloonText">
    <w:name w:val="Balloon Text"/>
    <w:basedOn w:val="Normal"/>
    <w:link w:val="BalloonTextChar"/>
    <w:uiPriority w:val="99"/>
    <w:semiHidden/>
    <w:unhideWhenUsed/>
    <w:rsid w:val="00012890"/>
    <w:rPr>
      <w:rFonts w:ascii="Tahoma" w:hAnsi="Tahoma" w:cs="Tahoma"/>
      <w:sz w:val="16"/>
      <w:szCs w:val="16"/>
    </w:rPr>
  </w:style>
  <w:style w:type="character" w:customStyle="1" w:styleId="BalloonTextChar">
    <w:name w:val="Balloon Text Char"/>
    <w:basedOn w:val="DefaultParagraphFont"/>
    <w:link w:val="BalloonText"/>
    <w:uiPriority w:val="99"/>
    <w:semiHidden/>
    <w:rsid w:val="00012890"/>
    <w:rPr>
      <w:rFonts w:ascii="Tahoma" w:hAnsi="Tahoma" w:cs="Tahoma"/>
      <w:sz w:val="16"/>
      <w:szCs w:val="16"/>
    </w:rPr>
  </w:style>
  <w:style w:type="character" w:styleId="CommentReference">
    <w:name w:val="annotation reference"/>
    <w:basedOn w:val="DefaultParagraphFont"/>
    <w:uiPriority w:val="99"/>
    <w:semiHidden/>
    <w:unhideWhenUsed/>
    <w:rsid w:val="00916010"/>
    <w:rPr>
      <w:sz w:val="16"/>
      <w:szCs w:val="16"/>
    </w:rPr>
  </w:style>
  <w:style w:type="paragraph" w:styleId="CommentText">
    <w:name w:val="annotation text"/>
    <w:basedOn w:val="Normal"/>
    <w:link w:val="CommentTextChar"/>
    <w:uiPriority w:val="99"/>
    <w:unhideWhenUsed/>
    <w:rsid w:val="00916010"/>
    <w:rPr>
      <w:sz w:val="20"/>
      <w:szCs w:val="20"/>
    </w:rPr>
  </w:style>
  <w:style w:type="character" w:customStyle="1" w:styleId="CommentTextChar">
    <w:name w:val="Comment Text Char"/>
    <w:basedOn w:val="DefaultParagraphFont"/>
    <w:link w:val="CommentText"/>
    <w:uiPriority w:val="99"/>
    <w:rsid w:val="00916010"/>
    <w:rPr>
      <w:sz w:val="20"/>
      <w:szCs w:val="20"/>
    </w:rPr>
  </w:style>
  <w:style w:type="paragraph" w:styleId="CommentSubject">
    <w:name w:val="annotation subject"/>
    <w:basedOn w:val="CommentText"/>
    <w:next w:val="CommentText"/>
    <w:link w:val="CommentSubjectChar"/>
    <w:uiPriority w:val="99"/>
    <w:semiHidden/>
    <w:unhideWhenUsed/>
    <w:rsid w:val="00916010"/>
    <w:rPr>
      <w:b/>
      <w:bCs/>
    </w:rPr>
  </w:style>
  <w:style w:type="character" w:customStyle="1" w:styleId="CommentSubjectChar">
    <w:name w:val="Comment Subject Char"/>
    <w:basedOn w:val="CommentTextChar"/>
    <w:link w:val="CommentSubject"/>
    <w:uiPriority w:val="99"/>
    <w:semiHidden/>
    <w:rsid w:val="00916010"/>
    <w:rPr>
      <w:b/>
      <w:bCs/>
      <w:sz w:val="20"/>
      <w:szCs w:val="20"/>
    </w:rPr>
  </w:style>
  <w:style w:type="paragraph" w:customStyle="1" w:styleId="definition">
    <w:name w:val="definition"/>
    <w:basedOn w:val="Normal"/>
    <w:rsid w:val="00D976E6"/>
    <w:pPr>
      <w:spacing w:before="100" w:beforeAutospacing="1" w:after="100" w:afterAutospacing="1"/>
    </w:pPr>
    <w:rPr>
      <w:rFonts w:eastAsia="Times New Roman"/>
      <w:lang w:val="en-AU" w:eastAsia="en-AU" w:bidi="ar-SA"/>
    </w:rPr>
  </w:style>
  <w:style w:type="paragraph" w:customStyle="1" w:styleId="paragraph">
    <w:name w:val="paragraph"/>
    <w:aliases w:val="a"/>
    <w:basedOn w:val="Normal"/>
    <w:link w:val="paragraphChar"/>
    <w:rsid w:val="00D976E6"/>
    <w:pPr>
      <w:spacing w:before="100" w:beforeAutospacing="1" w:after="100" w:afterAutospacing="1"/>
    </w:pPr>
    <w:rPr>
      <w:rFonts w:eastAsia="Times New Roman"/>
      <w:lang w:val="en-AU" w:eastAsia="en-AU" w:bidi="ar-SA"/>
    </w:rPr>
  </w:style>
  <w:style w:type="character" w:customStyle="1" w:styleId="paragraphChar">
    <w:name w:val="paragraph Char"/>
    <w:aliases w:val="a Char"/>
    <w:link w:val="paragraph"/>
    <w:rsid w:val="00EC3ABF"/>
    <w:rPr>
      <w:rFonts w:ascii="Times New Roman" w:eastAsia="Times New Roman" w:hAnsi="Times New Roman" w:cs="Times New Roman"/>
      <w:sz w:val="24"/>
      <w:szCs w:val="24"/>
      <w:lang w:val="en-AU" w:eastAsia="en-AU" w:bidi="ar-SA"/>
    </w:rPr>
  </w:style>
  <w:style w:type="paragraph" w:customStyle="1" w:styleId="paranumbering0">
    <w:name w:val="paranumbering"/>
    <w:basedOn w:val="Normal"/>
    <w:uiPriority w:val="99"/>
    <w:rsid w:val="00661056"/>
    <w:pPr>
      <w:spacing w:before="100" w:beforeAutospacing="1" w:after="100" w:afterAutospacing="1"/>
    </w:pPr>
    <w:rPr>
      <w:rFonts w:eastAsiaTheme="minorHAnsi"/>
      <w:lang w:val="en-AU" w:eastAsia="en-AU" w:bidi="ar-SA"/>
    </w:rPr>
  </w:style>
  <w:style w:type="paragraph" w:customStyle="1" w:styleId="Subitem">
    <w:name w:val="Subitem"/>
    <w:aliases w:val="iss"/>
    <w:basedOn w:val="Normal"/>
    <w:rsid w:val="008C4D2C"/>
    <w:pPr>
      <w:spacing w:before="180"/>
      <w:ind w:left="709" w:hanging="709"/>
    </w:pPr>
    <w:rPr>
      <w:rFonts w:eastAsia="Times New Roman"/>
      <w:sz w:val="22"/>
      <w:szCs w:val="20"/>
      <w:lang w:val="en-AU" w:eastAsia="en-AU" w:bidi="ar-SA"/>
    </w:rPr>
  </w:style>
  <w:style w:type="paragraph" w:customStyle="1" w:styleId="ActHead5">
    <w:name w:val="ActHead 5"/>
    <w:aliases w:val="s"/>
    <w:basedOn w:val="Normal"/>
    <w:next w:val="subsection"/>
    <w:qFormat/>
    <w:rsid w:val="00977D04"/>
    <w:pPr>
      <w:keepNext/>
      <w:keepLines/>
      <w:spacing w:before="280"/>
      <w:ind w:left="1134" w:hanging="1134"/>
      <w:outlineLvl w:val="4"/>
    </w:pPr>
    <w:rPr>
      <w:rFonts w:eastAsia="Times New Roman"/>
      <w:b/>
      <w:kern w:val="28"/>
      <w:szCs w:val="20"/>
      <w:lang w:val="en-AU" w:eastAsia="en-AU" w:bidi="ar-SA"/>
    </w:rPr>
  </w:style>
  <w:style w:type="character" w:customStyle="1" w:styleId="CharDivNo">
    <w:name w:val="CharDivNo"/>
    <w:basedOn w:val="DefaultParagraphFont"/>
    <w:qFormat/>
    <w:rsid w:val="00977D04"/>
  </w:style>
  <w:style w:type="character" w:customStyle="1" w:styleId="CharDivText">
    <w:name w:val="CharDivText"/>
    <w:basedOn w:val="DefaultParagraphFont"/>
    <w:qFormat/>
    <w:rsid w:val="00977D04"/>
  </w:style>
  <w:style w:type="character" w:customStyle="1" w:styleId="CharSectno">
    <w:name w:val="CharSectno"/>
    <w:basedOn w:val="DefaultParagraphFont"/>
    <w:qFormat/>
    <w:rsid w:val="00977D04"/>
  </w:style>
  <w:style w:type="paragraph" w:customStyle="1" w:styleId="subsection">
    <w:name w:val="subsection"/>
    <w:aliases w:val="ss"/>
    <w:basedOn w:val="Normal"/>
    <w:rsid w:val="00977D04"/>
    <w:pPr>
      <w:tabs>
        <w:tab w:val="right" w:pos="1021"/>
      </w:tabs>
      <w:spacing w:before="180"/>
      <w:ind w:left="1134" w:hanging="1134"/>
    </w:pPr>
    <w:rPr>
      <w:rFonts w:eastAsia="Times New Roman"/>
      <w:sz w:val="22"/>
      <w:szCs w:val="20"/>
      <w:lang w:val="en-AU" w:eastAsia="en-AU" w:bidi="ar-SA"/>
    </w:rPr>
  </w:style>
  <w:style w:type="paragraph" w:customStyle="1" w:styleId="notedraft">
    <w:name w:val="note(draft)"/>
    <w:aliases w:val="nd"/>
    <w:basedOn w:val="Normal"/>
    <w:rsid w:val="00977D04"/>
    <w:pPr>
      <w:spacing w:before="240"/>
      <w:ind w:left="284" w:hanging="284"/>
    </w:pPr>
    <w:rPr>
      <w:rFonts w:eastAsia="Times New Roman"/>
      <w:i/>
      <w:szCs w:val="20"/>
      <w:lang w:val="en-AU" w:eastAsia="en-AU" w:bidi="ar-SA"/>
    </w:rPr>
  </w:style>
  <w:style w:type="paragraph" w:customStyle="1" w:styleId="notetext">
    <w:name w:val="note(text)"/>
    <w:aliases w:val="n"/>
    <w:basedOn w:val="Normal"/>
    <w:rsid w:val="00977D04"/>
    <w:pPr>
      <w:spacing w:before="122"/>
      <w:ind w:left="1985" w:hanging="851"/>
    </w:pPr>
    <w:rPr>
      <w:rFonts w:eastAsia="Times New Roman"/>
      <w:sz w:val="18"/>
      <w:szCs w:val="20"/>
      <w:lang w:val="en-AU"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12F"/>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8141C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141C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141C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141C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141C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141C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141C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141C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141C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141C4"/>
    <w:pPr>
      <w:ind w:left="720"/>
      <w:contextualSpacing/>
    </w:pPr>
  </w:style>
  <w:style w:type="character" w:customStyle="1" w:styleId="ListParagraphChar">
    <w:name w:val="List Paragraph Char"/>
    <w:basedOn w:val="DefaultParagraphFont"/>
    <w:link w:val="ListParagraph"/>
    <w:uiPriority w:val="34"/>
    <w:rsid w:val="00952ED1"/>
  </w:style>
  <w:style w:type="character" w:customStyle="1" w:styleId="Heading1Char">
    <w:name w:val="Heading 1 Char"/>
    <w:basedOn w:val="DefaultParagraphFont"/>
    <w:link w:val="Heading1"/>
    <w:uiPriority w:val="9"/>
    <w:rsid w:val="008141C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141C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141C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141C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141C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141C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141C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141C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141C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141C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141C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141C4"/>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141C4"/>
    <w:rPr>
      <w:rFonts w:asciiTheme="majorHAnsi" w:eastAsiaTheme="majorEastAsia" w:hAnsiTheme="majorHAnsi" w:cstheme="majorBidi"/>
      <w:i/>
      <w:iCs/>
      <w:spacing w:val="13"/>
      <w:sz w:val="24"/>
      <w:szCs w:val="24"/>
    </w:rPr>
  </w:style>
  <w:style w:type="character" w:styleId="Strong">
    <w:name w:val="Strong"/>
    <w:uiPriority w:val="22"/>
    <w:qFormat/>
    <w:rsid w:val="008141C4"/>
    <w:rPr>
      <w:b/>
      <w:bCs/>
    </w:rPr>
  </w:style>
  <w:style w:type="character" w:styleId="Emphasis">
    <w:name w:val="Emphasis"/>
    <w:uiPriority w:val="20"/>
    <w:qFormat/>
    <w:rsid w:val="008141C4"/>
    <w:rPr>
      <w:b/>
      <w:bCs/>
      <w:i/>
      <w:iCs/>
      <w:spacing w:val="10"/>
      <w:bdr w:val="none" w:sz="0" w:space="0" w:color="auto"/>
      <w:shd w:val="clear" w:color="auto" w:fill="auto"/>
    </w:rPr>
  </w:style>
  <w:style w:type="paragraph" w:styleId="NoSpacing">
    <w:name w:val="No Spacing"/>
    <w:basedOn w:val="Normal"/>
    <w:uiPriority w:val="1"/>
    <w:qFormat/>
    <w:rsid w:val="008141C4"/>
    <w:pPr>
      <w:spacing w:after="0"/>
    </w:pPr>
  </w:style>
  <w:style w:type="paragraph" w:styleId="Quote">
    <w:name w:val="Quote"/>
    <w:basedOn w:val="Normal"/>
    <w:next w:val="Normal"/>
    <w:link w:val="QuoteChar"/>
    <w:uiPriority w:val="29"/>
    <w:qFormat/>
    <w:rsid w:val="008141C4"/>
    <w:pPr>
      <w:spacing w:before="200" w:after="0"/>
      <w:ind w:left="360" w:right="360"/>
    </w:pPr>
    <w:rPr>
      <w:i/>
      <w:iCs/>
    </w:rPr>
  </w:style>
  <w:style w:type="character" w:customStyle="1" w:styleId="QuoteChar">
    <w:name w:val="Quote Char"/>
    <w:basedOn w:val="DefaultParagraphFont"/>
    <w:link w:val="Quote"/>
    <w:uiPriority w:val="29"/>
    <w:rsid w:val="008141C4"/>
    <w:rPr>
      <w:i/>
      <w:iCs/>
    </w:rPr>
  </w:style>
  <w:style w:type="paragraph" w:styleId="IntenseQuote">
    <w:name w:val="Intense Quote"/>
    <w:basedOn w:val="Normal"/>
    <w:next w:val="Normal"/>
    <w:link w:val="IntenseQuoteChar"/>
    <w:uiPriority w:val="30"/>
    <w:qFormat/>
    <w:rsid w:val="008141C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141C4"/>
    <w:rPr>
      <w:b/>
      <w:bCs/>
      <w:i/>
      <w:iCs/>
    </w:rPr>
  </w:style>
  <w:style w:type="character" w:styleId="SubtleEmphasis">
    <w:name w:val="Subtle Emphasis"/>
    <w:uiPriority w:val="19"/>
    <w:qFormat/>
    <w:rsid w:val="008141C4"/>
    <w:rPr>
      <w:i/>
      <w:iCs/>
    </w:rPr>
  </w:style>
  <w:style w:type="character" w:styleId="IntenseEmphasis">
    <w:name w:val="Intense Emphasis"/>
    <w:uiPriority w:val="21"/>
    <w:qFormat/>
    <w:rsid w:val="008141C4"/>
    <w:rPr>
      <w:b/>
      <w:bCs/>
    </w:rPr>
  </w:style>
  <w:style w:type="character" w:styleId="SubtleReference">
    <w:name w:val="Subtle Reference"/>
    <w:uiPriority w:val="31"/>
    <w:qFormat/>
    <w:rsid w:val="008141C4"/>
    <w:rPr>
      <w:smallCaps/>
    </w:rPr>
  </w:style>
  <w:style w:type="character" w:styleId="IntenseReference">
    <w:name w:val="Intense Reference"/>
    <w:uiPriority w:val="32"/>
    <w:qFormat/>
    <w:rsid w:val="008141C4"/>
    <w:rPr>
      <w:smallCaps/>
      <w:spacing w:val="5"/>
      <w:u w:val="single"/>
    </w:rPr>
  </w:style>
  <w:style w:type="character" w:styleId="BookTitle">
    <w:name w:val="Book Title"/>
    <w:uiPriority w:val="33"/>
    <w:qFormat/>
    <w:rsid w:val="008141C4"/>
    <w:rPr>
      <w:i/>
      <w:iCs/>
      <w:smallCaps/>
      <w:spacing w:val="5"/>
    </w:rPr>
  </w:style>
  <w:style w:type="paragraph" w:styleId="TOCHeading">
    <w:name w:val="TOC Heading"/>
    <w:basedOn w:val="Heading1"/>
    <w:next w:val="Normal"/>
    <w:uiPriority w:val="39"/>
    <w:semiHidden/>
    <w:unhideWhenUsed/>
    <w:qFormat/>
    <w:rsid w:val="008141C4"/>
    <w:pPr>
      <w:outlineLvl w:val="9"/>
    </w:pPr>
  </w:style>
  <w:style w:type="paragraph" w:styleId="Header">
    <w:name w:val="header"/>
    <w:basedOn w:val="Normal"/>
    <w:link w:val="HeaderChar"/>
    <w:uiPriority w:val="99"/>
    <w:unhideWhenUsed/>
    <w:rsid w:val="00452D0D"/>
    <w:pPr>
      <w:tabs>
        <w:tab w:val="center" w:pos="4513"/>
        <w:tab w:val="right" w:pos="9026"/>
      </w:tabs>
      <w:spacing w:after="0"/>
    </w:pPr>
  </w:style>
  <w:style w:type="character" w:customStyle="1" w:styleId="HeaderChar">
    <w:name w:val="Header Char"/>
    <w:basedOn w:val="DefaultParagraphFont"/>
    <w:link w:val="Header"/>
    <w:uiPriority w:val="99"/>
    <w:rsid w:val="00452D0D"/>
    <w:rPr>
      <w:sz w:val="24"/>
    </w:rPr>
  </w:style>
  <w:style w:type="paragraph" w:styleId="Footer">
    <w:name w:val="footer"/>
    <w:basedOn w:val="Normal"/>
    <w:link w:val="FooterChar"/>
    <w:uiPriority w:val="99"/>
    <w:unhideWhenUsed/>
    <w:rsid w:val="00452D0D"/>
    <w:pPr>
      <w:tabs>
        <w:tab w:val="center" w:pos="4513"/>
        <w:tab w:val="right" w:pos="9026"/>
      </w:tabs>
      <w:spacing w:after="0"/>
    </w:pPr>
  </w:style>
  <w:style w:type="character" w:customStyle="1" w:styleId="FooterChar">
    <w:name w:val="Footer Char"/>
    <w:basedOn w:val="DefaultParagraphFont"/>
    <w:link w:val="Footer"/>
    <w:uiPriority w:val="99"/>
    <w:rsid w:val="00452D0D"/>
    <w:rPr>
      <w:sz w:val="24"/>
    </w:rPr>
  </w:style>
  <w:style w:type="paragraph" w:customStyle="1" w:styleId="ParaNumbering">
    <w:name w:val="Para Numbering"/>
    <w:basedOn w:val="Normal"/>
    <w:rsid w:val="00301C10"/>
    <w:pPr>
      <w:tabs>
        <w:tab w:val="num" w:pos="360"/>
        <w:tab w:val="left" w:pos="567"/>
      </w:tabs>
      <w:spacing w:line="240" w:lineRule="atLeast"/>
    </w:pPr>
    <w:rPr>
      <w:rFonts w:eastAsia="Times New Roman" w:cs="Times New Roman"/>
      <w:szCs w:val="20"/>
      <w:lang w:val="en-AU" w:bidi="ar-SA"/>
    </w:rPr>
  </w:style>
  <w:style w:type="character" w:styleId="Hyperlink">
    <w:name w:val="Hyperlink"/>
    <w:basedOn w:val="DefaultParagraphFont"/>
    <w:uiPriority w:val="99"/>
    <w:unhideWhenUsed/>
    <w:rsid w:val="00132DCA"/>
    <w:rPr>
      <w:color w:val="0000FF" w:themeColor="hyperlink"/>
      <w:u w:val="single"/>
    </w:rPr>
  </w:style>
  <w:style w:type="paragraph" w:styleId="BalloonText">
    <w:name w:val="Balloon Text"/>
    <w:basedOn w:val="Normal"/>
    <w:link w:val="BalloonTextChar"/>
    <w:uiPriority w:val="99"/>
    <w:semiHidden/>
    <w:unhideWhenUsed/>
    <w:rsid w:val="000128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890"/>
    <w:rPr>
      <w:rFonts w:ascii="Tahoma" w:hAnsi="Tahoma" w:cs="Tahoma"/>
      <w:sz w:val="16"/>
      <w:szCs w:val="16"/>
    </w:rPr>
  </w:style>
  <w:style w:type="character" w:styleId="CommentReference">
    <w:name w:val="annotation reference"/>
    <w:basedOn w:val="DefaultParagraphFont"/>
    <w:uiPriority w:val="99"/>
    <w:semiHidden/>
    <w:unhideWhenUsed/>
    <w:rsid w:val="00916010"/>
    <w:rPr>
      <w:sz w:val="16"/>
      <w:szCs w:val="16"/>
    </w:rPr>
  </w:style>
  <w:style w:type="paragraph" w:styleId="CommentText">
    <w:name w:val="annotation text"/>
    <w:basedOn w:val="Normal"/>
    <w:link w:val="CommentTextChar"/>
    <w:uiPriority w:val="99"/>
    <w:unhideWhenUsed/>
    <w:rsid w:val="00916010"/>
    <w:rPr>
      <w:sz w:val="20"/>
      <w:szCs w:val="20"/>
    </w:rPr>
  </w:style>
  <w:style w:type="character" w:customStyle="1" w:styleId="CommentTextChar">
    <w:name w:val="Comment Text Char"/>
    <w:basedOn w:val="DefaultParagraphFont"/>
    <w:link w:val="CommentText"/>
    <w:uiPriority w:val="99"/>
    <w:rsid w:val="00916010"/>
    <w:rPr>
      <w:sz w:val="20"/>
      <w:szCs w:val="20"/>
    </w:rPr>
  </w:style>
  <w:style w:type="paragraph" w:styleId="CommentSubject">
    <w:name w:val="annotation subject"/>
    <w:basedOn w:val="CommentText"/>
    <w:next w:val="CommentText"/>
    <w:link w:val="CommentSubjectChar"/>
    <w:uiPriority w:val="99"/>
    <w:semiHidden/>
    <w:unhideWhenUsed/>
    <w:rsid w:val="00916010"/>
    <w:rPr>
      <w:b/>
      <w:bCs/>
    </w:rPr>
  </w:style>
  <w:style w:type="character" w:customStyle="1" w:styleId="CommentSubjectChar">
    <w:name w:val="Comment Subject Char"/>
    <w:basedOn w:val="CommentTextChar"/>
    <w:link w:val="CommentSubject"/>
    <w:uiPriority w:val="99"/>
    <w:semiHidden/>
    <w:rsid w:val="00916010"/>
    <w:rPr>
      <w:b/>
      <w:bCs/>
      <w:sz w:val="20"/>
      <w:szCs w:val="20"/>
    </w:rPr>
  </w:style>
</w:styles>
</file>

<file path=word/webSettings.xml><?xml version="1.0" encoding="utf-8"?>
<w:webSettings xmlns:r="http://schemas.openxmlformats.org/officeDocument/2006/relationships" xmlns:w="http://schemas.openxmlformats.org/wordprocessingml/2006/main">
  <w:divs>
    <w:div w:id="37554410">
      <w:bodyDiv w:val="1"/>
      <w:marLeft w:val="0"/>
      <w:marRight w:val="0"/>
      <w:marTop w:val="0"/>
      <w:marBottom w:val="0"/>
      <w:divBdr>
        <w:top w:val="none" w:sz="0" w:space="0" w:color="auto"/>
        <w:left w:val="none" w:sz="0" w:space="0" w:color="auto"/>
        <w:bottom w:val="none" w:sz="0" w:space="0" w:color="auto"/>
        <w:right w:val="none" w:sz="0" w:space="0" w:color="auto"/>
      </w:divBdr>
      <w:divsChild>
        <w:div w:id="285357597">
          <w:marLeft w:val="0"/>
          <w:marRight w:val="0"/>
          <w:marTop w:val="0"/>
          <w:marBottom w:val="0"/>
          <w:divBdr>
            <w:top w:val="none" w:sz="0" w:space="0" w:color="auto"/>
            <w:left w:val="none" w:sz="0" w:space="0" w:color="auto"/>
            <w:bottom w:val="none" w:sz="0" w:space="0" w:color="auto"/>
            <w:right w:val="none" w:sz="0" w:space="0" w:color="auto"/>
          </w:divBdr>
          <w:divsChild>
            <w:div w:id="1035928580">
              <w:marLeft w:val="0"/>
              <w:marRight w:val="0"/>
              <w:marTop w:val="0"/>
              <w:marBottom w:val="305"/>
              <w:divBdr>
                <w:top w:val="none" w:sz="0" w:space="0" w:color="auto"/>
                <w:left w:val="none" w:sz="0" w:space="0" w:color="auto"/>
                <w:bottom w:val="none" w:sz="0" w:space="0" w:color="auto"/>
                <w:right w:val="none" w:sz="0" w:space="0" w:color="auto"/>
              </w:divBdr>
              <w:divsChild>
                <w:div w:id="958146925">
                  <w:marLeft w:val="0"/>
                  <w:marRight w:val="0"/>
                  <w:marTop w:val="0"/>
                  <w:marBottom w:val="0"/>
                  <w:divBdr>
                    <w:top w:val="none" w:sz="0" w:space="0" w:color="auto"/>
                    <w:left w:val="none" w:sz="0" w:space="0" w:color="auto"/>
                    <w:bottom w:val="none" w:sz="0" w:space="0" w:color="auto"/>
                    <w:right w:val="none" w:sz="0" w:space="0" w:color="auto"/>
                  </w:divBdr>
                  <w:divsChild>
                    <w:div w:id="1746760763">
                      <w:marLeft w:val="0"/>
                      <w:marRight w:val="0"/>
                      <w:marTop w:val="0"/>
                      <w:marBottom w:val="0"/>
                      <w:divBdr>
                        <w:top w:val="none" w:sz="0" w:space="0" w:color="auto"/>
                        <w:left w:val="single" w:sz="4" w:space="0" w:color="F69C31"/>
                        <w:bottom w:val="none" w:sz="0" w:space="0" w:color="auto"/>
                        <w:right w:val="none" w:sz="0" w:space="0" w:color="auto"/>
                      </w:divBdr>
                      <w:divsChild>
                        <w:div w:id="1974748017">
                          <w:marLeft w:val="0"/>
                          <w:marRight w:val="0"/>
                          <w:marTop w:val="0"/>
                          <w:marBottom w:val="0"/>
                          <w:divBdr>
                            <w:top w:val="none" w:sz="0" w:space="0" w:color="auto"/>
                            <w:left w:val="none" w:sz="0" w:space="0" w:color="auto"/>
                            <w:bottom w:val="none" w:sz="0" w:space="0" w:color="auto"/>
                            <w:right w:val="none" w:sz="0" w:space="0" w:color="auto"/>
                          </w:divBdr>
                          <w:divsChild>
                            <w:div w:id="1759869326">
                              <w:marLeft w:val="0"/>
                              <w:marRight w:val="0"/>
                              <w:marTop w:val="0"/>
                              <w:marBottom w:val="0"/>
                              <w:divBdr>
                                <w:top w:val="none" w:sz="0" w:space="0" w:color="auto"/>
                                <w:left w:val="none" w:sz="0" w:space="0" w:color="auto"/>
                                <w:bottom w:val="none" w:sz="0" w:space="0" w:color="auto"/>
                                <w:right w:val="none" w:sz="0" w:space="0" w:color="auto"/>
                              </w:divBdr>
                              <w:divsChild>
                                <w:div w:id="393696848">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138331">
      <w:bodyDiv w:val="1"/>
      <w:marLeft w:val="0"/>
      <w:marRight w:val="0"/>
      <w:marTop w:val="0"/>
      <w:marBottom w:val="0"/>
      <w:divBdr>
        <w:top w:val="none" w:sz="0" w:space="0" w:color="auto"/>
        <w:left w:val="none" w:sz="0" w:space="0" w:color="auto"/>
        <w:bottom w:val="none" w:sz="0" w:space="0" w:color="auto"/>
        <w:right w:val="none" w:sz="0" w:space="0" w:color="auto"/>
      </w:divBdr>
      <w:divsChild>
        <w:div w:id="18898191">
          <w:marLeft w:val="0"/>
          <w:marRight w:val="0"/>
          <w:marTop w:val="0"/>
          <w:marBottom w:val="0"/>
          <w:divBdr>
            <w:top w:val="none" w:sz="0" w:space="0" w:color="auto"/>
            <w:left w:val="none" w:sz="0" w:space="0" w:color="auto"/>
            <w:bottom w:val="none" w:sz="0" w:space="0" w:color="auto"/>
            <w:right w:val="none" w:sz="0" w:space="0" w:color="auto"/>
          </w:divBdr>
          <w:divsChild>
            <w:div w:id="819226441">
              <w:marLeft w:val="0"/>
              <w:marRight w:val="0"/>
              <w:marTop w:val="0"/>
              <w:marBottom w:val="0"/>
              <w:divBdr>
                <w:top w:val="none" w:sz="0" w:space="0" w:color="auto"/>
                <w:left w:val="none" w:sz="0" w:space="0" w:color="auto"/>
                <w:bottom w:val="none" w:sz="0" w:space="0" w:color="auto"/>
                <w:right w:val="none" w:sz="0" w:space="0" w:color="auto"/>
              </w:divBdr>
              <w:divsChild>
                <w:div w:id="1274675728">
                  <w:marLeft w:val="0"/>
                  <w:marRight w:val="0"/>
                  <w:marTop w:val="0"/>
                  <w:marBottom w:val="0"/>
                  <w:divBdr>
                    <w:top w:val="none" w:sz="0" w:space="0" w:color="auto"/>
                    <w:left w:val="none" w:sz="0" w:space="0" w:color="auto"/>
                    <w:bottom w:val="none" w:sz="0" w:space="0" w:color="auto"/>
                    <w:right w:val="none" w:sz="0" w:space="0" w:color="auto"/>
                  </w:divBdr>
                  <w:divsChild>
                    <w:div w:id="867837513">
                      <w:marLeft w:val="0"/>
                      <w:marRight w:val="0"/>
                      <w:marTop w:val="0"/>
                      <w:marBottom w:val="0"/>
                      <w:divBdr>
                        <w:top w:val="none" w:sz="0" w:space="0" w:color="auto"/>
                        <w:left w:val="none" w:sz="0" w:space="0" w:color="auto"/>
                        <w:bottom w:val="none" w:sz="0" w:space="0" w:color="auto"/>
                        <w:right w:val="none" w:sz="0" w:space="0" w:color="auto"/>
                      </w:divBdr>
                      <w:divsChild>
                        <w:div w:id="56823603">
                          <w:marLeft w:val="0"/>
                          <w:marRight w:val="0"/>
                          <w:marTop w:val="0"/>
                          <w:marBottom w:val="0"/>
                          <w:divBdr>
                            <w:top w:val="single" w:sz="4" w:space="0" w:color="828282"/>
                            <w:left w:val="single" w:sz="4" w:space="0" w:color="828282"/>
                            <w:bottom w:val="single" w:sz="4" w:space="0" w:color="828282"/>
                            <w:right w:val="single" w:sz="4" w:space="0" w:color="828282"/>
                          </w:divBdr>
                          <w:divsChild>
                            <w:div w:id="599721157">
                              <w:marLeft w:val="0"/>
                              <w:marRight w:val="0"/>
                              <w:marTop w:val="0"/>
                              <w:marBottom w:val="0"/>
                              <w:divBdr>
                                <w:top w:val="none" w:sz="0" w:space="0" w:color="auto"/>
                                <w:left w:val="none" w:sz="0" w:space="0" w:color="auto"/>
                                <w:bottom w:val="none" w:sz="0" w:space="0" w:color="auto"/>
                                <w:right w:val="none" w:sz="0" w:space="0" w:color="auto"/>
                              </w:divBdr>
                              <w:divsChild>
                                <w:div w:id="866260674">
                                  <w:marLeft w:val="0"/>
                                  <w:marRight w:val="0"/>
                                  <w:marTop w:val="0"/>
                                  <w:marBottom w:val="0"/>
                                  <w:divBdr>
                                    <w:top w:val="none" w:sz="0" w:space="0" w:color="auto"/>
                                    <w:left w:val="none" w:sz="0" w:space="0" w:color="auto"/>
                                    <w:bottom w:val="none" w:sz="0" w:space="0" w:color="auto"/>
                                    <w:right w:val="none" w:sz="0" w:space="0" w:color="auto"/>
                                  </w:divBdr>
                                  <w:divsChild>
                                    <w:div w:id="1595432958">
                                      <w:marLeft w:val="0"/>
                                      <w:marRight w:val="0"/>
                                      <w:marTop w:val="0"/>
                                      <w:marBottom w:val="0"/>
                                      <w:divBdr>
                                        <w:top w:val="none" w:sz="0" w:space="0" w:color="auto"/>
                                        <w:left w:val="none" w:sz="0" w:space="0" w:color="auto"/>
                                        <w:bottom w:val="none" w:sz="0" w:space="0" w:color="auto"/>
                                        <w:right w:val="none" w:sz="0" w:space="0" w:color="auto"/>
                                      </w:divBdr>
                                      <w:divsChild>
                                        <w:div w:id="844127955">
                                          <w:marLeft w:val="0"/>
                                          <w:marRight w:val="0"/>
                                          <w:marTop w:val="0"/>
                                          <w:marBottom w:val="0"/>
                                          <w:divBdr>
                                            <w:top w:val="none" w:sz="0" w:space="0" w:color="auto"/>
                                            <w:left w:val="none" w:sz="0" w:space="0" w:color="auto"/>
                                            <w:bottom w:val="none" w:sz="0" w:space="0" w:color="auto"/>
                                            <w:right w:val="none" w:sz="0" w:space="0" w:color="auto"/>
                                          </w:divBdr>
                                          <w:divsChild>
                                            <w:div w:id="1584072222">
                                              <w:marLeft w:val="0"/>
                                              <w:marRight w:val="0"/>
                                              <w:marTop w:val="0"/>
                                              <w:marBottom w:val="0"/>
                                              <w:divBdr>
                                                <w:top w:val="none" w:sz="0" w:space="0" w:color="auto"/>
                                                <w:left w:val="none" w:sz="0" w:space="0" w:color="auto"/>
                                                <w:bottom w:val="none" w:sz="0" w:space="0" w:color="auto"/>
                                                <w:right w:val="none" w:sz="0" w:space="0" w:color="auto"/>
                                              </w:divBdr>
                                              <w:divsChild>
                                                <w:div w:id="72765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871119">
      <w:bodyDiv w:val="1"/>
      <w:marLeft w:val="0"/>
      <w:marRight w:val="0"/>
      <w:marTop w:val="0"/>
      <w:marBottom w:val="0"/>
      <w:divBdr>
        <w:top w:val="none" w:sz="0" w:space="0" w:color="auto"/>
        <w:left w:val="none" w:sz="0" w:space="0" w:color="auto"/>
        <w:bottom w:val="none" w:sz="0" w:space="0" w:color="auto"/>
        <w:right w:val="none" w:sz="0" w:space="0" w:color="auto"/>
      </w:divBdr>
      <w:divsChild>
        <w:div w:id="2103405273">
          <w:marLeft w:val="0"/>
          <w:marRight w:val="0"/>
          <w:marTop w:val="0"/>
          <w:marBottom w:val="0"/>
          <w:divBdr>
            <w:top w:val="none" w:sz="0" w:space="0" w:color="auto"/>
            <w:left w:val="none" w:sz="0" w:space="0" w:color="auto"/>
            <w:bottom w:val="none" w:sz="0" w:space="0" w:color="auto"/>
            <w:right w:val="none" w:sz="0" w:space="0" w:color="auto"/>
          </w:divBdr>
          <w:divsChild>
            <w:div w:id="1926300902">
              <w:marLeft w:val="0"/>
              <w:marRight w:val="0"/>
              <w:marTop w:val="0"/>
              <w:marBottom w:val="305"/>
              <w:divBdr>
                <w:top w:val="none" w:sz="0" w:space="0" w:color="auto"/>
                <w:left w:val="none" w:sz="0" w:space="0" w:color="auto"/>
                <w:bottom w:val="none" w:sz="0" w:space="0" w:color="auto"/>
                <w:right w:val="none" w:sz="0" w:space="0" w:color="auto"/>
              </w:divBdr>
              <w:divsChild>
                <w:div w:id="820659344">
                  <w:marLeft w:val="0"/>
                  <w:marRight w:val="0"/>
                  <w:marTop w:val="0"/>
                  <w:marBottom w:val="0"/>
                  <w:divBdr>
                    <w:top w:val="none" w:sz="0" w:space="0" w:color="auto"/>
                    <w:left w:val="none" w:sz="0" w:space="0" w:color="auto"/>
                    <w:bottom w:val="none" w:sz="0" w:space="0" w:color="auto"/>
                    <w:right w:val="none" w:sz="0" w:space="0" w:color="auto"/>
                  </w:divBdr>
                  <w:divsChild>
                    <w:div w:id="1914856376">
                      <w:marLeft w:val="0"/>
                      <w:marRight w:val="0"/>
                      <w:marTop w:val="0"/>
                      <w:marBottom w:val="0"/>
                      <w:divBdr>
                        <w:top w:val="none" w:sz="0" w:space="0" w:color="auto"/>
                        <w:left w:val="single" w:sz="4" w:space="0" w:color="F69C31"/>
                        <w:bottom w:val="none" w:sz="0" w:space="0" w:color="auto"/>
                        <w:right w:val="none" w:sz="0" w:space="0" w:color="auto"/>
                      </w:divBdr>
                      <w:divsChild>
                        <w:div w:id="474685505">
                          <w:marLeft w:val="0"/>
                          <w:marRight w:val="0"/>
                          <w:marTop w:val="0"/>
                          <w:marBottom w:val="0"/>
                          <w:divBdr>
                            <w:top w:val="none" w:sz="0" w:space="0" w:color="auto"/>
                            <w:left w:val="none" w:sz="0" w:space="0" w:color="auto"/>
                            <w:bottom w:val="none" w:sz="0" w:space="0" w:color="auto"/>
                            <w:right w:val="none" w:sz="0" w:space="0" w:color="auto"/>
                          </w:divBdr>
                          <w:divsChild>
                            <w:div w:id="1507941149">
                              <w:marLeft w:val="0"/>
                              <w:marRight w:val="0"/>
                              <w:marTop w:val="0"/>
                              <w:marBottom w:val="0"/>
                              <w:divBdr>
                                <w:top w:val="none" w:sz="0" w:space="0" w:color="auto"/>
                                <w:left w:val="none" w:sz="0" w:space="0" w:color="auto"/>
                                <w:bottom w:val="none" w:sz="0" w:space="0" w:color="auto"/>
                                <w:right w:val="none" w:sz="0" w:space="0" w:color="auto"/>
                              </w:divBdr>
                              <w:divsChild>
                                <w:div w:id="1950963113">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B6AA0-957C-40A6-8EA3-73CDEA0B2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1282</Words>
  <Characters>7313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smydan</dc:creator>
  <cp:lastModifiedBy>Richard Murphy</cp:lastModifiedBy>
  <cp:revision>2</cp:revision>
  <cp:lastPrinted>2014-06-26T01:49:00Z</cp:lastPrinted>
  <dcterms:created xsi:type="dcterms:W3CDTF">2014-06-27T05:35:00Z</dcterms:created>
  <dcterms:modified xsi:type="dcterms:W3CDTF">2014-06-27T05:35:00Z</dcterms:modified>
</cp:coreProperties>
</file>