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B0A52" w14:textId="641DFD6B" w:rsidR="001A5FCB" w:rsidRPr="001A5FCB" w:rsidRDefault="001A5FCB" w:rsidP="001A5FCB">
      <w:pPr>
        <w:rPr>
          <w:b/>
          <w:u w:val="single"/>
        </w:rPr>
      </w:pPr>
      <w:r>
        <w:tab/>
      </w:r>
      <w:r>
        <w:tab/>
      </w:r>
      <w:r>
        <w:tab/>
      </w:r>
      <w:r>
        <w:tab/>
      </w:r>
      <w:r>
        <w:tab/>
      </w:r>
      <w:r>
        <w:tab/>
      </w:r>
      <w:r>
        <w:tab/>
      </w:r>
      <w:r>
        <w:tab/>
      </w:r>
      <w:r>
        <w:tab/>
      </w:r>
      <w:r>
        <w:tab/>
      </w:r>
      <w:bookmarkStart w:id="0" w:name="_GoBack"/>
      <w:bookmarkEnd w:id="0"/>
    </w:p>
    <w:p w14:paraId="605B0A53" w14:textId="77777777" w:rsidR="00A52910" w:rsidRPr="009A16C0" w:rsidRDefault="00A52910" w:rsidP="004D2C46">
      <w:pPr>
        <w:jc w:val="center"/>
        <w:rPr>
          <w:u w:val="single"/>
        </w:rPr>
      </w:pPr>
      <w:r w:rsidRPr="009A16C0">
        <w:rPr>
          <w:u w:val="single"/>
        </w:rPr>
        <w:t>EXPLANATORY STATEMENT</w:t>
      </w:r>
    </w:p>
    <w:p w14:paraId="605B0A54" w14:textId="77777777" w:rsidR="00A52910" w:rsidRDefault="00A52910" w:rsidP="004D2C46">
      <w:pPr>
        <w:jc w:val="center"/>
        <w:rPr>
          <w:u w:val="single"/>
        </w:rPr>
      </w:pPr>
    </w:p>
    <w:p w14:paraId="605B0A55" w14:textId="77777777" w:rsidR="002962F5" w:rsidRPr="003A43F0" w:rsidRDefault="002962F5" w:rsidP="002962F5">
      <w:pPr>
        <w:jc w:val="center"/>
        <w:rPr>
          <w:i/>
          <w:u w:val="single"/>
        </w:rPr>
      </w:pPr>
      <w:r w:rsidRPr="003A43F0">
        <w:rPr>
          <w:i/>
          <w:u w:val="single"/>
        </w:rPr>
        <w:t>Education Services for Overseas Students (Calculation</w:t>
      </w:r>
      <w:r w:rsidR="00841893" w:rsidRPr="003A43F0">
        <w:rPr>
          <w:i/>
          <w:u w:val="single"/>
        </w:rPr>
        <w:t xml:space="preserve"> of Refund</w:t>
      </w:r>
      <w:r w:rsidRPr="003A43F0">
        <w:rPr>
          <w:i/>
          <w:u w:val="single"/>
        </w:rPr>
        <w:t xml:space="preserve">) </w:t>
      </w:r>
      <w:r w:rsidR="00841893" w:rsidRPr="003A43F0">
        <w:rPr>
          <w:i/>
          <w:u w:val="single"/>
        </w:rPr>
        <w:t>Specification</w:t>
      </w:r>
      <w:r w:rsidRPr="003A43F0">
        <w:rPr>
          <w:i/>
          <w:u w:val="single"/>
        </w:rPr>
        <w:t xml:space="preserve"> 201</w:t>
      </w:r>
      <w:r w:rsidR="00841893" w:rsidRPr="003A43F0">
        <w:rPr>
          <w:i/>
          <w:u w:val="single"/>
        </w:rPr>
        <w:t>4</w:t>
      </w:r>
    </w:p>
    <w:p w14:paraId="605B0A56" w14:textId="77777777" w:rsidR="00A52910" w:rsidRPr="000751DD" w:rsidRDefault="00A52910" w:rsidP="003A43F0">
      <w:pPr>
        <w:pStyle w:val="Heading2"/>
        <w:rPr>
          <w:rFonts w:ascii="Times New Roman" w:hAnsi="Times New Roman" w:cs="Times New Roman"/>
        </w:rPr>
      </w:pPr>
      <w:r w:rsidRPr="000751DD">
        <w:rPr>
          <w:rFonts w:ascii="Times New Roman" w:hAnsi="Times New Roman" w:cs="Times New Roman"/>
        </w:rPr>
        <w:t>Summary</w:t>
      </w:r>
    </w:p>
    <w:p w14:paraId="605B0A57" w14:textId="77777777" w:rsidR="00971B0E" w:rsidRDefault="00151DB7" w:rsidP="00971B0E">
      <w:r>
        <w:t xml:space="preserve">The </w:t>
      </w:r>
      <w:r w:rsidR="002962F5" w:rsidRPr="004D17E9">
        <w:rPr>
          <w:i/>
        </w:rPr>
        <w:t xml:space="preserve">Education Services for </w:t>
      </w:r>
      <w:r w:rsidR="00C06BF0">
        <w:rPr>
          <w:i/>
        </w:rPr>
        <w:t xml:space="preserve">Overseas Students (Calculation </w:t>
      </w:r>
      <w:r w:rsidR="00841893">
        <w:rPr>
          <w:i/>
        </w:rPr>
        <w:t>of Refund</w:t>
      </w:r>
      <w:r w:rsidR="002962F5" w:rsidRPr="004D17E9">
        <w:rPr>
          <w:i/>
        </w:rPr>
        <w:t xml:space="preserve">) </w:t>
      </w:r>
      <w:r w:rsidR="00841893">
        <w:rPr>
          <w:i/>
        </w:rPr>
        <w:t>Specifica</w:t>
      </w:r>
      <w:r w:rsidR="002962F5" w:rsidRPr="004D17E9">
        <w:rPr>
          <w:i/>
        </w:rPr>
        <w:t>tion 201</w:t>
      </w:r>
      <w:r w:rsidR="00841893">
        <w:rPr>
          <w:i/>
        </w:rPr>
        <w:t>4</w:t>
      </w:r>
      <w:r w:rsidR="00062044">
        <w:t xml:space="preserve"> </w:t>
      </w:r>
      <w:r w:rsidR="00834E86">
        <w:t xml:space="preserve">(the specification) </w:t>
      </w:r>
      <w:r w:rsidR="00062044">
        <w:t>is</w:t>
      </w:r>
      <w:r w:rsidR="00DF4748">
        <w:t xml:space="preserve"> </w:t>
      </w:r>
      <w:r w:rsidR="00062044">
        <w:t xml:space="preserve">a legislative instrument </w:t>
      </w:r>
      <w:r w:rsidR="00A52910">
        <w:t xml:space="preserve"> made by the </w:t>
      </w:r>
      <w:r w:rsidR="00A52910" w:rsidRPr="0099365D">
        <w:t>Minister for  Education,</w:t>
      </w:r>
      <w:r w:rsidR="00A52910">
        <w:t xml:space="preserve"> pursuant to</w:t>
      </w:r>
      <w:r w:rsidR="00A52910" w:rsidRPr="0099365D">
        <w:t xml:space="preserve"> subsection</w:t>
      </w:r>
      <w:r w:rsidR="00075315">
        <w:t>s</w:t>
      </w:r>
      <w:r w:rsidR="00A52910" w:rsidRPr="0099365D">
        <w:t xml:space="preserve"> </w:t>
      </w:r>
      <w:r w:rsidR="001D2A1C" w:rsidRPr="00012097">
        <w:t>46D(7)</w:t>
      </w:r>
      <w:r w:rsidR="001D2A1C">
        <w:t xml:space="preserve"> and </w:t>
      </w:r>
      <w:r w:rsidR="00A52910" w:rsidRPr="0099365D">
        <w:t>4</w:t>
      </w:r>
      <w:r w:rsidR="00A52910">
        <w:t>7E</w:t>
      </w:r>
      <w:r w:rsidR="00A52910" w:rsidRPr="0099365D">
        <w:t>(</w:t>
      </w:r>
      <w:r w:rsidR="00A52910">
        <w:t>4</w:t>
      </w:r>
      <w:r w:rsidR="001D2A1C">
        <w:t xml:space="preserve">) </w:t>
      </w:r>
      <w:r w:rsidR="00A52910" w:rsidRPr="0099365D">
        <w:t xml:space="preserve">of the </w:t>
      </w:r>
      <w:r w:rsidR="00A52910" w:rsidRPr="0099365D">
        <w:rPr>
          <w:i/>
        </w:rPr>
        <w:t>Education Services for Overseas Students Act 2000</w:t>
      </w:r>
      <w:r w:rsidR="00A52910">
        <w:rPr>
          <w:i/>
        </w:rPr>
        <w:t xml:space="preserve"> </w:t>
      </w:r>
      <w:r w:rsidR="00A52910" w:rsidRPr="00FF206C">
        <w:t xml:space="preserve">(the </w:t>
      </w:r>
      <w:r w:rsidR="00ED43F9">
        <w:t xml:space="preserve">ESOS </w:t>
      </w:r>
      <w:r w:rsidR="00A52910" w:rsidRPr="00FF206C">
        <w:t>Act)</w:t>
      </w:r>
      <w:r w:rsidR="007240C2">
        <w:t>.</w:t>
      </w:r>
    </w:p>
    <w:p w14:paraId="605B0A58" w14:textId="77777777" w:rsidR="00971B0E" w:rsidRDefault="00971B0E" w:rsidP="00971B0E"/>
    <w:p w14:paraId="605B0A59" w14:textId="77777777" w:rsidR="00971B0E" w:rsidRPr="00971B0E" w:rsidRDefault="00062044" w:rsidP="00971B0E">
      <w:r>
        <w:t xml:space="preserve">As a consequence of the passage of the </w:t>
      </w:r>
      <w:r w:rsidR="002A0062" w:rsidRPr="002A0062">
        <w:rPr>
          <w:i/>
        </w:rPr>
        <w:t xml:space="preserve">Education Services for Overseas </w:t>
      </w:r>
      <w:r w:rsidR="004A236F">
        <w:rPr>
          <w:i/>
        </w:rPr>
        <w:t xml:space="preserve">Students </w:t>
      </w:r>
      <w:r w:rsidR="002A0062" w:rsidRPr="002A0062">
        <w:rPr>
          <w:i/>
        </w:rPr>
        <w:t>Amendment Bill 2013</w:t>
      </w:r>
      <w:r w:rsidR="002A0062">
        <w:rPr>
          <w:i/>
        </w:rPr>
        <w:t xml:space="preserve"> </w:t>
      </w:r>
      <w:r w:rsidR="00F441D3">
        <w:t>in February 2014</w:t>
      </w:r>
      <w:r w:rsidR="004266C1">
        <w:t>,</w:t>
      </w:r>
      <w:r w:rsidR="007F2751">
        <w:t xml:space="preserve"> t</w:t>
      </w:r>
      <w:r w:rsidR="00F441D3">
        <w:t xml:space="preserve">he </w:t>
      </w:r>
      <w:r w:rsidR="00075315">
        <w:t>le</w:t>
      </w:r>
      <w:r w:rsidR="00751E59">
        <w:t>gislative in</w:t>
      </w:r>
      <w:r w:rsidR="00C84D68">
        <w:t>s</w:t>
      </w:r>
      <w:r w:rsidR="00751E59">
        <w:t>truments that previously applied</w:t>
      </w:r>
      <w:r w:rsidR="002A0062">
        <w:t xml:space="preserve"> to refunds no longer </w:t>
      </w:r>
      <w:r w:rsidR="00424EF4">
        <w:t>al</w:t>
      </w:r>
      <w:r w:rsidR="007F2751">
        <w:t xml:space="preserve">ign with the new provisions of the </w:t>
      </w:r>
      <w:r>
        <w:t xml:space="preserve">ESOS </w:t>
      </w:r>
      <w:r w:rsidR="007F2751">
        <w:t>Act.</w:t>
      </w:r>
      <w:r w:rsidR="00C84D68">
        <w:t xml:space="preserve"> This</w:t>
      </w:r>
      <w:r w:rsidR="00075315">
        <w:t xml:space="preserve"> </w:t>
      </w:r>
      <w:r w:rsidR="00D12539">
        <w:t xml:space="preserve">specification </w:t>
      </w:r>
      <w:r w:rsidR="004266C1">
        <w:t>therefore</w:t>
      </w:r>
      <w:r w:rsidR="00FE0D1D">
        <w:t xml:space="preserve"> </w:t>
      </w:r>
      <w:r>
        <w:t xml:space="preserve">revokes </w:t>
      </w:r>
      <w:r w:rsidR="00FE0D1D">
        <w:t>the following</w:t>
      </w:r>
      <w:r w:rsidR="00971B0E">
        <w:t xml:space="preserve"> </w:t>
      </w:r>
      <w:r>
        <w:t xml:space="preserve">legislative </w:t>
      </w:r>
      <w:r w:rsidR="00971B0E">
        <w:t>instruments</w:t>
      </w:r>
      <w:r>
        <w:t xml:space="preserve"> that previously applied to refunds</w:t>
      </w:r>
      <w:r w:rsidR="00971B0E" w:rsidRPr="00971B0E">
        <w:t>:</w:t>
      </w:r>
    </w:p>
    <w:p w14:paraId="605B0A5A" w14:textId="77777777" w:rsidR="007F2751" w:rsidRDefault="00971B0E" w:rsidP="00971B0E">
      <w:pPr>
        <w:numPr>
          <w:ilvl w:val="0"/>
          <w:numId w:val="9"/>
        </w:numPr>
      </w:pPr>
      <w:r w:rsidRPr="00971B0E">
        <w:rPr>
          <w:i/>
        </w:rPr>
        <w:t>Education Services for Overseas Students (Calculation of unspent pre-paid fees – other cases) Determination 2012 (No. 1)</w:t>
      </w:r>
      <w:r w:rsidRPr="00971B0E">
        <w:t>;</w:t>
      </w:r>
    </w:p>
    <w:p w14:paraId="605B0A5B" w14:textId="77777777" w:rsidR="00971B0E" w:rsidRPr="00971B0E" w:rsidRDefault="00971B0E" w:rsidP="00971B0E">
      <w:pPr>
        <w:numPr>
          <w:ilvl w:val="0"/>
          <w:numId w:val="9"/>
        </w:numPr>
      </w:pPr>
      <w:r w:rsidRPr="007F2751">
        <w:rPr>
          <w:i/>
        </w:rPr>
        <w:t>Education Services for Overseas Students (Calculation of unspent pre-paid fees – provider default) Determination 2012 (No. 1)</w:t>
      </w:r>
      <w:r w:rsidRPr="00971B0E">
        <w:t>.</w:t>
      </w:r>
    </w:p>
    <w:p w14:paraId="605B0A5C" w14:textId="77777777" w:rsidR="00A52910" w:rsidRDefault="00A52910" w:rsidP="0099365D"/>
    <w:p w14:paraId="605B0A5D" w14:textId="77777777" w:rsidR="004266C1" w:rsidRDefault="002A0062" w:rsidP="007A0938">
      <w:r>
        <w:t>Th</w:t>
      </w:r>
      <w:r w:rsidR="003E5677">
        <w:t>e</w:t>
      </w:r>
      <w:r>
        <w:t xml:space="preserve"> </w:t>
      </w:r>
      <w:r w:rsidR="00062044">
        <w:t xml:space="preserve">specification </w:t>
      </w:r>
      <w:r>
        <w:t>combines th</w:t>
      </w:r>
      <w:r w:rsidR="00554735">
        <w:t>os</w:t>
      </w:r>
      <w:r>
        <w:t>e</w:t>
      </w:r>
      <w:r w:rsidR="004266C1">
        <w:t xml:space="preserve"> two </w:t>
      </w:r>
      <w:r>
        <w:t xml:space="preserve">instruments </w:t>
      </w:r>
      <w:r w:rsidR="004266C1">
        <w:t>to simplify the process for calculating refunds under different scenarios</w:t>
      </w:r>
      <w:r w:rsidR="007A15A8">
        <w:t>,</w:t>
      </w:r>
      <w:r w:rsidR="004266C1">
        <w:t xml:space="preserve"> in line with the Government’s tuition protection measures for international students.</w:t>
      </w:r>
      <w:r w:rsidR="00DB6CCC">
        <w:t xml:space="preserve"> </w:t>
      </w:r>
    </w:p>
    <w:p w14:paraId="605B0A5E" w14:textId="77777777" w:rsidR="00A52910" w:rsidRDefault="00A52910" w:rsidP="0099365D"/>
    <w:p w14:paraId="605B0A5F" w14:textId="77777777" w:rsidR="00AC5323" w:rsidRDefault="00A52910" w:rsidP="0099365D">
      <w:r>
        <w:t>The purpose of th</w:t>
      </w:r>
      <w:r w:rsidR="003E5677">
        <w:t>e</w:t>
      </w:r>
      <w:r>
        <w:t xml:space="preserve"> </w:t>
      </w:r>
      <w:r w:rsidR="00151DB7">
        <w:t xml:space="preserve">specification </w:t>
      </w:r>
      <w:r w:rsidR="00D12539">
        <w:t>is</w:t>
      </w:r>
      <w:r w:rsidR="00890712">
        <w:t xml:space="preserve"> to ensure that</w:t>
      </w:r>
      <w:r w:rsidR="00ED43F9">
        <w:t>,</w:t>
      </w:r>
      <w:r w:rsidR="00890712">
        <w:t xml:space="preserve"> where </w:t>
      </w:r>
      <w:r w:rsidR="00AC5323">
        <w:t xml:space="preserve">a provider is required to </w:t>
      </w:r>
      <w:r w:rsidR="00890712">
        <w:t>refund</w:t>
      </w:r>
      <w:r w:rsidR="00AC5323">
        <w:t xml:space="preserve"> a student as a result of</w:t>
      </w:r>
      <w:r w:rsidR="00890712">
        <w:t xml:space="preserve"> circumstances out</w:t>
      </w:r>
      <w:r w:rsidR="00DB6CCC">
        <w:t xml:space="preserve">side the </w:t>
      </w:r>
      <w:r w:rsidR="00A56AE3">
        <w:t>student’s control</w:t>
      </w:r>
      <w:r w:rsidR="00DB6CCC">
        <w:t>,</w:t>
      </w:r>
      <w:r w:rsidR="00D2224B">
        <w:t xml:space="preserve"> </w:t>
      </w:r>
      <w:r w:rsidR="00AC5323">
        <w:t>the calculation</w:t>
      </w:r>
      <w:r w:rsidR="00062044">
        <w:t xml:space="preserve"> of that refund</w:t>
      </w:r>
      <w:r w:rsidR="00AC5323">
        <w:t xml:space="preserve"> is </w:t>
      </w:r>
      <w:r w:rsidR="00890712">
        <w:t>consistent</w:t>
      </w:r>
      <w:r w:rsidR="00AC5323">
        <w:t xml:space="preserve"> and fair</w:t>
      </w:r>
      <w:r w:rsidR="00890712">
        <w:t xml:space="preserve">. In addition, </w:t>
      </w:r>
      <w:r w:rsidR="00AC5323">
        <w:t>th</w:t>
      </w:r>
      <w:r w:rsidR="00062044">
        <w:t>is</w:t>
      </w:r>
      <w:r w:rsidR="00AC5323">
        <w:t xml:space="preserve"> specification </w:t>
      </w:r>
      <w:r w:rsidR="00ED43F9">
        <w:t xml:space="preserve">provides clearer direction on </w:t>
      </w:r>
      <w:r w:rsidR="002A7B22">
        <w:t xml:space="preserve">the refund calculation methodology </w:t>
      </w:r>
      <w:r w:rsidR="00ED43F9">
        <w:t>where</w:t>
      </w:r>
      <w:r w:rsidR="00AC5323">
        <w:t xml:space="preserve"> the Tuition Protection Service (TPS) is required to </w:t>
      </w:r>
      <w:r w:rsidR="00062044">
        <w:t xml:space="preserve">refund </w:t>
      </w:r>
      <w:r w:rsidR="00AC5323">
        <w:t>students in situations where a provi</w:t>
      </w:r>
      <w:r w:rsidR="00890712">
        <w:t xml:space="preserve">der </w:t>
      </w:r>
      <w:r w:rsidR="00AC5323">
        <w:t>has failed</w:t>
      </w:r>
      <w:r w:rsidR="00890712">
        <w:t xml:space="preserve"> to discharge its o</w:t>
      </w:r>
      <w:r w:rsidR="00AC5323">
        <w:t xml:space="preserve">bligations under the </w:t>
      </w:r>
      <w:r w:rsidR="00ED43F9">
        <w:t xml:space="preserve">ESOS </w:t>
      </w:r>
      <w:r w:rsidR="00AC5323">
        <w:t>Act.</w:t>
      </w:r>
    </w:p>
    <w:p w14:paraId="605B0A60" w14:textId="77777777" w:rsidR="00AC5323" w:rsidRDefault="00AC5323" w:rsidP="0099365D"/>
    <w:p w14:paraId="605B0A61" w14:textId="77777777" w:rsidR="00A52910" w:rsidRDefault="00AC5323" w:rsidP="0099365D">
      <w:r>
        <w:t>T</w:t>
      </w:r>
      <w:r w:rsidR="003E5677">
        <w:t>he</w:t>
      </w:r>
      <w:r>
        <w:t xml:space="preserve"> specification outlines the </w:t>
      </w:r>
      <w:r w:rsidR="00D12539" w:rsidRPr="00012097">
        <w:t>method for working out the amount of ‘unspent</w:t>
      </w:r>
      <w:r w:rsidR="00D12539">
        <w:t xml:space="preserve"> tuition</w:t>
      </w:r>
      <w:r w:rsidR="00D12539" w:rsidRPr="00012097">
        <w:t xml:space="preserve"> fees’ for the purposes of calculating refunds in cases </w:t>
      </w:r>
      <w:r w:rsidR="00D12539">
        <w:t>where a provider</w:t>
      </w:r>
      <w:r w:rsidR="00A56AE3">
        <w:t xml:space="preserve"> is unable to deliver the course to</w:t>
      </w:r>
      <w:r w:rsidR="00994D45">
        <w:t xml:space="preserve"> a</w:t>
      </w:r>
      <w:r w:rsidR="00433E53">
        <w:t xml:space="preserve"> </w:t>
      </w:r>
      <w:r w:rsidR="00A56AE3">
        <w:t xml:space="preserve">student </w:t>
      </w:r>
      <w:r w:rsidR="004C7896">
        <w:t>(</w:t>
      </w:r>
      <w:r w:rsidR="00ED43F9">
        <w:t xml:space="preserve">that is, in instances of </w:t>
      </w:r>
      <w:r w:rsidR="004C7896">
        <w:t>provider default)</w:t>
      </w:r>
      <w:r>
        <w:t xml:space="preserve">. </w:t>
      </w:r>
      <w:r w:rsidR="00ED43F9">
        <w:t>I</w:t>
      </w:r>
      <w:r w:rsidR="00D12539">
        <w:t>t</w:t>
      </w:r>
      <w:r w:rsidR="00ED43F9">
        <w:t xml:space="preserve"> also</w:t>
      </w:r>
      <w:r w:rsidR="00D12539">
        <w:t xml:space="preserve"> specifies </w:t>
      </w:r>
      <w:r w:rsidR="002A0062">
        <w:t>the</w:t>
      </w:r>
      <w:r w:rsidR="00A52910">
        <w:t xml:space="preserve"> method for calculating the </w:t>
      </w:r>
      <w:r w:rsidR="004D17E9">
        <w:t xml:space="preserve">refund </w:t>
      </w:r>
      <w:r w:rsidR="00A52910">
        <w:t xml:space="preserve">amount </w:t>
      </w:r>
      <w:r w:rsidR="004D17E9">
        <w:t>payable to students</w:t>
      </w:r>
      <w:r w:rsidR="00A52910">
        <w:t xml:space="preserve"> in cases where the student defaults</w:t>
      </w:r>
      <w:r w:rsidR="00052FAB">
        <w:t xml:space="preserve"> </w:t>
      </w:r>
      <w:r w:rsidR="00052FAB" w:rsidRPr="004C08F4">
        <w:rPr>
          <w:b/>
        </w:rPr>
        <w:t>but</w:t>
      </w:r>
      <w:r w:rsidR="00052FAB">
        <w:t xml:space="preserve"> </w:t>
      </w:r>
      <w:r w:rsidR="002A7B22">
        <w:t xml:space="preserve">the </w:t>
      </w:r>
      <w:r w:rsidR="00A56AE3">
        <w:t xml:space="preserve">provider </w:t>
      </w:r>
      <w:r w:rsidR="002A7B22">
        <w:t xml:space="preserve">has </w:t>
      </w:r>
      <w:r w:rsidR="00A56AE3">
        <w:t>fail</w:t>
      </w:r>
      <w:r w:rsidR="002A7B22">
        <w:t>ed</w:t>
      </w:r>
      <w:r w:rsidR="00A56AE3">
        <w:t xml:space="preserve"> to enter into a </w:t>
      </w:r>
      <w:r w:rsidR="008832D5">
        <w:t xml:space="preserve">compliant </w:t>
      </w:r>
      <w:r w:rsidR="00A56AE3">
        <w:t>written agreement with the student or</w:t>
      </w:r>
      <w:r w:rsidR="00A52910">
        <w:t xml:space="preserve"> </w:t>
      </w:r>
      <w:r w:rsidR="007934A5">
        <w:t xml:space="preserve">where </w:t>
      </w:r>
      <w:r w:rsidR="00A52910">
        <w:t>the</w:t>
      </w:r>
      <w:r w:rsidR="00A56AE3">
        <w:t xml:space="preserve"> d</w:t>
      </w:r>
      <w:r w:rsidR="00A52910">
        <w:t>efault is</w:t>
      </w:r>
      <w:r w:rsidR="00A56AE3">
        <w:t xml:space="preserve"> a result of the student being </w:t>
      </w:r>
      <w:r w:rsidR="00A52910">
        <w:t>refused a visa</w:t>
      </w:r>
      <w:r w:rsidR="004C7896">
        <w:t xml:space="preserve"> (</w:t>
      </w:r>
      <w:r w:rsidR="00ED43F9">
        <w:t xml:space="preserve">that is, </w:t>
      </w:r>
      <w:r w:rsidR="004C7896">
        <w:t>student default – refund in other cases)</w:t>
      </w:r>
      <w:r w:rsidR="00A52910">
        <w:t xml:space="preserve">. </w:t>
      </w:r>
    </w:p>
    <w:p w14:paraId="605B0A62" w14:textId="77777777" w:rsidR="00435D59" w:rsidRDefault="00435D59" w:rsidP="0099365D"/>
    <w:p w14:paraId="605B0A63" w14:textId="77777777" w:rsidR="00A52910" w:rsidRPr="009A16C0" w:rsidRDefault="00435D59" w:rsidP="00FF206C">
      <w:r>
        <w:t>In all cases, the amounts for refunds calculated under the specification are minimum amounts, and providers are able to pay higher refunds if they wish to.</w:t>
      </w:r>
    </w:p>
    <w:p w14:paraId="605B0A64" w14:textId="77777777" w:rsidR="00A52910" w:rsidRPr="000751DD" w:rsidRDefault="00A52910" w:rsidP="003A43F0">
      <w:pPr>
        <w:pStyle w:val="Heading2"/>
        <w:rPr>
          <w:rFonts w:ascii="Times New Roman" w:hAnsi="Times New Roman" w:cs="Times New Roman"/>
        </w:rPr>
      </w:pPr>
      <w:r w:rsidRPr="000751DD">
        <w:rPr>
          <w:rFonts w:ascii="Times New Roman" w:hAnsi="Times New Roman" w:cs="Times New Roman"/>
        </w:rPr>
        <w:t>Authority</w:t>
      </w:r>
    </w:p>
    <w:p w14:paraId="605B0A65" w14:textId="77777777" w:rsidR="00D12539" w:rsidRPr="00012097" w:rsidRDefault="007C1976" w:rsidP="00D12539">
      <w:r w:rsidRPr="00963AF8">
        <w:t xml:space="preserve">Subsection </w:t>
      </w:r>
      <w:r w:rsidR="004C7896">
        <w:t>46D(7)</w:t>
      </w:r>
      <w:r w:rsidR="004C7896" w:rsidRPr="004C7896">
        <w:t xml:space="preserve"> </w:t>
      </w:r>
      <w:r w:rsidR="00224B8E">
        <w:t xml:space="preserve">of the ESOS Act </w:t>
      </w:r>
      <w:r w:rsidR="004C7896" w:rsidRPr="00963AF8">
        <w:t>provide</w:t>
      </w:r>
      <w:r w:rsidR="00C94E4D">
        <w:t>s</w:t>
      </w:r>
      <w:r w:rsidR="004C7896" w:rsidRPr="00963AF8">
        <w:t xml:space="preserve"> that the Minister may make a legislative instrument specifying the method for working out the amount </w:t>
      </w:r>
      <w:r w:rsidR="004C7896">
        <w:t>of unspent</w:t>
      </w:r>
      <w:r w:rsidR="004C7896" w:rsidRPr="00012097">
        <w:t xml:space="preserve"> tuition fees for the purposes of subsection </w:t>
      </w:r>
      <w:r w:rsidR="004C7896">
        <w:t>46D</w:t>
      </w:r>
      <w:r w:rsidR="004C7896" w:rsidRPr="00012097">
        <w:t>(6)</w:t>
      </w:r>
      <w:r w:rsidR="004C7896">
        <w:t xml:space="preserve"> of the </w:t>
      </w:r>
      <w:r w:rsidR="004762BA">
        <w:t xml:space="preserve">ESOS </w:t>
      </w:r>
      <w:r w:rsidR="004C7896">
        <w:t xml:space="preserve">Act. Similarly, subsection </w:t>
      </w:r>
      <w:r w:rsidRPr="00963AF8">
        <w:t>47E(4)</w:t>
      </w:r>
      <w:r w:rsidR="00D12539">
        <w:t xml:space="preserve"> </w:t>
      </w:r>
      <w:r w:rsidRPr="00963AF8">
        <w:t>of the</w:t>
      </w:r>
      <w:r w:rsidR="00D12539">
        <w:t xml:space="preserve"> </w:t>
      </w:r>
      <w:r w:rsidR="004762BA">
        <w:t xml:space="preserve">ESOS </w:t>
      </w:r>
      <w:r w:rsidR="00D12539">
        <w:t>Act</w:t>
      </w:r>
      <w:r w:rsidRPr="00963AF8">
        <w:t xml:space="preserve"> provides that the Minister may make a legislative instrument specifying the method </w:t>
      </w:r>
      <w:r w:rsidR="004C7896">
        <w:t xml:space="preserve"> for working out the amount to</w:t>
      </w:r>
      <w:r w:rsidR="002F4A98">
        <w:t xml:space="preserve"> </w:t>
      </w:r>
      <w:r w:rsidRPr="00963AF8">
        <w:t>be refunded to</w:t>
      </w:r>
      <w:r w:rsidR="002A0062">
        <w:t xml:space="preserve"> a student for the purposes of </w:t>
      </w:r>
      <w:r w:rsidRPr="00963AF8">
        <w:t xml:space="preserve">subsection 47E(2) of the </w:t>
      </w:r>
      <w:r w:rsidR="004762BA">
        <w:t xml:space="preserve">ESOS </w:t>
      </w:r>
      <w:r w:rsidRPr="00963AF8">
        <w:t>Act</w:t>
      </w:r>
      <w:r w:rsidR="002F4A98">
        <w:t>.</w:t>
      </w:r>
    </w:p>
    <w:p w14:paraId="605B0A66" w14:textId="77777777" w:rsidR="00A52910" w:rsidRPr="00050EFB" w:rsidRDefault="00A52910" w:rsidP="004D2C46"/>
    <w:p w14:paraId="605B0A67" w14:textId="77777777" w:rsidR="00A52910" w:rsidRPr="000751DD" w:rsidRDefault="00A52910" w:rsidP="003A43F0">
      <w:pPr>
        <w:pStyle w:val="Heading2"/>
        <w:rPr>
          <w:rFonts w:ascii="Times New Roman" w:hAnsi="Times New Roman" w:cs="Times New Roman"/>
        </w:rPr>
      </w:pPr>
      <w:r w:rsidRPr="000751DD">
        <w:rPr>
          <w:rFonts w:ascii="Times New Roman" w:hAnsi="Times New Roman" w:cs="Times New Roman"/>
        </w:rPr>
        <w:lastRenderedPageBreak/>
        <w:t>Purpose and operation</w:t>
      </w:r>
    </w:p>
    <w:p w14:paraId="605B0A68" w14:textId="77777777" w:rsidR="00C94E4D" w:rsidRPr="000751DD" w:rsidRDefault="00C94E4D" w:rsidP="000751DD">
      <w:pPr>
        <w:pStyle w:val="Heading2"/>
        <w:rPr>
          <w:rFonts w:ascii="Times New Roman" w:hAnsi="Times New Roman" w:cs="Times New Roman"/>
          <w:i/>
          <w:sz w:val="24"/>
          <w:szCs w:val="24"/>
        </w:rPr>
      </w:pPr>
      <w:r w:rsidRPr="000751DD">
        <w:rPr>
          <w:rFonts w:ascii="Times New Roman" w:hAnsi="Times New Roman" w:cs="Times New Roman"/>
          <w:i/>
          <w:sz w:val="24"/>
          <w:szCs w:val="24"/>
        </w:rPr>
        <w:t>Provider default</w:t>
      </w:r>
      <w:r w:rsidR="00A75FCD" w:rsidRPr="000751DD">
        <w:rPr>
          <w:rFonts w:ascii="Times New Roman" w:hAnsi="Times New Roman" w:cs="Times New Roman"/>
          <w:i/>
          <w:sz w:val="24"/>
          <w:szCs w:val="24"/>
        </w:rPr>
        <w:t xml:space="preserve"> calculation</w:t>
      </w:r>
    </w:p>
    <w:p w14:paraId="605B0A69" w14:textId="77777777" w:rsidR="00224B8E" w:rsidRDefault="00224B8E" w:rsidP="00FF206C">
      <w:r>
        <w:t>Where a registered provider has defaulted in providing a course to a student (as defined in section 46A of the</w:t>
      </w:r>
      <w:r w:rsidR="00834E86">
        <w:t xml:space="preserve"> ESOS</w:t>
      </w:r>
      <w:r>
        <w:t xml:space="preserve"> Act), section 46D of the Act requires the provider</w:t>
      </w:r>
      <w:r w:rsidR="00834E86">
        <w:t xml:space="preserve"> to either provide the student with an alternative acceptable course, or pay a refund of unspent tuition fees for the course.</w:t>
      </w:r>
    </w:p>
    <w:p w14:paraId="605B0A6A" w14:textId="77777777" w:rsidR="00834E86" w:rsidRDefault="00834E86" w:rsidP="00FF206C"/>
    <w:p w14:paraId="605B0A6B" w14:textId="77777777" w:rsidR="00834E86" w:rsidRDefault="00834E86" w:rsidP="00FF206C">
      <w:r>
        <w:t xml:space="preserve">Where the provider is paying the student a refund, </w:t>
      </w:r>
      <w:r w:rsidR="007934A5" w:rsidRPr="00012097">
        <w:t>subsectio</w:t>
      </w:r>
      <w:r w:rsidR="007934A5">
        <w:t xml:space="preserve">n 46D(6) of the </w:t>
      </w:r>
      <w:r w:rsidR="004762BA">
        <w:t xml:space="preserve">ESOS </w:t>
      </w:r>
      <w:r w:rsidR="007934A5">
        <w:t>Act</w:t>
      </w:r>
      <w:r>
        <w:t xml:space="preserve"> provides that the amount of the refund is worked out in accordance with the method specified in a legislative instrument made under subsection 46D(7).</w:t>
      </w:r>
    </w:p>
    <w:p w14:paraId="605B0A6C" w14:textId="77777777" w:rsidR="00834E86" w:rsidRDefault="00834E86" w:rsidP="00FF206C"/>
    <w:p w14:paraId="605B0A6D" w14:textId="77777777" w:rsidR="001A710C" w:rsidRDefault="00834E86" w:rsidP="00FF206C">
      <w:r>
        <w:t xml:space="preserve">The specification </w:t>
      </w:r>
      <w:r w:rsidR="001A710C">
        <w:t xml:space="preserve">provides that the amount of the refund for the purposes of subsection 46D(6) of the Act is </w:t>
      </w:r>
      <w:r w:rsidR="00435D59">
        <w:t>that proportion of the tuition fees received by the provider that represents the part of the course that will not be delivered to the student</w:t>
      </w:r>
      <w:r w:rsidR="00554735">
        <w:t xml:space="preserve"> (and for which the student has paid)</w:t>
      </w:r>
      <w:r w:rsidR="00435D59">
        <w:t xml:space="preserve"> because of the provider’s default.  Mathematically, this is t</w:t>
      </w:r>
      <w:r w:rsidR="001A710C">
        <w:t>he product of the weekly tuition fees for the course</w:t>
      </w:r>
      <w:r w:rsidR="00554735">
        <w:t xml:space="preserve"> (as defined in section 5 of the specification)</w:t>
      </w:r>
      <w:r w:rsidR="001A710C">
        <w:t xml:space="preserve"> and the number of weeks remaining in the </w:t>
      </w:r>
      <w:r w:rsidR="00554735">
        <w:t xml:space="preserve">paid portion of the </w:t>
      </w:r>
      <w:r w:rsidR="001A710C">
        <w:t>course after the day on which the relevant default occurred</w:t>
      </w:r>
      <w:r w:rsidR="00554735">
        <w:t xml:space="preserve"> (as set out in section 6 of the specification)</w:t>
      </w:r>
      <w:r w:rsidR="00A8398F">
        <w:t>.</w:t>
      </w:r>
    </w:p>
    <w:p w14:paraId="605B0A6E" w14:textId="77777777" w:rsidR="00435D59" w:rsidRDefault="00435D59" w:rsidP="00FF206C"/>
    <w:p w14:paraId="605B0A6F" w14:textId="77777777" w:rsidR="007934A5" w:rsidRPr="000751DD" w:rsidRDefault="001A710C" w:rsidP="007934A5">
      <w:r>
        <w:t>Note that if the provider does not pay the refund, it may be paid by the TPS Director out of the Overseas Students Tuition Fund (OSTF), under Division 4 of Part 5 of the ESOS Act.</w:t>
      </w:r>
    </w:p>
    <w:p w14:paraId="605B0A70" w14:textId="77777777" w:rsidR="007934A5" w:rsidRPr="000751DD" w:rsidRDefault="00C94E4D" w:rsidP="000751DD">
      <w:pPr>
        <w:pStyle w:val="Heading2"/>
        <w:rPr>
          <w:rFonts w:ascii="Times New Roman" w:hAnsi="Times New Roman" w:cs="Times New Roman"/>
          <w:i/>
          <w:sz w:val="24"/>
          <w:szCs w:val="24"/>
        </w:rPr>
      </w:pPr>
      <w:r w:rsidRPr="000751DD">
        <w:rPr>
          <w:rFonts w:ascii="Times New Roman" w:hAnsi="Times New Roman" w:cs="Times New Roman"/>
          <w:i/>
          <w:sz w:val="24"/>
          <w:szCs w:val="24"/>
        </w:rPr>
        <w:t xml:space="preserve">Student default </w:t>
      </w:r>
      <w:r w:rsidR="00A75FCD" w:rsidRPr="000751DD">
        <w:rPr>
          <w:rFonts w:ascii="Times New Roman" w:hAnsi="Times New Roman" w:cs="Times New Roman"/>
          <w:i/>
          <w:sz w:val="24"/>
          <w:szCs w:val="24"/>
        </w:rPr>
        <w:t>calculation</w:t>
      </w:r>
      <w:r w:rsidR="00ED43F9" w:rsidRPr="000751DD">
        <w:rPr>
          <w:rFonts w:ascii="Times New Roman" w:hAnsi="Times New Roman" w:cs="Times New Roman"/>
          <w:i/>
          <w:sz w:val="24"/>
          <w:szCs w:val="24"/>
        </w:rPr>
        <w:t xml:space="preserve"> </w:t>
      </w:r>
      <w:r w:rsidRPr="000751DD">
        <w:rPr>
          <w:rFonts w:ascii="Times New Roman" w:hAnsi="Times New Roman" w:cs="Times New Roman"/>
          <w:i/>
          <w:sz w:val="24"/>
          <w:szCs w:val="24"/>
        </w:rPr>
        <w:t>– refund in other cases</w:t>
      </w:r>
    </w:p>
    <w:p w14:paraId="605B0A71" w14:textId="77777777" w:rsidR="00A8398F" w:rsidRDefault="00A52910" w:rsidP="00FF206C">
      <w:r>
        <w:t xml:space="preserve">Under section 47B of the </w:t>
      </w:r>
      <w:r w:rsidR="000B1889">
        <w:t xml:space="preserve">ESOS </w:t>
      </w:r>
      <w:r>
        <w:t>Act, providers are required to enter into written agreements with each international student</w:t>
      </w:r>
      <w:r w:rsidR="00B94CA5">
        <w:t xml:space="preserve">. </w:t>
      </w:r>
      <w:r w:rsidR="001E2280">
        <w:t>The written agreement must set out the refund requirements that apply if the student defaults.</w:t>
      </w:r>
      <w:r w:rsidR="00F24651">
        <w:t xml:space="preserve"> Section 47D</w:t>
      </w:r>
      <w:r w:rsidR="001E2280">
        <w:t xml:space="preserve"> of the</w:t>
      </w:r>
      <w:r w:rsidR="00C56B58">
        <w:t xml:space="preserve"> </w:t>
      </w:r>
      <w:r w:rsidR="001E2280">
        <w:t>Act</w:t>
      </w:r>
      <w:r w:rsidR="00F24651">
        <w:t xml:space="preserve"> </w:t>
      </w:r>
      <w:r w:rsidR="00A8398F">
        <w:t xml:space="preserve">generally </w:t>
      </w:r>
      <w:r w:rsidR="00F24651">
        <w:t>requires providers to</w:t>
      </w:r>
      <w:r w:rsidR="00A8398F">
        <w:t xml:space="preserve"> pay</w:t>
      </w:r>
      <w:r w:rsidR="00F24651">
        <w:t xml:space="preserve"> refund</w:t>
      </w:r>
      <w:r w:rsidR="00A8398F">
        <w:t>s to</w:t>
      </w:r>
      <w:r w:rsidR="00F24651">
        <w:t xml:space="preserve"> </w:t>
      </w:r>
      <w:r w:rsidR="00A8398F">
        <w:t xml:space="preserve">defaulting </w:t>
      </w:r>
      <w:r w:rsidR="00F24651">
        <w:t>overseas students or intending overseas students in accordance with the written agreement</w:t>
      </w:r>
      <w:r w:rsidR="00565311">
        <w:t>.</w:t>
      </w:r>
    </w:p>
    <w:p w14:paraId="605B0A72" w14:textId="77777777" w:rsidR="00A8398F" w:rsidRDefault="00A8398F" w:rsidP="00FF206C"/>
    <w:p w14:paraId="605B0A73" w14:textId="77777777" w:rsidR="004C08F4" w:rsidRPr="000751DD" w:rsidRDefault="00A8398F" w:rsidP="00FF206C">
      <w:r>
        <w:t xml:space="preserve">However, </w:t>
      </w:r>
      <w:r w:rsidR="001E2280" w:rsidRPr="00565311">
        <w:t>except</w:t>
      </w:r>
      <w:r w:rsidR="00565311">
        <w:t>ions to a student being refunded in accordance with the written agreement are out</w:t>
      </w:r>
      <w:r w:rsidR="004762BA">
        <w:t>lined in sections 47D(5) and 47E(1)(b)(i)</w:t>
      </w:r>
      <w:r w:rsidR="002B3900">
        <w:t xml:space="preserve"> of the ESOS Act </w:t>
      </w:r>
      <w:r w:rsidR="004C08F4">
        <w:t xml:space="preserve">—that </w:t>
      </w:r>
      <w:r w:rsidR="004762BA">
        <w:t xml:space="preserve"> is,</w:t>
      </w:r>
      <w:r w:rsidR="001E2280" w:rsidRPr="00565311">
        <w:t xml:space="preserve"> </w:t>
      </w:r>
      <w:r w:rsidR="001E2280">
        <w:t>where the student has been refused a student visa</w:t>
      </w:r>
      <w:r w:rsidR="00565311">
        <w:t xml:space="preserve">, </w:t>
      </w:r>
      <w:r w:rsidR="001E2280">
        <w:t>or where a provider has not entered into an agreement with the student that meets the requirements of section 47B</w:t>
      </w:r>
      <w:r w:rsidR="00C56B58">
        <w:t xml:space="preserve"> of the Act</w:t>
      </w:r>
      <w:r w:rsidR="00565311">
        <w:t>. In these instances</w:t>
      </w:r>
      <w:r w:rsidR="002B3900">
        <w:t>, the provider must pay the student a refund under section 47E of the Act, worked out in accordance with the method specified in the legislative instrument made under subsection 47E(4).</w:t>
      </w:r>
      <w:r w:rsidR="00B94CA5">
        <w:t xml:space="preserve"> </w:t>
      </w:r>
      <w:r w:rsidR="002B3900">
        <w:t>T</w:t>
      </w:r>
      <w:r w:rsidR="00B94CA5">
        <w:t>h</w:t>
      </w:r>
      <w:r w:rsidR="004C08F4">
        <w:t>e</w:t>
      </w:r>
      <w:r w:rsidR="00A52910">
        <w:t xml:space="preserve"> </w:t>
      </w:r>
      <w:r w:rsidR="00B94CA5">
        <w:t>specification outlines</w:t>
      </w:r>
      <w:r w:rsidR="00A52910">
        <w:t xml:space="preserve"> the method to be used for calculating </w:t>
      </w:r>
      <w:r w:rsidR="002F4A98">
        <w:t xml:space="preserve">the </w:t>
      </w:r>
      <w:r w:rsidR="00ED43F9">
        <w:t xml:space="preserve">amount of </w:t>
      </w:r>
      <w:r w:rsidR="002F4A98">
        <w:t>refund</w:t>
      </w:r>
      <w:r w:rsidR="00ED43F9">
        <w:t xml:space="preserve"> that should be paid to the student. </w:t>
      </w:r>
      <w:r w:rsidR="00ED43F9" w:rsidDel="00ED43F9">
        <w:t xml:space="preserve"> </w:t>
      </w:r>
    </w:p>
    <w:p w14:paraId="605B0A74" w14:textId="77777777" w:rsidR="009009E4" w:rsidRPr="000751DD" w:rsidRDefault="00F032BD" w:rsidP="000751DD">
      <w:pPr>
        <w:pStyle w:val="Heading2"/>
        <w:rPr>
          <w:rFonts w:ascii="Times New Roman" w:hAnsi="Times New Roman" w:cs="Times New Roman"/>
          <w:i/>
          <w:sz w:val="24"/>
          <w:szCs w:val="24"/>
        </w:rPr>
      </w:pPr>
      <w:r w:rsidRPr="000751DD">
        <w:rPr>
          <w:rFonts w:ascii="Times New Roman" w:hAnsi="Times New Roman" w:cs="Times New Roman"/>
          <w:i/>
          <w:sz w:val="24"/>
          <w:szCs w:val="24"/>
        </w:rPr>
        <w:t>Provider does not enter into a compliant written agreement</w:t>
      </w:r>
    </w:p>
    <w:p w14:paraId="605B0A75" w14:textId="77777777" w:rsidR="0072754A" w:rsidRDefault="0072754A" w:rsidP="00FF206C">
      <w:r>
        <w:t>Where a provider fails to enter into a written agreement with a student in relation to refunds of course fees, the specification provides that the student be refunded using the same calculation as the provider default method</w:t>
      </w:r>
      <w:r w:rsidR="002B3900">
        <w:t xml:space="preserve"> – that is, the amount of the refund is the product of the weekly tuition fees for the course and the number of weeks remaining in the course after the day on which the relevant default occurred</w:t>
      </w:r>
      <w:r>
        <w:t xml:space="preserve">.  The rationale for using this calculation is that the provider’s failure to enter into an agreement with the student </w:t>
      </w:r>
      <w:r w:rsidR="002B3900">
        <w:t xml:space="preserve">is a failure by </w:t>
      </w:r>
      <w:r>
        <w:t xml:space="preserve">the provider </w:t>
      </w:r>
      <w:r w:rsidR="002B3900">
        <w:t xml:space="preserve">to satisfy </w:t>
      </w:r>
      <w:r>
        <w:t>its obligation</w:t>
      </w:r>
      <w:r w:rsidR="002B3900">
        <w:t xml:space="preserve"> under section 47B of the Act,</w:t>
      </w:r>
      <w:r>
        <w:t xml:space="preserve"> and therefore the consequence should be commensurate with the provider default provisions. </w:t>
      </w:r>
    </w:p>
    <w:p w14:paraId="605B0A76" w14:textId="77777777" w:rsidR="009E7A69" w:rsidRDefault="009E7A69" w:rsidP="00FF206C"/>
    <w:p w14:paraId="605B0A77" w14:textId="77777777" w:rsidR="009E7A69" w:rsidRDefault="009E7A69" w:rsidP="00FF206C"/>
    <w:p w14:paraId="605B0A78" w14:textId="77777777" w:rsidR="00A52910" w:rsidRDefault="00A52910" w:rsidP="00FF206C"/>
    <w:p w14:paraId="605B0A79" w14:textId="77777777" w:rsidR="009009E4" w:rsidRPr="009E7A69" w:rsidRDefault="00ED43F9" w:rsidP="009E7A69">
      <w:pPr>
        <w:pStyle w:val="Heading2"/>
        <w:rPr>
          <w:rFonts w:ascii="Times New Roman" w:hAnsi="Times New Roman" w:cs="Times New Roman"/>
          <w:i/>
          <w:sz w:val="24"/>
          <w:szCs w:val="24"/>
        </w:rPr>
      </w:pPr>
      <w:r w:rsidRPr="009E7A69">
        <w:rPr>
          <w:rFonts w:ascii="Times New Roman" w:hAnsi="Times New Roman" w:cs="Times New Roman"/>
          <w:i/>
          <w:sz w:val="24"/>
          <w:szCs w:val="24"/>
        </w:rPr>
        <w:lastRenderedPageBreak/>
        <w:t xml:space="preserve">Student visa is refused but student has paid </w:t>
      </w:r>
      <w:r w:rsidR="00062044" w:rsidRPr="009E7A69">
        <w:rPr>
          <w:rFonts w:ascii="Times New Roman" w:hAnsi="Times New Roman" w:cs="Times New Roman"/>
          <w:i/>
          <w:sz w:val="24"/>
          <w:szCs w:val="24"/>
        </w:rPr>
        <w:t>fees</w:t>
      </w:r>
    </w:p>
    <w:p w14:paraId="605B0A7A" w14:textId="77777777" w:rsidR="002B3900" w:rsidRDefault="00A52910" w:rsidP="00FF206C">
      <w:r>
        <w:t xml:space="preserve">The </w:t>
      </w:r>
      <w:r w:rsidR="00A9600F">
        <w:t xml:space="preserve">refund </w:t>
      </w:r>
      <w:r>
        <w:t xml:space="preserve">calculation method </w:t>
      </w:r>
      <w:r w:rsidR="0072754A">
        <w:t>for situations where a student is refused a visa is</w:t>
      </w:r>
      <w:r>
        <w:t xml:space="preserve"> designed so that </w:t>
      </w:r>
      <w:r w:rsidR="009D64C6">
        <w:t xml:space="preserve">neither </w:t>
      </w:r>
      <w:r>
        <w:t xml:space="preserve">students </w:t>
      </w:r>
      <w:r w:rsidR="009D64C6">
        <w:t xml:space="preserve">nor providers </w:t>
      </w:r>
      <w:r w:rsidR="0072754A">
        <w:t>are financially disadvantaged</w:t>
      </w:r>
      <w:r w:rsidR="009D64C6">
        <w:t>.</w:t>
      </w:r>
    </w:p>
    <w:p w14:paraId="605B0A7B" w14:textId="77777777" w:rsidR="002B3900" w:rsidRDefault="002B3900" w:rsidP="00FF206C"/>
    <w:p w14:paraId="605B0A7C" w14:textId="77777777" w:rsidR="002B3900" w:rsidRDefault="00004DEC" w:rsidP="00FF206C">
      <w:r>
        <w:t>W</w:t>
      </w:r>
      <w:r w:rsidR="003919BB">
        <w:t xml:space="preserve">here a student is refused a visa and is yet to commence the course, </w:t>
      </w:r>
      <w:r w:rsidR="00A52910">
        <w:t xml:space="preserve">providers </w:t>
      </w:r>
      <w:r w:rsidR="003919BB">
        <w:t>must refund all course</w:t>
      </w:r>
      <w:r w:rsidR="00A727EE">
        <w:t xml:space="preserve"> fees </w:t>
      </w:r>
      <w:r w:rsidR="002B3900">
        <w:t>except for</w:t>
      </w:r>
      <w:r w:rsidR="00A52910">
        <w:t xml:space="preserve"> a modest sum </w:t>
      </w:r>
      <w:r w:rsidR="002B3900">
        <w:t xml:space="preserve">that represents </w:t>
      </w:r>
      <w:r w:rsidR="00A52910">
        <w:t>administrative costs the provider may have incurred in relation to that student</w:t>
      </w:r>
      <w:r w:rsidR="0042211F">
        <w:t>.</w:t>
      </w:r>
      <w:r w:rsidR="002B3900">
        <w:t xml:space="preserve">  In this case, the course fees </w:t>
      </w:r>
      <w:r w:rsidR="00554735">
        <w:t>comprise</w:t>
      </w:r>
      <w:r w:rsidR="002B3900">
        <w:t xml:space="preserve"> both tuition and non-tuition fees received by the provider in respect of the student</w:t>
      </w:r>
      <w:r w:rsidR="00435D59">
        <w:t>.</w:t>
      </w:r>
    </w:p>
    <w:p w14:paraId="605B0A7D" w14:textId="77777777" w:rsidR="002B3900" w:rsidRDefault="002B3900" w:rsidP="00FF206C"/>
    <w:p w14:paraId="605B0A7E" w14:textId="77777777" w:rsidR="007165B9" w:rsidRDefault="0042211F" w:rsidP="00FF206C">
      <w:r>
        <w:t xml:space="preserve">In circumstances </w:t>
      </w:r>
      <w:r w:rsidR="0072754A">
        <w:t>where a</w:t>
      </w:r>
      <w:r w:rsidR="009D64C6">
        <w:t xml:space="preserve"> student</w:t>
      </w:r>
      <w:r w:rsidR="0072754A">
        <w:t xml:space="preserve"> is refused a visa but</w:t>
      </w:r>
      <w:r w:rsidR="009D64C6">
        <w:t xml:space="preserve"> has </w:t>
      </w:r>
      <w:r w:rsidR="001D5004">
        <w:t xml:space="preserve">already </w:t>
      </w:r>
      <w:r w:rsidR="009D64C6">
        <w:t>commenced the course, the</w:t>
      </w:r>
      <w:r>
        <w:t xml:space="preserve"> </w:t>
      </w:r>
      <w:r w:rsidR="00435D59">
        <w:t xml:space="preserve">amount of refund payable by the provider is the unspent portion of the tuition fees received by the </w:t>
      </w:r>
      <w:r>
        <w:t>provider</w:t>
      </w:r>
      <w:r w:rsidR="00435D59">
        <w:t xml:space="preserve">, that is, the product of the weekly tuition fees for the course and the number of weeks remaining in the </w:t>
      </w:r>
      <w:r w:rsidR="00554735">
        <w:t xml:space="preserve">paid portion of the </w:t>
      </w:r>
      <w:r w:rsidR="00435D59">
        <w:t>course after the day on which the relevant default occurred</w:t>
      </w:r>
      <w:r w:rsidR="00A52910">
        <w:t xml:space="preserve">. </w:t>
      </w:r>
      <w:r w:rsidR="00F4117A">
        <w:t>The provider does not need to refund any non</w:t>
      </w:r>
      <w:r w:rsidR="00F4117A">
        <w:noBreakHyphen/>
        <w:t>tuition fees it has received in respect of the student.</w:t>
      </w:r>
    </w:p>
    <w:p w14:paraId="605B0A7F" w14:textId="77777777" w:rsidR="00A52910" w:rsidRDefault="00A52910" w:rsidP="00FF206C"/>
    <w:p w14:paraId="605B0A80" w14:textId="77777777" w:rsidR="003D692A" w:rsidRPr="009E7A69" w:rsidRDefault="00435D59" w:rsidP="006F7EBA">
      <w:r>
        <w:t>Again, if the provider does not pay the required refund, it may be paid by the TPS Director out of the Overseas Students Tuition Fund (OSTF), under Division 4 of Part 5 of the ESOS Act.</w:t>
      </w:r>
    </w:p>
    <w:p w14:paraId="605B0A81" w14:textId="77777777" w:rsidR="00A52910" w:rsidRPr="009E7A69" w:rsidRDefault="00A52910" w:rsidP="003A43F0">
      <w:pPr>
        <w:pStyle w:val="Heading2"/>
        <w:rPr>
          <w:rFonts w:ascii="Times New Roman" w:hAnsi="Times New Roman" w:cs="Times New Roman"/>
          <w:lang w:val="en-US"/>
        </w:rPr>
      </w:pPr>
      <w:r w:rsidRPr="009E7A69">
        <w:rPr>
          <w:rFonts w:ascii="Times New Roman" w:hAnsi="Times New Roman" w:cs="Times New Roman"/>
          <w:lang w:val="en-US"/>
        </w:rPr>
        <w:t xml:space="preserve">Consultation </w:t>
      </w:r>
    </w:p>
    <w:p w14:paraId="605B0A82" w14:textId="77777777" w:rsidR="00A52910" w:rsidRPr="009E7A69" w:rsidRDefault="00A52910" w:rsidP="006F7EBA">
      <w:pPr>
        <w:rPr>
          <w:color w:val="000000"/>
          <w:szCs w:val="24"/>
        </w:rPr>
      </w:pPr>
      <w:r w:rsidRPr="0096486F">
        <w:rPr>
          <w:color w:val="000000"/>
          <w:szCs w:val="24"/>
          <w:lang w:val="en-US"/>
        </w:rPr>
        <w:t>The Department of</w:t>
      </w:r>
      <w:r w:rsidR="003D1CB9">
        <w:rPr>
          <w:color w:val="000000"/>
          <w:szCs w:val="24"/>
          <w:lang w:val="en-US"/>
        </w:rPr>
        <w:t xml:space="preserve"> Education</w:t>
      </w:r>
      <w:r w:rsidR="00D36BAD">
        <w:rPr>
          <w:color w:val="000000"/>
          <w:szCs w:val="24"/>
          <w:lang w:val="en-US"/>
        </w:rPr>
        <w:t xml:space="preserve"> undertook consultation</w:t>
      </w:r>
      <w:r w:rsidR="0019719B">
        <w:rPr>
          <w:color w:val="000000"/>
          <w:szCs w:val="24"/>
          <w:lang w:val="en-US"/>
        </w:rPr>
        <w:t xml:space="preserve"> on the draft </w:t>
      </w:r>
      <w:r w:rsidR="0019719B" w:rsidRPr="009807E6">
        <w:rPr>
          <w:color w:val="000000"/>
          <w:szCs w:val="24"/>
          <w:lang w:val="en-US"/>
        </w:rPr>
        <w:t xml:space="preserve">instrument </w:t>
      </w:r>
      <w:r w:rsidR="009807E6" w:rsidRPr="009807E6">
        <w:rPr>
          <w:color w:val="000000"/>
          <w:szCs w:val="24"/>
          <w:lang w:val="en-US"/>
        </w:rPr>
        <w:t>during</w:t>
      </w:r>
      <w:r w:rsidR="00D36BAD" w:rsidRPr="009807E6">
        <w:rPr>
          <w:color w:val="000000"/>
          <w:szCs w:val="24"/>
          <w:lang w:val="en-US"/>
        </w:rPr>
        <w:t xml:space="preserve"> </w:t>
      </w:r>
      <w:r w:rsidR="0019719B" w:rsidRPr="009807E6">
        <w:rPr>
          <w:color w:val="000000"/>
          <w:szCs w:val="24"/>
          <w:lang w:val="en-US"/>
        </w:rPr>
        <w:t>March</w:t>
      </w:r>
      <w:r w:rsidR="009807E6" w:rsidRPr="009807E6">
        <w:rPr>
          <w:color w:val="000000"/>
          <w:szCs w:val="24"/>
          <w:lang w:val="en-US"/>
        </w:rPr>
        <w:t>/April</w:t>
      </w:r>
      <w:r w:rsidR="0019719B" w:rsidRPr="009807E6">
        <w:rPr>
          <w:color w:val="000000"/>
          <w:szCs w:val="24"/>
          <w:lang w:val="en-US"/>
        </w:rPr>
        <w:t xml:space="preserve"> 2014 with the</w:t>
      </w:r>
      <w:r w:rsidR="0042211F" w:rsidRPr="009807E6">
        <w:rPr>
          <w:color w:val="000000"/>
          <w:szCs w:val="24"/>
        </w:rPr>
        <w:t xml:space="preserve"> TPS</w:t>
      </w:r>
      <w:r w:rsidR="003D1CB9" w:rsidRPr="009807E6">
        <w:rPr>
          <w:color w:val="000000"/>
          <w:szCs w:val="24"/>
        </w:rPr>
        <w:t xml:space="preserve"> Director</w:t>
      </w:r>
      <w:r w:rsidR="0042211F" w:rsidRPr="009807E6">
        <w:rPr>
          <w:color w:val="000000"/>
          <w:szCs w:val="24"/>
        </w:rPr>
        <w:t>,</w:t>
      </w:r>
      <w:r w:rsidR="00632FF3">
        <w:rPr>
          <w:color w:val="000000"/>
          <w:szCs w:val="24"/>
        </w:rPr>
        <w:t xml:space="preserve"> Overseas Students Ombudsman,</w:t>
      </w:r>
      <w:r w:rsidR="0042211F" w:rsidRPr="009807E6">
        <w:rPr>
          <w:color w:val="000000"/>
          <w:szCs w:val="24"/>
        </w:rPr>
        <w:t xml:space="preserve"> ESOS regulators (Australian Skills Quality Authority</w:t>
      </w:r>
      <w:r w:rsidR="0042211F">
        <w:rPr>
          <w:color w:val="000000"/>
          <w:szCs w:val="24"/>
        </w:rPr>
        <w:t>, Tertiary Education Quality and Standards Agency, States and Territories)</w:t>
      </w:r>
      <w:r w:rsidR="003D1CB9">
        <w:rPr>
          <w:color w:val="000000"/>
          <w:szCs w:val="24"/>
        </w:rPr>
        <w:t xml:space="preserve"> and </w:t>
      </w:r>
      <w:r w:rsidRPr="0096486F">
        <w:rPr>
          <w:color w:val="000000"/>
          <w:szCs w:val="24"/>
        </w:rPr>
        <w:t>representatives from Universities Australia, the Australian Council for Private Education and Training, the Council of Private Higher Education, the Independent Schools Council of Australia, TAFE Directors Australia, English Australia</w:t>
      </w:r>
      <w:r w:rsidR="003E56DC">
        <w:rPr>
          <w:color w:val="000000"/>
          <w:szCs w:val="24"/>
        </w:rPr>
        <w:t xml:space="preserve">, </w:t>
      </w:r>
      <w:r w:rsidR="003E56DC" w:rsidRPr="003E56DC">
        <w:rPr>
          <w:color w:val="000000"/>
          <w:szCs w:val="24"/>
        </w:rPr>
        <w:t>International Education</w:t>
      </w:r>
      <w:r w:rsidR="003E56DC">
        <w:rPr>
          <w:color w:val="000000"/>
          <w:szCs w:val="24"/>
        </w:rPr>
        <w:t xml:space="preserve"> Association of Australia</w:t>
      </w:r>
      <w:r w:rsidR="00632FF3">
        <w:rPr>
          <w:color w:val="000000"/>
          <w:szCs w:val="24"/>
        </w:rPr>
        <w:t>, ISANA- Internati</w:t>
      </w:r>
      <w:r w:rsidR="00520977">
        <w:rPr>
          <w:color w:val="000000"/>
          <w:szCs w:val="24"/>
        </w:rPr>
        <w:t xml:space="preserve">onal Education Association </w:t>
      </w:r>
      <w:r w:rsidRPr="0096486F">
        <w:rPr>
          <w:color w:val="000000"/>
          <w:szCs w:val="24"/>
        </w:rPr>
        <w:t>and the Council of International Students Australia</w:t>
      </w:r>
      <w:r w:rsidR="001011A5">
        <w:rPr>
          <w:color w:val="000000"/>
          <w:szCs w:val="24"/>
        </w:rPr>
        <w:t>.</w:t>
      </w:r>
    </w:p>
    <w:p w14:paraId="605B0A83" w14:textId="77777777" w:rsidR="00A52910" w:rsidRPr="009E7A69" w:rsidRDefault="00D36BAD" w:rsidP="003A43F0">
      <w:pPr>
        <w:pStyle w:val="Heading2"/>
        <w:rPr>
          <w:rFonts w:ascii="Times New Roman" w:hAnsi="Times New Roman" w:cs="Times New Roman"/>
        </w:rPr>
      </w:pPr>
      <w:r w:rsidRPr="009E7A69">
        <w:rPr>
          <w:rFonts w:ascii="Times New Roman" w:hAnsi="Times New Roman" w:cs="Times New Roman"/>
        </w:rPr>
        <w:t>Regulation Impact Statement</w:t>
      </w:r>
    </w:p>
    <w:p w14:paraId="605B0A84" w14:textId="77777777" w:rsidR="009807E6" w:rsidRPr="009807E6" w:rsidRDefault="00A52910" w:rsidP="009807E6">
      <w:r w:rsidRPr="00D36BAD">
        <w:t>This refund calculation method for cases</w:t>
      </w:r>
      <w:r w:rsidR="0019719B" w:rsidRPr="00D36BAD">
        <w:t xml:space="preserve"> of provider defau</w:t>
      </w:r>
      <w:r w:rsidR="008179BF">
        <w:t>lt and refund in other cases is</w:t>
      </w:r>
      <w:r w:rsidR="00FF47A9">
        <w:t xml:space="preserve"> similar to the method </w:t>
      </w:r>
      <w:r w:rsidR="0019719B" w:rsidRPr="00D36BAD">
        <w:t xml:space="preserve">applied under the previous instrument and the regulatory impact is of a minor nature. </w:t>
      </w:r>
      <w:r w:rsidR="009807E6" w:rsidRPr="009807E6">
        <w:t>The Office of Best Practice Regulation has assessed the specification as having a minor regulatory impact and has advised that a Regulation Impact Statement is not required.</w:t>
      </w:r>
    </w:p>
    <w:p w14:paraId="605B0A85" w14:textId="77777777" w:rsidR="00D36BAD" w:rsidRDefault="00D36BAD" w:rsidP="00D36BAD"/>
    <w:p w14:paraId="605B0A86" w14:textId="77777777" w:rsidR="00D36BAD" w:rsidRDefault="00A52910" w:rsidP="00D36BAD">
      <w:r w:rsidRPr="000C4F3B">
        <w:t>The regulatory impact of the introduction of the TPS, to which this determination relates, was considered in the ESOS (Tuition Protection Service and other related measures) Regulatory Impact Statement</w:t>
      </w:r>
      <w:r w:rsidR="00FF47A9">
        <w:t xml:space="preserve"> and was</w:t>
      </w:r>
      <w:r w:rsidRPr="000C4F3B">
        <w:t xml:space="preserve"> assessed as adequate by the OBPR on 2 February 2012. </w:t>
      </w:r>
    </w:p>
    <w:p w14:paraId="605B0A87" w14:textId="77777777" w:rsidR="00D36BAD" w:rsidRDefault="00D36BAD" w:rsidP="00D36BAD"/>
    <w:p w14:paraId="605B0A88" w14:textId="77777777" w:rsidR="00A52910" w:rsidRDefault="00A52910" w:rsidP="00D36BAD">
      <w:r w:rsidRPr="000C4F3B">
        <w:t xml:space="preserve">A post-implementation review of the TPS is </w:t>
      </w:r>
      <w:r w:rsidR="007C1976">
        <w:t xml:space="preserve">being progressed </w:t>
      </w:r>
      <w:r w:rsidR="008E631F">
        <w:t>by the Department.</w:t>
      </w:r>
    </w:p>
    <w:p w14:paraId="605B0A89" w14:textId="77777777" w:rsidR="00554735" w:rsidRPr="000C4F3B" w:rsidRDefault="00554735" w:rsidP="00D36BAD"/>
    <w:p w14:paraId="605B0A8A" w14:textId="77777777" w:rsidR="00554735" w:rsidRPr="009E7A69" w:rsidRDefault="00554735" w:rsidP="003A43F0">
      <w:pPr>
        <w:pStyle w:val="Heading2"/>
        <w:rPr>
          <w:rFonts w:ascii="Times New Roman" w:hAnsi="Times New Roman" w:cs="Times New Roman"/>
        </w:rPr>
      </w:pPr>
      <w:r w:rsidRPr="009E7A69">
        <w:rPr>
          <w:rFonts w:ascii="Times New Roman" w:hAnsi="Times New Roman" w:cs="Times New Roman"/>
        </w:rPr>
        <w:t>Notes on sections</w:t>
      </w:r>
    </w:p>
    <w:p w14:paraId="605B0A8B" w14:textId="77777777" w:rsidR="0018167A" w:rsidRPr="0018167A" w:rsidRDefault="0018167A" w:rsidP="0018167A"/>
    <w:p w14:paraId="605B0A8C" w14:textId="77777777" w:rsidR="00554735" w:rsidRPr="00ED743C" w:rsidRDefault="00554735" w:rsidP="00554735">
      <w:r w:rsidRPr="00ED743C">
        <w:rPr>
          <w:b/>
        </w:rPr>
        <w:t>Sections 1 and 2</w:t>
      </w:r>
      <w:r>
        <w:rPr>
          <w:b/>
        </w:rPr>
        <w:t xml:space="preserve"> – Name and commencement</w:t>
      </w:r>
      <w:r w:rsidR="0018167A">
        <w:rPr>
          <w:b/>
        </w:rPr>
        <w:t xml:space="preserve"> of specification</w:t>
      </w:r>
    </w:p>
    <w:p w14:paraId="605B0A8D" w14:textId="77777777" w:rsidR="00554735" w:rsidRPr="00F77188" w:rsidRDefault="00554735" w:rsidP="00554735"/>
    <w:p w14:paraId="605B0A8E" w14:textId="77777777" w:rsidR="00554735" w:rsidRPr="00F77188" w:rsidRDefault="00554735" w:rsidP="00554735">
      <w:r w:rsidRPr="00F77188">
        <w:t xml:space="preserve">Sections 1 and 2 of the specification are formal provisions setting out the name and commencement </w:t>
      </w:r>
      <w:r>
        <w:t xml:space="preserve">date </w:t>
      </w:r>
      <w:r w:rsidRPr="00F77188">
        <w:t>of the specification.</w:t>
      </w:r>
    </w:p>
    <w:p w14:paraId="605B0A8F" w14:textId="77777777" w:rsidR="00554735" w:rsidRPr="00F77188" w:rsidRDefault="00554735" w:rsidP="00554735"/>
    <w:p w14:paraId="605B0A90" w14:textId="77777777" w:rsidR="00554735" w:rsidRDefault="00554735" w:rsidP="00554735">
      <w:r w:rsidRPr="00F77188">
        <w:lastRenderedPageBreak/>
        <w:t xml:space="preserve">The specification will commence at the same time as Schedule 1 to the </w:t>
      </w:r>
      <w:r>
        <w:rPr>
          <w:i/>
        </w:rPr>
        <w:t>Education Services for Overseas Students Amendment Act 2014</w:t>
      </w:r>
      <w:r>
        <w:t xml:space="preserve"> (the Amendment Act). That Schedule will commence on </w:t>
      </w:r>
      <w:r w:rsidR="009E7A69">
        <w:t>1 July 2014.</w:t>
      </w:r>
    </w:p>
    <w:p w14:paraId="605B0A91" w14:textId="77777777" w:rsidR="009E7A69" w:rsidRDefault="009E7A69" w:rsidP="00554735"/>
    <w:p w14:paraId="605B0A92" w14:textId="77777777" w:rsidR="00554735" w:rsidRPr="00ED743C" w:rsidRDefault="00554735" w:rsidP="00554735">
      <w:r w:rsidRPr="00ED743C">
        <w:rPr>
          <w:b/>
        </w:rPr>
        <w:t>Section 3</w:t>
      </w:r>
      <w:r>
        <w:rPr>
          <w:b/>
        </w:rPr>
        <w:t xml:space="preserve"> - Revocation</w:t>
      </w:r>
    </w:p>
    <w:p w14:paraId="605B0A93" w14:textId="77777777" w:rsidR="00554735" w:rsidRDefault="00554735" w:rsidP="00554735"/>
    <w:p w14:paraId="605B0A94" w14:textId="77777777" w:rsidR="00554735" w:rsidRDefault="00554735" w:rsidP="00554735">
      <w:r>
        <w:t>Section 3 revokes the current instruments made under subsections 46</w:t>
      </w:r>
      <w:r w:rsidR="00DB2814">
        <w:t>D(6) and 47E(4) of the ESOS Act</w:t>
      </w:r>
      <w:r>
        <w:t xml:space="preserve"> that specify the methods of calculating refunds of tuition fees.  Those instruments are replaced by this specification, with effect from the specification’s commencement.  However, the effect of item 23 of Schedule 1 to the Amendment Act is that those instruments continue to apply to calculating refunds where the default day (as defined in section 5 of the ESOS Act) occurred prior to the commencement of the specification.</w:t>
      </w:r>
    </w:p>
    <w:p w14:paraId="605B0A95" w14:textId="77777777" w:rsidR="00554735" w:rsidRDefault="00554735" w:rsidP="00554735"/>
    <w:p w14:paraId="605B0A96" w14:textId="77777777" w:rsidR="00554735" w:rsidRDefault="00554735" w:rsidP="00554735">
      <w:r>
        <w:rPr>
          <w:b/>
        </w:rPr>
        <w:t>Sections 4, 5 and 6 – Definitions etc.</w:t>
      </w:r>
    </w:p>
    <w:p w14:paraId="605B0A97" w14:textId="77777777" w:rsidR="00554735" w:rsidRDefault="00554735" w:rsidP="00554735"/>
    <w:p w14:paraId="605B0A98" w14:textId="77777777" w:rsidR="00554735" w:rsidRDefault="00554735" w:rsidP="00554735">
      <w:r>
        <w:t xml:space="preserve">Expressions that are used both in the ESOS Act and the specification have the same meaning in the specification as they do in the Act (paragraph 13(1)(b) </w:t>
      </w:r>
      <w:r>
        <w:rPr>
          <w:i/>
        </w:rPr>
        <w:t>Legislative Instruments Act 2003</w:t>
      </w:r>
      <w:r>
        <w:t>) – for example, “course”, “default”, “default day”, “registered provider”, “overseas student” and “tuition fee”.  Sections 4, 5 and 6 go on to define particular expressions used in the specification.</w:t>
      </w:r>
    </w:p>
    <w:p w14:paraId="605B0A99" w14:textId="77777777" w:rsidR="00554735" w:rsidRDefault="00554735" w:rsidP="00554735"/>
    <w:p w14:paraId="605B0A9A" w14:textId="77777777" w:rsidR="00554735" w:rsidRDefault="00554735" w:rsidP="00554735">
      <w:r>
        <w:t xml:space="preserve">Sections 5 and 6 define the two factors used in the calculation of refunds under sections 7, 8 and 10 of the specification. The </w:t>
      </w:r>
      <w:r>
        <w:rPr>
          <w:b/>
          <w:i/>
        </w:rPr>
        <w:t>weekly tuition fee</w:t>
      </w:r>
      <w:r>
        <w:t xml:space="preserve"> for a course is the total tuition fee for the course, divided by the number of calendar days in the</w:t>
      </w:r>
      <w:r w:rsidR="00B42118">
        <w:t xml:space="preserve"> course, then multiplied by 7. </w:t>
      </w:r>
      <w:r>
        <w:t xml:space="preserve">This amount is rounded </w:t>
      </w:r>
      <w:r w:rsidR="008F21C9">
        <w:t>up to the nearest whole dollar</w:t>
      </w:r>
      <w:r>
        <w:t>.</w:t>
      </w:r>
    </w:p>
    <w:p w14:paraId="605B0A9B" w14:textId="77777777" w:rsidR="00554735" w:rsidRDefault="00554735" w:rsidP="00554735"/>
    <w:p w14:paraId="605B0A9C" w14:textId="77777777" w:rsidR="00554735" w:rsidRDefault="00554735" w:rsidP="00554735">
      <w:r>
        <w:t xml:space="preserve">The number of </w:t>
      </w:r>
      <w:r>
        <w:rPr>
          <w:b/>
          <w:i/>
        </w:rPr>
        <w:t>weeks in default period</w:t>
      </w:r>
      <w:r>
        <w:t xml:space="preserve"> is essentially the number of weeks (i.e. calendar days divided by 7, rounded up</w:t>
      </w:r>
      <w:r w:rsidR="00D74156">
        <w:t xml:space="preserve"> to the nearest whole number</w:t>
      </w:r>
      <w:r>
        <w:t>) in the unexpired portion of the course after the default day, in relation to which the provider has received tuition fees. Thus, if the provider has received tuition fees for the whole course, the week</w:t>
      </w:r>
      <w:r w:rsidR="00DB2814">
        <w:t>s in default period would</w:t>
      </w:r>
      <w:r>
        <w:t xml:space="preserve"> be the number of weeks between the default day and the end of the course. On the other hand, if the provider has only received an instalment of tuition fees for part of the course, the weeks in default period would be the number of weeks between the default day and the end of the part of the course to which the instalment relates.</w:t>
      </w:r>
    </w:p>
    <w:p w14:paraId="605B0A9D" w14:textId="77777777" w:rsidR="003A43F0" w:rsidRDefault="003A43F0" w:rsidP="00554735"/>
    <w:p w14:paraId="605B0A9E" w14:textId="77777777" w:rsidR="003A43F0" w:rsidRPr="003A43F0" w:rsidRDefault="003A43F0" w:rsidP="00554735">
      <w:r>
        <w:t xml:space="preserve">(When counting the number of calendar days </w:t>
      </w:r>
      <w:r w:rsidR="00F4117A">
        <w:t>from</w:t>
      </w:r>
      <w:r>
        <w:t xml:space="preserve"> the default day </w:t>
      </w:r>
      <w:r w:rsidR="00F4117A">
        <w:t>to</w:t>
      </w:r>
      <w:r>
        <w:t xml:space="preserve"> the end of the period to which payment relates, the default day </w:t>
      </w:r>
      <w:r w:rsidR="00F4117A">
        <w:t xml:space="preserve">is not included in the count </w:t>
      </w:r>
      <w:r>
        <w:t xml:space="preserve">– subsection 36(1) </w:t>
      </w:r>
      <w:r>
        <w:rPr>
          <w:i/>
        </w:rPr>
        <w:t>Acts Interpretation Act 1901</w:t>
      </w:r>
      <w:r>
        <w:t>).</w:t>
      </w:r>
    </w:p>
    <w:p w14:paraId="605B0A9F" w14:textId="77777777" w:rsidR="00554735" w:rsidRDefault="00554735" w:rsidP="00554735"/>
    <w:p w14:paraId="605B0AA0" w14:textId="77777777" w:rsidR="00554735" w:rsidRDefault="00554735" w:rsidP="00554735">
      <w:r>
        <w:rPr>
          <w:b/>
        </w:rPr>
        <w:t>Section 7 – Method for working out amount of refund of tuition fees in event of provider default</w:t>
      </w:r>
    </w:p>
    <w:p w14:paraId="605B0AA1" w14:textId="77777777" w:rsidR="00554735" w:rsidRDefault="00554735" w:rsidP="00554735"/>
    <w:p w14:paraId="605B0AA2" w14:textId="77777777" w:rsidR="00554735" w:rsidRDefault="00554735" w:rsidP="00554735">
      <w:r>
        <w:t xml:space="preserve">Section 7 sets out the method for calculating the refund amount payable by a provider in default for the purposes of subsection 46D(6) of the ESOS </w:t>
      </w:r>
      <w:r w:rsidR="00DB2814">
        <w:t>Act. The refund amount is</w:t>
      </w:r>
      <w:r>
        <w:t xml:space="preserve"> the product of the weekly tuition fee for the course and the weeks in default period.</w:t>
      </w:r>
    </w:p>
    <w:p w14:paraId="605B0AA3" w14:textId="77777777" w:rsidR="00554735" w:rsidRDefault="00554735" w:rsidP="00554735"/>
    <w:p w14:paraId="605B0AA4" w14:textId="77777777" w:rsidR="00554735" w:rsidRDefault="00554735" w:rsidP="00554735">
      <w:pPr>
        <w:rPr>
          <w:rStyle w:val="CharSectno"/>
        </w:rPr>
      </w:pPr>
      <w:r w:rsidRPr="00F33F33">
        <w:rPr>
          <w:b/>
        </w:rPr>
        <w:t xml:space="preserve">Section 8 – Method for working out </w:t>
      </w:r>
      <w:r w:rsidRPr="00F33F33">
        <w:rPr>
          <w:rStyle w:val="CharSectno"/>
          <w:b/>
        </w:rPr>
        <w:t>amount of refund if provider does not enter into compliant student default agreement</w:t>
      </w:r>
    </w:p>
    <w:p w14:paraId="605B0AA5" w14:textId="77777777" w:rsidR="00554735" w:rsidRDefault="00554735" w:rsidP="00554735"/>
    <w:p w14:paraId="605B0AA6" w14:textId="77777777" w:rsidR="00554735" w:rsidRDefault="00554735" w:rsidP="00554735">
      <w:r>
        <w:t xml:space="preserve">Section 8 sets out the method for calculating the refund amount payable by a provider for the purposes of subsection 47E(2) of the ESOS Act, where the student has defaulted and the </w:t>
      </w:r>
      <w:r>
        <w:lastRenderedPageBreak/>
        <w:t>provider has not entered into a written agreement with the student that meets the requirements of section 47B of the Act.</w:t>
      </w:r>
    </w:p>
    <w:p w14:paraId="605B0AA7" w14:textId="77777777" w:rsidR="00554735" w:rsidRDefault="00554735" w:rsidP="00554735"/>
    <w:p w14:paraId="605B0AA8" w14:textId="77777777" w:rsidR="00554735" w:rsidRDefault="00554735" w:rsidP="00554735">
      <w:r>
        <w:t>The refu</w:t>
      </w:r>
      <w:r w:rsidR="00913E57">
        <w:t>nd amount in that case is</w:t>
      </w:r>
      <w:r>
        <w:t xml:space="preserve"> the product of the weekly tuition fee for the course and the weeks in default period.</w:t>
      </w:r>
    </w:p>
    <w:p w14:paraId="605B0AA9" w14:textId="77777777" w:rsidR="00554735" w:rsidRDefault="00554735" w:rsidP="00554735"/>
    <w:p w14:paraId="605B0AAA" w14:textId="77777777" w:rsidR="00554735" w:rsidRDefault="00554735" w:rsidP="00554735">
      <w:r>
        <w:rPr>
          <w:b/>
        </w:rPr>
        <w:t>Section 9 – Method for working out amount of refund in event student fails to start course due to visa refusal</w:t>
      </w:r>
    </w:p>
    <w:p w14:paraId="605B0AAB" w14:textId="77777777" w:rsidR="00554735" w:rsidRDefault="00554735" w:rsidP="00554735"/>
    <w:p w14:paraId="605B0AAC" w14:textId="77777777" w:rsidR="005E0A0B" w:rsidRDefault="00554735" w:rsidP="00554735">
      <w:r>
        <w:t xml:space="preserve">Section 9 sets out the method for calculating the refund amount payable by a provider for the purposes of subsection 47E(2) of the ESOS Act, where a student has been refused a visa and that has resulted in the student defaulting by </w:t>
      </w:r>
      <w:r w:rsidR="005E0A0B">
        <w:t>either:</w:t>
      </w:r>
    </w:p>
    <w:p w14:paraId="605B0AAD" w14:textId="77777777" w:rsidR="00554735" w:rsidRDefault="00554735" w:rsidP="005E0A0B">
      <w:pPr>
        <w:numPr>
          <w:ilvl w:val="0"/>
          <w:numId w:val="10"/>
        </w:numPr>
      </w:pPr>
      <w:r>
        <w:t>failing to start a course at the location for the course on the agreed starting day for the course</w:t>
      </w:r>
      <w:r w:rsidR="005E0A0B">
        <w:t>; or</w:t>
      </w:r>
    </w:p>
    <w:p w14:paraId="605B0AAE" w14:textId="77777777" w:rsidR="005E0A0B" w:rsidRDefault="005E0A0B" w:rsidP="005E0A0B">
      <w:pPr>
        <w:numPr>
          <w:ilvl w:val="0"/>
          <w:numId w:val="10"/>
        </w:numPr>
      </w:pPr>
      <w:r>
        <w:t>withdrawing from the course on or before the agreed starting day for the course.</w:t>
      </w:r>
    </w:p>
    <w:p w14:paraId="605B0AAF" w14:textId="77777777" w:rsidR="00554735" w:rsidRDefault="00554735" w:rsidP="00554735"/>
    <w:p w14:paraId="605B0AB0" w14:textId="77777777" w:rsidR="00554735" w:rsidRDefault="00554735" w:rsidP="00554735">
      <w:r>
        <w:t xml:space="preserve">In those circumstances, the amount of the refund payable by the provider is the sum of both tuition and non-tuition fees received by the provider in respect of the student (the </w:t>
      </w:r>
      <w:r>
        <w:rPr>
          <w:b/>
          <w:i/>
        </w:rPr>
        <w:t>course fees</w:t>
      </w:r>
      <w:r>
        <w:t>), less a small amount to account for administrative costs that the provider may have incurred in enrolling the student and undertaking other activities in preparation for providing the course to the student. The small amount of course fees that the provider can retain on account of administrative costs is either: 5% of the course fees received by the provider in respect of the student prior to the default day; or $500; whichever is less.</w:t>
      </w:r>
    </w:p>
    <w:p w14:paraId="605B0AB1" w14:textId="77777777" w:rsidR="00554735" w:rsidRPr="00E2373D" w:rsidRDefault="00554735" w:rsidP="00554735"/>
    <w:p w14:paraId="605B0AB2" w14:textId="77777777" w:rsidR="00554735" w:rsidRDefault="00554735" w:rsidP="00554735">
      <w:r>
        <w:rPr>
          <w:b/>
        </w:rPr>
        <w:t>Section 10 – Method for working out amount of refund in event of other student default</w:t>
      </w:r>
    </w:p>
    <w:p w14:paraId="605B0AB3" w14:textId="77777777" w:rsidR="00554735" w:rsidRDefault="00554735" w:rsidP="00554735"/>
    <w:p w14:paraId="605B0AB4" w14:textId="77777777" w:rsidR="00554735" w:rsidRDefault="00554735" w:rsidP="00554735">
      <w:r>
        <w:t>Section 10 sets out the method for calculating the refund amount payable by a provider for the purposes of subsection 47E(2) of the ESOS Act, where a student has defaulted and neither section 8 nor section 9 of the specification applies.</w:t>
      </w:r>
    </w:p>
    <w:p w14:paraId="605B0AB5" w14:textId="77777777" w:rsidR="00554735" w:rsidRDefault="00554735" w:rsidP="00554735"/>
    <w:p w14:paraId="605B0AB6" w14:textId="77777777" w:rsidR="00554735" w:rsidRDefault="00554735" w:rsidP="00554735">
      <w:r>
        <w:t>In practice, this section will apply where the student has been refused a visa and that refusal has resulted either in the student withdrawing from the course after it has started, or in the student failing to pay an amount he or she is liable to pay the provider to undertake the course (i.e. because of the application of paragraph 47D(5)(a) and subparagraph (5)(b)(ii) or (iii) of the Act).</w:t>
      </w:r>
    </w:p>
    <w:p w14:paraId="605B0AB7" w14:textId="77777777" w:rsidR="00554735" w:rsidRDefault="00554735" w:rsidP="00554735"/>
    <w:p w14:paraId="605B0AB8" w14:textId="77777777" w:rsidR="00554735" w:rsidRDefault="00554735" w:rsidP="00554735">
      <w:r>
        <w:t>The refund amount in that case is the product of the weekly tuition fee for the course and the weeks in default period.</w:t>
      </w:r>
    </w:p>
    <w:p w14:paraId="605B0AB9" w14:textId="77777777" w:rsidR="00A52910" w:rsidRDefault="00A52910" w:rsidP="00306E26">
      <w:pPr>
        <w:keepNext/>
        <w:keepLines/>
      </w:pPr>
    </w:p>
    <w:p w14:paraId="605B0ABA" w14:textId="77777777" w:rsidR="00A52910" w:rsidRPr="002B49D3" w:rsidRDefault="00A52910" w:rsidP="004F718C">
      <w:pPr>
        <w:ind w:right="91"/>
        <w:jc w:val="center"/>
        <w:rPr>
          <w:rFonts w:cs="Arial"/>
          <w:b/>
          <w:u w:val="single"/>
        </w:rPr>
      </w:pPr>
      <w:r>
        <w:rPr>
          <w:bCs/>
          <w:u w:val="single"/>
        </w:rPr>
        <w:br w:type="page"/>
      </w:r>
      <w:r w:rsidRPr="002B49D3">
        <w:rPr>
          <w:rFonts w:cs="Arial"/>
          <w:b/>
          <w:u w:val="single"/>
        </w:rPr>
        <w:lastRenderedPageBreak/>
        <w:t>Statement of Compatibility with Human Rights</w:t>
      </w:r>
    </w:p>
    <w:p w14:paraId="605B0ABB" w14:textId="77777777" w:rsidR="00A52910" w:rsidRPr="002B49D3" w:rsidRDefault="00A52910" w:rsidP="004F718C">
      <w:pPr>
        <w:ind w:right="91"/>
      </w:pPr>
    </w:p>
    <w:p w14:paraId="605B0ABC" w14:textId="77777777" w:rsidR="00A52910" w:rsidRPr="002B49D3" w:rsidRDefault="00A52910" w:rsidP="00BD2C58">
      <w:pPr>
        <w:rPr>
          <w:rFonts w:ascii="Calibri" w:hAnsi="Calibri" w:cs="Calibri"/>
        </w:rPr>
      </w:pPr>
      <w:r w:rsidRPr="002B49D3">
        <w:t xml:space="preserve">Prepared in accordance with Part 3 of the </w:t>
      </w:r>
      <w:r w:rsidRPr="000751DD">
        <w:rPr>
          <w:i/>
        </w:rPr>
        <w:t>Human Rights (Parliamentary Scrutiny) Act 2011</w:t>
      </w:r>
      <w:r w:rsidRPr="002B49D3">
        <w:t>.</w:t>
      </w:r>
    </w:p>
    <w:p w14:paraId="605B0ABD" w14:textId="77777777" w:rsidR="00A52910" w:rsidRDefault="00A52910" w:rsidP="00BD2C58">
      <w:pPr>
        <w:rPr>
          <w:b/>
          <w:bCs/>
          <w:u w:val="single"/>
        </w:rPr>
      </w:pPr>
    </w:p>
    <w:p w14:paraId="605B0ABE" w14:textId="77777777" w:rsidR="002E5B1F" w:rsidRPr="00BD2C58" w:rsidRDefault="002E5B1F" w:rsidP="00BD2C58">
      <w:pPr>
        <w:jc w:val="center"/>
        <w:rPr>
          <w:i/>
          <w:u w:val="single"/>
        </w:rPr>
      </w:pPr>
      <w:r w:rsidRPr="00BD2C58">
        <w:rPr>
          <w:i/>
          <w:u w:val="single"/>
        </w:rPr>
        <w:t>Education Services for Overseas Students (Calculation of Refund) Specification 2014</w:t>
      </w:r>
    </w:p>
    <w:p w14:paraId="605B0ABF" w14:textId="77777777" w:rsidR="00A52910" w:rsidRDefault="00A52910" w:rsidP="00BD2C58">
      <w:pPr>
        <w:rPr>
          <w:b/>
          <w:szCs w:val="24"/>
          <w:u w:val="single"/>
        </w:rPr>
      </w:pPr>
    </w:p>
    <w:p w14:paraId="605B0AC0" w14:textId="77777777" w:rsidR="00A52910" w:rsidRDefault="00A52910" w:rsidP="00BD2C58">
      <w:pPr>
        <w:rPr>
          <w:b/>
          <w:szCs w:val="24"/>
          <w:u w:val="single"/>
        </w:rPr>
      </w:pPr>
      <w:r w:rsidRPr="002B49D3">
        <w:t xml:space="preserve">This </w:t>
      </w:r>
      <w:r w:rsidR="002E5B1F">
        <w:t>specification</w:t>
      </w:r>
      <w:r w:rsidRPr="002B49D3">
        <w:t xml:space="preserve"> is compatible with the human rights and freedoms recognised or declared in the international instruments listed in section 3 of the </w:t>
      </w:r>
      <w:r w:rsidRPr="000751DD">
        <w:rPr>
          <w:i/>
        </w:rPr>
        <w:t>Human Rights (Parliamentary Scrutiny) Act 2011</w:t>
      </w:r>
      <w:r>
        <w:t>.</w:t>
      </w:r>
    </w:p>
    <w:p w14:paraId="605B0AC1" w14:textId="77777777" w:rsidR="00A52910" w:rsidRPr="00724D4B" w:rsidRDefault="00A52910" w:rsidP="00BD2C58">
      <w:pPr>
        <w:rPr>
          <w:b/>
          <w:bCs/>
          <w:u w:val="single"/>
        </w:rPr>
      </w:pPr>
    </w:p>
    <w:p w14:paraId="605B0AC2" w14:textId="77777777" w:rsidR="00A52910" w:rsidRDefault="002E5B1F" w:rsidP="00BD2C58">
      <w:pPr>
        <w:rPr>
          <w:b/>
          <w:iCs/>
        </w:rPr>
      </w:pPr>
      <w:r>
        <w:rPr>
          <w:b/>
          <w:iCs/>
        </w:rPr>
        <w:t>Overview of the Specification</w:t>
      </w:r>
    </w:p>
    <w:p w14:paraId="605B0AC3" w14:textId="77777777" w:rsidR="00A52910" w:rsidRDefault="00A52910" w:rsidP="00BD2C58">
      <w:pPr>
        <w:rPr>
          <w:b/>
          <w:iCs/>
        </w:rPr>
      </w:pPr>
    </w:p>
    <w:p w14:paraId="605B0AC4" w14:textId="77777777" w:rsidR="00A52910" w:rsidRDefault="002E5B1F" w:rsidP="00BD2C58">
      <w:r>
        <w:rPr>
          <w:iCs/>
        </w:rPr>
        <w:t>The specification</w:t>
      </w:r>
      <w:r w:rsidR="00A52910">
        <w:rPr>
          <w:iCs/>
        </w:rPr>
        <w:t xml:space="preserve"> is made </w:t>
      </w:r>
      <w:r w:rsidR="00BD2C58">
        <w:t xml:space="preserve">by the Minister </w:t>
      </w:r>
      <w:r w:rsidR="00BD2C58" w:rsidRPr="008B2A56">
        <w:t>for Education</w:t>
      </w:r>
      <w:r w:rsidR="00BD2C58">
        <w:rPr>
          <w:iCs/>
        </w:rPr>
        <w:t xml:space="preserve"> </w:t>
      </w:r>
      <w:r w:rsidR="00A52910">
        <w:rPr>
          <w:iCs/>
        </w:rPr>
        <w:t>under s</w:t>
      </w:r>
      <w:r w:rsidR="00A52910">
        <w:t xml:space="preserve">ubsection </w:t>
      </w:r>
      <w:r w:rsidR="00BD2C58">
        <w:t>46D</w:t>
      </w:r>
      <w:r w:rsidR="00A52910">
        <w:t>(</w:t>
      </w:r>
      <w:r w:rsidR="00BD2C58">
        <w:t>7</w:t>
      </w:r>
      <w:r w:rsidR="00A52910">
        <w:t xml:space="preserve">) </w:t>
      </w:r>
      <w:r w:rsidR="0019719B">
        <w:t xml:space="preserve">and subsection </w:t>
      </w:r>
      <w:r w:rsidR="00BD2C58">
        <w:t>47E</w:t>
      </w:r>
      <w:r w:rsidR="0019719B">
        <w:t>(</w:t>
      </w:r>
      <w:r w:rsidR="00BD2C58">
        <w:t>4</w:t>
      </w:r>
      <w:r w:rsidR="0019719B">
        <w:t xml:space="preserve">) </w:t>
      </w:r>
      <w:r w:rsidR="00A52910">
        <w:t xml:space="preserve">of the </w:t>
      </w:r>
      <w:r w:rsidR="00A52910" w:rsidRPr="00BD2C58">
        <w:rPr>
          <w:i/>
        </w:rPr>
        <w:t>Education Services for Overseas Students Act 2000</w:t>
      </w:r>
      <w:r w:rsidR="00A52910">
        <w:t xml:space="preserve"> </w:t>
      </w:r>
      <w:r w:rsidR="00A52910" w:rsidRPr="00FF206C">
        <w:t xml:space="preserve">(the </w:t>
      </w:r>
      <w:r w:rsidR="00BD2C58">
        <w:t xml:space="preserve">ESOS </w:t>
      </w:r>
      <w:r w:rsidR="00A52910" w:rsidRPr="00FF206C">
        <w:t>Act)</w:t>
      </w:r>
      <w:r w:rsidR="000C201D">
        <w:t>.</w:t>
      </w:r>
    </w:p>
    <w:p w14:paraId="605B0AC5" w14:textId="77777777" w:rsidR="00A52910" w:rsidRDefault="00A52910" w:rsidP="00BD2C58"/>
    <w:p w14:paraId="605B0AC6" w14:textId="77777777" w:rsidR="00764CC9" w:rsidRDefault="00A52910" w:rsidP="00BD2C58">
      <w:r w:rsidRPr="007A0938">
        <w:t>The tuition protecti</w:t>
      </w:r>
      <w:r w:rsidR="00AA723E">
        <w:t>on mechanisms under</w:t>
      </w:r>
      <w:r w:rsidR="00764CC9">
        <w:t xml:space="preserve"> the ESOS legislative framework</w:t>
      </w:r>
      <w:r w:rsidRPr="007A0938">
        <w:t xml:space="preserve"> are designed to protect the considerable investment international students make in an Australian education and to protect and enhance Australia’s reputation as a destination of choice for international students. This determination is one of a number the Minister may make to specify in greater detail some of the Act’s requirements. </w:t>
      </w:r>
    </w:p>
    <w:p w14:paraId="605B0AC7" w14:textId="77777777" w:rsidR="00AA723E" w:rsidRDefault="00A52910" w:rsidP="00BD2C58">
      <w:r w:rsidRPr="007A0938">
        <w:t xml:space="preserve"> </w:t>
      </w:r>
    </w:p>
    <w:p w14:paraId="605B0AC8" w14:textId="77777777" w:rsidR="00AA723E" w:rsidRDefault="000C201D" w:rsidP="00BD2C58">
      <w:r w:rsidRPr="0050190A">
        <w:t xml:space="preserve">This </w:t>
      </w:r>
      <w:r w:rsidR="00764CC9">
        <w:t>specification</w:t>
      </w:r>
      <w:r w:rsidRPr="0050190A">
        <w:t xml:space="preserve"> is </w:t>
      </w:r>
      <w:r>
        <w:t>central to the operation of the E</w:t>
      </w:r>
      <w:r w:rsidR="00AA723E">
        <w:t>SOS legislative framework as it</w:t>
      </w:r>
      <w:r>
        <w:t xml:space="preserve"> </w:t>
      </w:r>
      <w:r w:rsidR="00764CC9">
        <w:t>details</w:t>
      </w:r>
      <w:r w:rsidR="00B4528C">
        <w:t xml:space="preserve"> the</w:t>
      </w:r>
      <w:r>
        <w:t xml:space="preserve"> calculation</w:t>
      </w:r>
      <w:r w:rsidR="008D3980">
        <w:t>s that apply</w:t>
      </w:r>
      <w:r>
        <w:t xml:space="preserve"> to ensure providers refund student</w:t>
      </w:r>
      <w:r w:rsidR="00431D54">
        <w:t>s</w:t>
      </w:r>
      <w:r>
        <w:t xml:space="preserve"> appropriately and fairly in circumstances where a</w:t>
      </w:r>
      <w:r w:rsidR="00B4528C">
        <w:t xml:space="preserve"> provider defaults, a</w:t>
      </w:r>
      <w:r w:rsidR="00431D54">
        <w:t xml:space="preserve"> student has been r</w:t>
      </w:r>
      <w:r>
        <w:t>efused a student visa</w:t>
      </w:r>
      <w:r w:rsidR="00764CC9">
        <w:t>,</w:t>
      </w:r>
      <w:r>
        <w:t xml:space="preserve"> or</w:t>
      </w:r>
      <w:r w:rsidR="00764CC9">
        <w:t>,</w:t>
      </w:r>
      <w:r w:rsidR="00431D54">
        <w:t xml:space="preserve"> where a provider has</w:t>
      </w:r>
      <w:r w:rsidR="003D692A">
        <w:t xml:space="preserve"> not </w:t>
      </w:r>
      <w:r>
        <w:t>enter</w:t>
      </w:r>
      <w:r w:rsidR="003D692A">
        <w:t>ed</w:t>
      </w:r>
      <w:r>
        <w:t xml:space="preserve"> into a written agreement that complies with section 47B of the </w:t>
      </w:r>
      <w:r w:rsidR="008D3980">
        <w:t xml:space="preserve">ESOS </w:t>
      </w:r>
      <w:r>
        <w:t>Act</w:t>
      </w:r>
      <w:r w:rsidR="008D3980">
        <w:t>.</w:t>
      </w:r>
    </w:p>
    <w:p w14:paraId="605B0AC9" w14:textId="77777777" w:rsidR="00AA723E" w:rsidRDefault="00AA723E" w:rsidP="00BD2C58"/>
    <w:p w14:paraId="605B0ACA" w14:textId="77777777" w:rsidR="00AA723E" w:rsidRDefault="00A52910" w:rsidP="00BD2C58">
      <w:r>
        <w:rPr>
          <w:b/>
          <w:iCs/>
        </w:rPr>
        <w:t>Human rights implications</w:t>
      </w:r>
    </w:p>
    <w:p w14:paraId="605B0ACB" w14:textId="77777777" w:rsidR="00AA723E" w:rsidRDefault="00AA723E" w:rsidP="00BD2C58"/>
    <w:p w14:paraId="605B0ACC" w14:textId="77777777" w:rsidR="00AA723E" w:rsidRPr="00BD2C58" w:rsidRDefault="00AA723E" w:rsidP="00BD2C58">
      <w:pPr>
        <w:rPr>
          <w:iCs/>
          <w:u w:val="single"/>
        </w:rPr>
      </w:pPr>
      <w:r w:rsidRPr="00BD2C58">
        <w:rPr>
          <w:iCs/>
          <w:u w:val="single"/>
        </w:rPr>
        <w:t>Right to education</w:t>
      </w:r>
    </w:p>
    <w:p w14:paraId="605B0ACD" w14:textId="77777777" w:rsidR="00AA723E" w:rsidRDefault="00AA723E" w:rsidP="00BD2C58">
      <w:pPr>
        <w:rPr>
          <w:iCs/>
        </w:rPr>
      </w:pPr>
    </w:p>
    <w:p w14:paraId="605B0ACE" w14:textId="77777777" w:rsidR="00AA723E" w:rsidRPr="0018167A" w:rsidRDefault="00A52910" w:rsidP="00BD2C58">
      <w:r w:rsidRPr="00E035A3">
        <w:t xml:space="preserve">This determination engages the right to education, contained in Article 13 of the International Covenant on Economic, Social, and Cultural Rights. In particular, this determination has an effect on the provision of education services to international students by bodies corporate </w:t>
      </w:r>
      <w:r w:rsidRPr="0018167A">
        <w:t xml:space="preserve">registered on the </w:t>
      </w:r>
      <w:r w:rsidR="0018167A" w:rsidRPr="0018167A">
        <w:t xml:space="preserve">Commonwealth Register of Institutions and Courses for Overseas </w:t>
      </w:r>
      <w:r w:rsidR="0018167A">
        <w:t>Students (</w:t>
      </w:r>
      <w:r w:rsidRPr="0018167A">
        <w:t>CRICOS</w:t>
      </w:r>
      <w:r w:rsidR="0018167A">
        <w:t>)</w:t>
      </w:r>
      <w:r w:rsidRPr="0018167A">
        <w:t>.</w:t>
      </w:r>
    </w:p>
    <w:p w14:paraId="605B0ACF" w14:textId="77777777" w:rsidR="00AA723E" w:rsidRPr="00AA723E" w:rsidRDefault="00AA723E" w:rsidP="00BD2C58"/>
    <w:p w14:paraId="605B0AD0" w14:textId="77777777" w:rsidR="00A52910" w:rsidRPr="00AA723E" w:rsidRDefault="008D3980" w:rsidP="00BD2C58">
      <w:r w:rsidRPr="00AA723E">
        <w:t>In particular, this instrument has a beneficial effect on overseas students by specifying the calculations that apply where students are owed a refund. It ensures refunds are paid in a consistent manner when they are a result of circumstances outside the student’s control such as</w:t>
      </w:r>
      <w:r w:rsidR="00B4528C" w:rsidRPr="00AA723E">
        <w:t xml:space="preserve"> provider default,</w:t>
      </w:r>
      <w:r w:rsidRPr="00AA723E">
        <w:t xml:space="preserve"> visa refusal</w:t>
      </w:r>
      <w:r w:rsidR="00B4528C" w:rsidRPr="00AA723E">
        <w:t xml:space="preserve"> or</w:t>
      </w:r>
      <w:r w:rsidRPr="00AA723E">
        <w:t xml:space="preserve"> where the provider has failed to fulfil its obligation and enter into a written agreement with the student. The clarification and consistency in the </w:t>
      </w:r>
      <w:r w:rsidR="00B4528C" w:rsidRPr="00AA723E">
        <w:t>specification</w:t>
      </w:r>
      <w:r w:rsidRPr="00AA723E">
        <w:t xml:space="preserve"> provide improved protection for overseas students.</w:t>
      </w:r>
    </w:p>
    <w:p w14:paraId="605B0AD1" w14:textId="77777777" w:rsidR="008D3980" w:rsidRPr="00AA723E" w:rsidRDefault="008D3980" w:rsidP="00BD2C58"/>
    <w:p w14:paraId="605B0AD2" w14:textId="77777777" w:rsidR="008D3980" w:rsidRPr="00AA723E" w:rsidRDefault="008D3980" w:rsidP="00BD2C58">
      <w:r w:rsidRPr="00AA723E">
        <w:t xml:space="preserve">To the extent that the right to education is engaged, this right is promoted by the </w:t>
      </w:r>
      <w:r w:rsidR="00B4528C" w:rsidRPr="00AA723E">
        <w:t>specification</w:t>
      </w:r>
      <w:r w:rsidRPr="00AA723E">
        <w:t>.</w:t>
      </w:r>
    </w:p>
    <w:p w14:paraId="605B0AD3" w14:textId="77777777" w:rsidR="008D3980" w:rsidRPr="00AA723E" w:rsidRDefault="008D3980" w:rsidP="00BD2C58"/>
    <w:p w14:paraId="605B0AD4" w14:textId="77777777" w:rsidR="00A52910" w:rsidRPr="00F738F6" w:rsidRDefault="00A52910" w:rsidP="00BD2C58">
      <w:pPr>
        <w:rPr>
          <w:b/>
          <w:iCs/>
        </w:rPr>
      </w:pPr>
      <w:r w:rsidRPr="00F738F6">
        <w:rPr>
          <w:b/>
          <w:iCs/>
        </w:rPr>
        <w:t>Conclusion</w:t>
      </w:r>
    </w:p>
    <w:p w14:paraId="605B0AD5" w14:textId="77777777" w:rsidR="00A52910" w:rsidRPr="00AA723E" w:rsidRDefault="00A52910" w:rsidP="00BD2C58"/>
    <w:p w14:paraId="605B0AD6" w14:textId="77777777" w:rsidR="00F77188" w:rsidRPr="00F77188" w:rsidRDefault="00A52910" w:rsidP="00BD2C58">
      <w:r w:rsidRPr="00AA723E">
        <w:t xml:space="preserve">This </w:t>
      </w:r>
      <w:r w:rsidR="00B4528C" w:rsidRPr="00AA723E">
        <w:t>specification</w:t>
      </w:r>
      <w:r w:rsidRPr="00AA723E">
        <w:t xml:space="preserve"> is compatible with human rights because it advances the protection of human rights. </w:t>
      </w:r>
    </w:p>
    <w:sectPr w:rsidR="00F77188" w:rsidRPr="00F77188" w:rsidSect="009A16C0">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222" w:left="1418"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B0AD9" w14:textId="77777777" w:rsidR="00A57FF7" w:rsidRDefault="00A57FF7" w:rsidP="004C08F4">
      <w:r>
        <w:separator/>
      </w:r>
    </w:p>
  </w:endnote>
  <w:endnote w:type="continuationSeparator" w:id="0">
    <w:p w14:paraId="605B0ADA" w14:textId="77777777" w:rsidR="00A57FF7" w:rsidRDefault="00A57FF7" w:rsidP="004C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B0ADD" w14:textId="77777777" w:rsidR="0091254E" w:rsidRDefault="009125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B0ADE" w14:textId="77777777" w:rsidR="004C08F4" w:rsidRPr="004C08F4" w:rsidRDefault="004C08F4">
    <w:pPr>
      <w:pStyle w:val="Footer"/>
      <w:jc w:val="center"/>
      <w:rPr>
        <w:sz w:val="20"/>
      </w:rPr>
    </w:pPr>
    <w:r w:rsidRPr="004C08F4">
      <w:rPr>
        <w:sz w:val="20"/>
      </w:rPr>
      <w:fldChar w:fldCharType="begin"/>
    </w:r>
    <w:r w:rsidRPr="004C08F4">
      <w:rPr>
        <w:sz w:val="20"/>
      </w:rPr>
      <w:instrText xml:space="preserve"> PAGE   \* MERGEFORMAT </w:instrText>
    </w:r>
    <w:r w:rsidRPr="004C08F4">
      <w:rPr>
        <w:sz w:val="20"/>
      </w:rPr>
      <w:fldChar w:fldCharType="separate"/>
    </w:r>
    <w:r w:rsidR="005122E8">
      <w:rPr>
        <w:noProof/>
        <w:sz w:val="20"/>
      </w:rPr>
      <w:t>1</w:t>
    </w:r>
    <w:r w:rsidRPr="004C08F4">
      <w:rPr>
        <w:sz w:val="20"/>
      </w:rPr>
      <w:fldChar w:fldCharType="end"/>
    </w:r>
  </w:p>
  <w:p w14:paraId="605B0ADF" w14:textId="77777777" w:rsidR="004C08F4" w:rsidRDefault="004C08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B0AE1" w14:textId="77777777" w:rsidR="0091254E" w:rsidRDefault="009125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B0AD7" w14:textId="77777777" w:rsidR="00A57FF7" w:rsidRDefault="00A57FF7" w:rsidP="004C08F4">
      <w:r>
        <w:separator/>
      </w:r>
    </w:p>
  </w:footnote>
  <w:footnote w:type="continuationSeparator" w:id="0">
    <w:p w14:paraId="605B0AD8" w14:textId="77777777" w:rsidR="00A57FF7" w:rsidRDefault="00A57FF7" w:rsidP="004C0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B0ADB" w14:textId="77777777" w:rsidR="0091254E" w:rsidRDefault="009125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B0ADC" w14:textId="77777777" w:rsidR="0091254E" w:rsidRDefault="009125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B0AE0" w14:textId="77777777" w:rsidR="0091254E" w:rsidRDefault="009125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4C9B"/>
    <w:multiLevelType w:val="hybridMultilevel"/>
    <w:tmpl w:val="251E7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D7F4CDE"/>
    <w:multiLevelType w:val="hybridMultilevel"/>
    <w:tmpl w:val="50704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EBD5FD4"/>
    <w:multiLevelType w:val="hybridMultilevel"/>
    <w:tmpl w:val="F906FB4A"/>
    <w:lvl w:ilvl="0" w:tplc="7098F398">
      <w:start w:val="1"/>
      <w:numFmt w:val="bullet"/>
      <w:lvlText w:val=""/>
      <w:lvlJc w:val="left"/>
      <w:pPr>
        <w:tabs>
          <w:tab w:val="num" w:pos="216"/>
        </w:tabs>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3">
    <w:nsid w:val="1F2502B2"/>
    <w:multiLevelType w:val="hybridMultilevel"/>
    <w:tmpl w:val="26701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FA46720"/>
    <w:multiLevelType w:val="hybridMultilevel"/>
    <w:tmpl w:val="2DC44810"/>
    <w:lvl w:ilvl="0" w:tplc="9A764146">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41730F31"/>
    <w:multiLevelType w:val="hybridMultilevel"/>
    <w:tmpl w:val="37DC3B1A"/>
    <w:lvl w:ilvl="0" w:tplc="0C090011">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nsid w:val="51C77963"/>
    <w:multiLevelType w:val="hybridMultilevel"/>
    <w:tmpl w:val="52A03B74"/>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7">
    <w:nsid w:val="7291027F"/>
    <w:multiLevelType w:val="hybridMultilevel"/>
    <w:tmpl w:val="F8CA24F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8">
    <w:nsid w:val="73165CF9"/>
    <w:multiLevelType w:val="hybridMultilevel"/>
    <w:tmpl w:val="EAB84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2"/>
  </w:num>
  <w:num w:numId="4">
    <w:abstractNumId w:val="6"/>
  </w:num>
  <w:num w:numId="5">
    <w:abstractNumId w:val="7"/>
  </w:num>
  <w:num w:numId="6">
    <w:abstractNumId w:val="5"/>
  </w:num>
  <w:num w:numId="7">
    <w:abstractNumId w:val="8"/>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C46"/>
    <w:rsid w:val="000004DD"/>
    <w:rsid w:val="00002A7C"/>
    <w:rsid w:val="00004DEC"/>
    <w:rsid w:val="00004F4D"/>
    <w:rsid w:val="000069B2"/>
    <w:rsid w:val="000069C4"/>
    <w:rsid w:val="000103CB"/>
    <w:rsid w:val="00010FFA"/>
    <w:rsid w:val="00012097"/>
    <w:rsid w:val="00014524"/>
    <w:rsid w:val="00014704"/>
    <w:rsid w:val="00015D30"/>
    <w:rsid w:val="0002308D"/>
    <w:rsid w:val="00027C86"/>
    <w:rsid w:val="00032737"/>
    <w:rsid w:val="00034725"/>
    <w:rsid w:val="00036404"/>
    <w:rsid w:val="00040B84"/>
    <w:rsid w:val="00042156"/>
    <w:rsid w:val="00045249"/>
    <w:rsid w:val="0004578B"/>
    <w:rsid w:val="000479EF"/>
    <w:rsid w:val="00050EFB"/>
    <w:rsid w:val="00051130"/>
    <w:rsid w:val="00052D53"/>
    <w:rsid w:val="00052FAB"/>
    <w:rsid w:val="0005378B"/>
    <w:rsid w:val="00062044"/>
    <w:rsid w:val="00062D8C"/>
    <w:rsid w:val="0006476D"/>
    <w:rsid w:val="000712F3"/>
    <w:rsid w:val="00072A59"/>
    <w:rsid w:val="000751DD"/>
    <w:rsid w:val="00075315"/>
    <w:rsid w:val="00075DF6"/>
    <w:rsid w:val="00082B5C"/>
    <w:rsid w:val="00083AE5"/>
    <w:rsid w:val="00093D56"/>
    <w:rsid w:val="00093E37"/>
    <w:rsid w:val="000977AB"/>
    <w:rsid w:val="000A19B4"/>
    <w:rsid w:val="000A6FD1"/>
    <w:rsid w:val="000B0FB3"/>
    <w:rsid w:val="000B1889"/>
    <w:rsid w:val="000B2857"/>
    <w:rsid w:val="000B2EA7"/>
    <w:rsid w:val="000B398E"/>
    <w:rsid w:val="000C064D"/>
    <w:rsid w:val="000C201D"/>
    <w:rsid w:val="000C4F3B"/>
    <w:rsid w:val="000C5F45"/>
    <w:rsid w:val="000C6378"/>
    <w:rsid w:val="000D2925"/>
    <w:rsid w:val="000E0931"/>
    <w:rsid w:val="000E1263"/>
    <w:rsid w:val="000E2961"/>
    <w:rsid w:val="000E38FD"/>
    <w:rsid w:val="000E5FCA"/>
    <w:rsid w:val="000F032B"/>
    <w:rsid w:val="000F733C"/>
    <w:rsid w:val="000F77B8"/>
    <w:rsid w:val="001011A5"/>
    <w:rsid w:val="00103224"/>
    <w:rsid w:val="00103AFD"/>
    <w:rsid w:val="00103F01"/>
    <w:rsid w:val="0010471C"/>
    <w:rsid w:val="0011072F"/>
    <w:rsid w:val="001168DC"/>
    <w:rsid w:val="0011701D"/>
    <w:rsid w:val="0011764A"/>
    <w:rsid w:val="00122D7C"/>
    <w:rsid w:val="0012387C"/>
    <w:rsid w:val="00125D84"/>
    <w:rsid w:val="0013024F"/>
    <w:rsid w:val="00134829"/>
    <w:rsid w:val="001349FF"/>
    <w:rsid w:val="00137D66"/>
    <w:rsid w:val="00140E93"/>
    <w:rsid w:val="00141943"/>
    <w:rsid w:val="00143924"/>
    <w:rsid w:val="00151DB7"/>
    <w:rsid w:val="0015597D"/>
    <w:rsid w:val="00155D78"/>
    <w:rsid w:val="00160519"/>
    <w:rsid w:val="0016140A"/>
    <w:rsid w:val="001771F4"/>
    <w:rsid w:val="001775C7"/>
    <w:rsid w:val="001803A4"/>
    <w:rsid w:val="0018167A"/>
    <w:rsid w:val="00183D67"/>
    <w:rsid w:val="00186717"/>
    <w:rsid w:val="00190F2F"/>
    <w:rsid w:val="00194A5D"/>
    <w:rsid w:val="00196CFD"/>
    <w:rsid w:val="0019719B"/>
    <w:rsid w:val="001A1B7B"/>
    <w:rsid w:val="001A4118"/>
    <w:rsid w:val="001A438A"/>
    <w:rsid w:val="001A4492"/>
    <w:rsid w:val="001A5185"/>
    <w:rsid w:val="001A5FCB"/>
    <w:rsid w:val="001A710C"/>
    <w:rsid w:val="001B01C3"/>
    <w:rsid w:val="001B4165"/>
    <w:rsid w:val="001B5876"/>
    <w:rsid w:val="001B7C53"/>
    <w:rsid w:val="001C29C5"/>
    <w:rsid w:val="001C63D0"/>
    <w:rsid w:val="001C72BB"/>
    <w:rsid w:val="001C73FD"/>
    <w:rsid w:val="001D0FE0"/>
    <w:rsid w:val="001D2A1C"/>
    <w:rsid w:val="001D5004"/>
    <w:rsid w:val="001D66A9"/>
    <w:rsid w:val="001E1038"/>
    <w:rsid w:val="001E2280"/>
    <w:rsid w:val="001E6979"/>
    <w:rsid w:val="001E7E14"/>
    <w:rsid w:val="001F0132"/>
    <w:rsid w:val="001F0C99"/>
    <w:rsid w:val="001F22DE"/>
    <w:rsid w:val="002032BE"/>
    <w:rsid w:val="0020405C"/>
    <w:rsid w:val="00205BC4"/>
    <w:rsid w:val="00210259"/>
    <w:rsid w:val="00212DD6"/>
    <w:rsid w:val="00213D10"/>
    <w:rsid w:val="00214638"/>
    <w:rsid w:val="00216261"/>
    <w:rsid w:val="00224B8E"/>
    <w:rsid w:val="002262E3"/>
    <w:rsid w:val="0023003D"/>
    <w:rsid w:val="0023396B"/>
    <w:rsid w:val="00241119"/>
    <w:rsid w:val="00245A6A"/>
    <w:rsid w:val="00246D4C"/>
    <w:rsid w:val="00247657"/>
    <w:rsid w:val="00250827"/>
    <w:rsid w:val="00252C53"/>
    <w:rsid w:val="00255B62"/>
    <w:rsid w:val="00264240"/>
    <w:rsid w:val="0026586F"/>
    <w:rsid w:val="00265F9D"/>
    <w:rsid w:val="002711CB"/>
    <w:rsid w:val="002713E0"/>
    <w:rsid w:val="00274D4F"/>
    <w:rsid w:val="00276F2A"/>
    <w:rsid w:val="002852DA"/>
    <w:rsid w:val="00290480"/>
    <w:rsid w:val="00291FCF"/>
    <w:rsid w:val="00293152"/>
    <w:rsid w:val="00293C2F"/>
    <w:rsid w:val="00295973"/>
    <w:rsid w:val="002962F5"/>
    <w:rsid w:val="002A0062"/>
    <w:rsid w:val="002A3D7D"/>
    <w:rsid w:val="002A5754"/>
    <w:rsid w:val="002A7601"/>
    <w:rsid w:val="002A7B22"/>
    <w:rsid w:val="002B0742"/>
    <w:rsid w:val="002B2D84"/>
    <w:rsid w:val="002B3900"/>
    <w:rsid w:val="002B43F7"/>
    <w:rsid w:val="002B49D3"/>
    <w:rsid w:val="002C4A28"/>
    <w:rsid w:val="002C7724"/>
    <w:rsid w:val="002D2216"/>
    <w:rsid w:val="002D30F9"/>
    <w:rsid w:val="002D4C0B"/>
    <w:rsid w:val="002D5D85"/>
    <w:rsid w:val="002D75BF"/>
    <w:rsid w:val="002E5B1F"/>
    <w:rsid w:val="002F1E91"/>
    <w:rsid w:val="002F2837"/>
    <w:rsid w:val="002F4A98"/>
    <w:rsid w:val="003008BD"/>
    <w:rsid w:val="003023AF"/>
    <w:rsid w:val="00302522"/>
    <w:rsid w:val="0030287A"/>
    <w:rsid w:val="003028E4"/>
    <w:rsid w:val="003051FF"/>
    <w:rsid w:val="00306E26"/>
    <w:rsid w:val="0031026D"/>
    <w:rsid w:val="003108D5"/>
    <w:rsid w:val="00312A21"/>
    <w:rsid w:val="00312BF1"/>
    <w:rsid w:val="00316144"/>
    <w:rsid w:val="00316CEF"/>
    <w:rsid w:val="00317D5B"/>
    <w:rsid w:val="00320F1A"/>
    <w:rsid w:val="00321A59"/>
    <w:rsid w:val="00325933"/>
    <w:rsid w:val="00340301"/>
    <w:rsid w:val="00352FCA"/>
    <w:rsid w:val="0035634E"/>
    <w:rsid w:val="00357BBF"/>
    <w:rsid w:val="00357D92"/>
    <w:rsid w:val="00361860"/>
    <w:rsid w:val="00366813"/>
    <w:rsid w:val="00371E76"/>
    <w:rsid w:val="00372F30"/>
    <w:rsid w:val="003755DF"/>
    <w:rsid w:val="003802DA"/>
    <w:rsid w:val="003816B6"/>
    <w:rsid w:val="00382B44"/>
    <w:rsid w:val="00385201"/>
    <w:rsid w:val="00387B53"/>
    <w:rsid w:val="003919BB"/>
    <w:rsid w:val="003925E6"/>
    <w:rsid w:val="00397ECF"/>
    <w:rsid w:val="003A1A37"/>
    <w:rsid w:val="003A1BC3"/>
    <w:rsid w:val="003A43F0"/>
    <w:rsid w:val="003C4857"/>
    <w:rsid w:val="003C7C66"/>
    <w:rsid w:val="003D1CB9"/>
    <w:rsid w:val="003D692A"/>
    <w:rsid w:val="003E04DE"/>
    <w:rsid w:val="003E30B9"/>
    <w:rsid w:val="003E5677"/>
    <w:rsid w:val="003E56DC"/>
    <w:rsid w:val="003E58D8"/>
    <w:rsid w:val="003E69E4"/>
    <w:rsid w:val="003F1A05"/>
    <w:rsid w:val="003F5773"/>
    <w:rsid w:val="003F6A43"/>
    <w:rsid w:val="003F6DBB"/>
    <w:rsid w:val="003F7075"/>
    <w:rsid w:val="004033AA"/>
    <w:rsid w:val="00404828"/>
    <w:rsid w:val="004069DC"/>
    <w:rsid w:val="004125CC"/>
    <w:rsid w:val="004149F8"/>
    <w:rsid w:val="00415BBA"/>
    <w:rsid w:val="00417FE0"/>
    <w:rsid w:val="0042060F"/>
    <w:rsid w:val="004208BA"/>
    <w:rsid w:val="0042211F"/>
    <w:rsid w:val="00422B59"/>
    <w:rsid w:val="00424819"/>
    <w:rsid w:val="00424EF4"/>
    <w:rsid w:val="004265D5"/>
    <w:rsid w:val="004266C1"/>
    <w:rsid w:val="00427D77"/>
    <w:rsid w:val="00430C71"/>
    <w:rsid w:val="00431D54"/>
    <w:rsid w:val="00433E53"/>
    <w:rsid w:val="00435D59"/>
    <w:rsid w:val="00441ED1"/>
    <w:rsid w:val="0044347D"/>
    <w:rsid w:val="00443AC4"/>
    <w:rsid w:val="00444401"/>
    <w:rsid w:val="00461066"/>
    <w:rsid w:val="00461793"/>
    <w:rsid w:val="00462F6C"/>
    <w:rsid w:val="00472E6C"/>
    <w:rsid w:val="004731D3"/>
    <w:rsid w:val="004762BA"/>
    <w:rsid w:val="00482935"/>
    <w:rsid w:val="0048542D"/>
    <w:rsid w:val="00490018"/>
    <w:rsid w:val="00490063"/>
    <w:rsid w:val="00490255"/>
    <w:rsid w:val="00491482"/>
    <w:rsid w:val="00491FB8"/>
    <w:rsid w:val="0049440F"/>
    <w:rsid w:val="004A1AAB"/>
    <w:rsid w:val="004A236F"/>
    <w:rsid w:val="004A3089"/>
    <w:rsid w:val="004B28E6"/>
    <w:rsid w:val="004B4502"/>
    <w:rsid w:val="004C08F4"/>
    <w:rsid w:val="004C17B8"/>
    <w:rsid w:val="004C5152"/>
    <w:rsid w:val="004C72EF"/>
    <w:rsid w:val="004C7896"/>
    <w:rsid w:val="004C796A"/>
    <w:rsid w:val="004D039B"/>
    <w:rsid w:val="004D17E9"/>
    <w:rsid w:val="004D2C46"/>
    <w:rsid w:val="004F3AC5"/>
    <w:rsid w:val="004F4704"/>
    <w:rsid w:val="004F5471"/>
    <w:rsid w:val="004F718C"/>
    <w:rsid w:val="0050190A"/>
    <w:rsid w:val="00503690"/>
    <w:rsid w:val="005122E8"/>
    <w:rsid w:val="005139C6"/>
    <w:rsid w:val="00517658"/>
    <w:rsid w:val="00520977"/>
    <w:rsid w:val="00520BD3"/>
    <w:rsid w:val="0052219E"/>
    <w:rsid w:val="00530CB3"/>
    <w:rsid w:val="00534C78"/>
    <w:rsid w:val="005412B6"/>
    <w:rsid w:val="005454B4"/>
    <w:rsid w:val="00550F4A"/>
    <w:rsid w:val="00554735"/>
    <w:rsid w:val="005603E6"/>
    <w:rsid w:val="00560578"/>
    <w:rsid w:val="00560F9D"/>
    <w:rsid w:val="00565311"/>
    <w:rsid w:val="00566270"/>
    <w:rsid w:val="00571400"/>
    <w:rsid w:val="00571C23"/>
    <w:rsid w:val="005764D6"/>
    <w:rsid w:val="0057652A"/>
    <w:rsid w:val="0057745E"/>
    <w:rsid w:val="00581FF5"/>
    <w:rsid w:val="0058300A"/>
    <w:rsid w:val="00583176"/>
    <w:rsid w:val="00586CC7"/>
    <w:rsid w:val="005872BC"/>
    <w:rsid w:val="005915EC"/>
    <w:rsid w:val="00592094"/>
    <w:rsid w:val="00595786"/>
    <w:rsid w:val="005A04E0"/>
    <w:rsid w:val="005A117C"/>
    <w:rsid w:val="005A3429"/>
    <w:rsid w:val="005A3514"/>
    <w:rsid w:val="005A48AF"/>
    <w:rsid w:val="005A48ED"/>
    <w:rsid w:val="005C3223"/>
    <w:rsid w:val="005C5B8B"/>
    <w:rsid w:val="005C5DF7"/>
    <w:rsid w:val="005D2C22"/>
    <w:rsid w:val="005D33C6"/>
    <w:rsid w:val="005D5CCD"/>
    <w:rsid w:val="005D6AB1"/>
    <w:rsid w:val="005D6E74"/>
    <w:rsid w:val="005D726C"/>
    <w:rsid w:val="005E0A0B"/>
    <w:rsid w:val="005E1C74"/>
    <w:rsid w:val="005E2E31"/>
    <w:rsid w:val="005E4C33"/>
    <w:rsid w:val="005E5B2B"/>
    <w:rsid w:val="005F296A"/>
    <w:rsid w:val="005F385F"/>
    <w:rsid w:val="005F4989"/>
    <w:rsid w:val="005F5617"/>
    <w:rsid w:val="005F65DC"/>
    <w:rsid w:val="005F7872"/>
    <w:rsid w:val="0060068B"/>
    <w:rsid w:val="00600D76"/>
    <w:rsid w:val="006066CC"/>
    <w:rsid w:val="00607AC8"/>
    <w:rsid w:val="00612C19"/>
    <w:rsid w:val="00613F36"/>
    <w:rsid w:val="00616C06"/>
    <w:rsid w:val="006172A4"/>
    <w:rsid w:val="006176B9"/>
    <w:rsid w:val="006179BB"/>
    <w:rsid w:val="00617DFC"/>
    <w:rsid w:val="00623554"/>
    <w:rsid w:val="00625F15"/>
    <w:rsid w:val="00627387"/>
    <w:rsid w:val="006304AE"/>
    <w:rsid w:val="00632308"/>
    <w:rsid w:val="00632FF3"/>
    <w:rsid w:val="0063402C"/>
    <w:rsid w:val="00640A9B"/>
    <w:rsid w:val="00641784"/>
    <w:rsid w:val="00657E91"/>
    <w:rsid w:val="00663DE9"/>
    <w:rsid w:val="00670E96"/>
    <w:rsid w:val="006767CD"/>
    <w:rsid w:val="00676E45"/>
    <w:rsid w:val="00677698"/>
    <w:rsid w:val="00681498"/>
    <w:rsid w:val="006823BA"/>
    <w:rsid w:val="006828AE"/>
    <w:rsid w:val="00691D36"/>
    <w:rsid w:val="006B064D"/>
    <w:rsid w:val="006C0F90"/>
    <w:rsid w:val="006C10C7"/>
    <w:rsid w:val="006C3E9B"/>
    <w:rsid w:val="006D059A"/>
    <w:rsid w:val="006D0923"/>
    <w:rsid w:val="006D3569"/>
    <w:rsid w:val="006E69AD"/>
    <w:rsid w:val="006E6C03"/>
    <w:rsid w:val="006F3CC3"/>
    <w:rsid w:val="006F647D"/>
    <w:rsid w:val="006F7EBA"/>
    <w:rsid w:val="0070568D"/>
    <w:rsid w:val="0070743F"/>
    <w:rsid w:val="00707C73"/>
    <w:rsid w:val="00710430"/>
    <w:rsid w:val="00712F87"/>
    <w:rsid w:val="007158B1"/>
    <w:rsid w:val="00715CFA"/>
    <w:rsid w:val="007165B9"/>
    <w:rsid w:val="00720FFE"/>
    <w:rsid w:val="007240C2"/>
    <w:rsid w:val="00724D4B"/>
    <w:rsid w:val="0072584C"/>
    <w:rsid w:val="00725DDE"/>
    <w:rsid w:val="0072754A"/>
    <w:rsid w:val="00731EDA"/>
    <w:rsid w:val="007323F3"/>
    <w:rsid w:val="00734425"/>
    <w:rsid w:val="0074164E"/>
    <w:rsid w:val="007441C3"/>
    <w:rsid w:val="007448CC"/>
    <w:rsid w:val="00745885"/>
    <w:rsid w:val="00746088"/>
    <w:rsid w:val="00751E59"/>
    <w:rsid w:val="00751EC6"/>
    <w:rsid w:val="00752B2F"/>
    <w:rsid w:val="007617B0"/>
    <w:rsid w:val="00761A2E"/>
    <w:rsid w:val="007626B1"/>
    <w:rsid w:val="00764CC9"/>
    <w:rsid w:val="007665A0"/>
    <w:rsid w:val="00771633"/>
    <w:rsid w:val="0077370B"/>
    <w:rsid w:val="00773BF7"/>
    <w:rsid w:val="00774375"/>
    <w:rsid w:val="007746AC"/>
    <w:rsid w:val="00774996"/>
    <w:rsid w:val="0077742E"/>
    <w:rsid w:val="00783998"/>
    <w:rsid w:val="00786919"/>
    <w:rsid w:val="007934A5"/>
    <w:rsid w:val="00795F6C"/>
    <w:rsid w:val="007A0682"/>
    <w:rsid w:val="007A0938"/>
    <w:rsid w:val="007A15A8"/>
    <w:rsid w:val="007A1BD9"/>
    <w:rsid w:val="007B37D1"/>
    <w:rsid w:val="007B4586"/>
    <w:rsid w:val="007C1976"/>
    <w:rsid w:val="007C3F94"/>
    <w:rsid w:val="007C4D7E"/>
    <w:rsid w:val="007C7B3C"/>
    <w:rsid w:val="007D0F32"/>
    <w:rsid w:val="007D230E"/>
    <w:rsid w:val="007D37C1"/>
    <w:rsid w:val="007D476A"/>
    <w:rsid w:val="007D66B7"/>
    <w:rsid w:val="007E57F9"/>
    <w:rsid w:val="007F2193"/>
    <w:rsid w:val="007F24E3"/>
    <w:rsid w:val="007F2751"/>
    <w:rsid w:val="007F2996"/>
    <w:rsid w:val="007F4C12"/>
    <w:rsid w:val="0080122C"/>
    <w:rsid w:val="00806D4A"/>
    <w:rsid w:val="0081051B"/>
    <w:rsid w:val="00811936"/>
    <w:rsid w:val="008119D5"/>
    <w:rsid w:val="00816DD5"/>
    <w:rsid w:val="008179BF"/>
    <w:rsid w:val="00820F20"/>
    <w:rsid w:val="0082510C"/>
    <w:rsid w:val="008260E3"/>
    <w:rsid w:val="0082728C"/>
    <w:rsid w:val="0083373E"/>
    <w:rsid w:val="0083416A"/>
    <w:rsid w:val="00834E86"/>
    <w:rsid w:val="0083515E"/>
    <w:rsid w:val="00841893"/>
    <w:rsid w:val="00844A85"/>
    <w:rsid w:val="0085292F"/>
    <w:rsid w:val="008532B6"/>
    <w:rsid w:val="00857E12"/>
    <w:rsid w:val="0086058F"/>
    <w:rsid w:val="008619ED"/>
    <w:rsid w:val="00862673"/>
    <w:rsid w:val="00872CB9"/>
    <w:rsid w:val="00875B7D"/>
    <w:rsid w:val="00876554"/>
    <w:rsid w:val="00882023"/>
    <w:rsid w:val="008832D5"/>
    <w:rsid w:val="008836EE"/>
    <w:rsid w:val="00885CDC"/>
    <w:rsid w:val="00890712"/>
    <w:rsid w:val="008919CF"/>
    <w:rsid w:val="00891C63"/>
    <w:rsid w:val="00895236"/>
    <w:rsid w:val="00895AD0"/>
    <w:rsid w:val="00895FCB"/>
    <w:rsid w:val="00896CEF"/>
    <w:rsid w:val="008A0FB3"/>
    <w:rsid w:val="008A21E7"/>
    <w:rsid w:val="008A6E90"/>
    <w:rsid w:val="008A7BCF"/>
    <w:rsid w:val="008B2217"/>
    <w:rsid w:val="008B2A56"/>
    <w:rsid w:val="008B4456"/>
    <w:rsid w:val="008B6E17"/>
    <w:rsid w:val="008B7CBC"/>
    <w:rsid w:val="008C193C"/>
    <w:rsid w:val="008C598B"/>
    <w:rsid w:val="008D0098"/>
    <w:rsid w:val="008D0107"/>
    <w:rsid w:val="008D3980"/>
    <w:rsid w:val="008D7BE6"/>
    <w:rsid w:val="008E44CE"/>
    <w:rsid w:val="008E631F"/>
    <w:rsid w:val="008F1FFD"/>
    <w:rsid w:val="008F21C9"/>
    <w:rsid w:val="008F62BC"/>
    <w:rsid w:val="009009E4"/>
    <w:rsid w:val="00901F93"/>
    <w:rsid w:val="00904A4B"/>
    <w:rsid w:val="00904C9C"/>
    <w:rsid w:val="00911229"/>
    <w:rsid w:val="0091254E"/>
    <w:rsid w:val="00913E57"/>
    <w:rsid w:val="0091603C"/>
    <w:rsid w:val="0091639D"/>
    <w:rsid w:val="00916CCA"/>
    <w:rsid w:val="00917800"/>
    <w:rsid w:val="00921253"/>
    <w:rsid w:val="0092364B"/>
    <w:rsid w:val="0092436E"/>
    <w:rsid w:val="00942BE7"/>
    <w:rsid w:val="0094660E"/>
    <w:rsid w:val="00957B3F"/>
    <w:rsid w:val="00961C9B"/>
    <w:rsid w:val="00963AF8"/>
    <w:rsid w:val="00964587"/>
    <w:rsid w:val="0096486F"/>
    <w:rsid w:val="00971B0E"/>
    <w:rsid w:val="009724E3"/>
    <w:rsid w:val="00974432"/>
    <w:rsid w:val="009747A9"/>
    <w:rsid w:val="00976401"/>
    <w:rsid w:val="009800CA"/>
    <w:rsid w:val="009807E6"/>
    <w:rsid w:val="00982561"/>
    <w:rsid w:val="00983B70"/>
    <w:rsid w:val="0099365D"/>
    <w:rsid w:val="00994D45"/>
    <w:rsid w:val="009A16C0"/>
    <w:rsid w:val="009A471F"/>
    <w:rsid w:val="009A473D"/>
    <w:rsid w:val="009A7D68"/>
    <w:rsid w:val="009B7933"/>
    <w:rsid w:val="009C5834"/>
    <w:rsid w:val="009D576C"/>
    <w:rsid w:val="009D64C6"/>
    <w:rsid w:val="009D67DE"/>
    <w:rsid w:val="009D7A1F"/>
    <w:rsid w:val="009D7C0A"/>
    <w:rsid w:val="009E4859"/>
    <w:rsid w:val="009E76E2"/>
    <w:rsid w:val="009E7A69"/>
    <w:rsid w:val="009E7CD1"/>
    <w:rsid w:val="009F1E6C"/>
    <w:rsid w:val="009F4D7A"/>
    <w:rsid w:val="009F6B8E"/>
    <w:rsid w:val="00A0112B"/>
    <w:rsid w:val="00A014E3"/>
    <w:rsid w:val="00A0518B"/>
    <w:rsid w:val="00A079AC"/>
    <w:rsid w:val="00A1062C"/>
    <w:rsid w:val="00A1332D"/>
    <w:rsid w:val="00A16878"/>
    <w:rsid w:val="00A16D60"/>
    <w:rsid w:val="00A17D58"/>
    <w:rsid w:val="00A20F32"/>
    <w:rsid w:val="00A22272"/>
    <w:rsid w:val="00A22A13"/>
    <w:rsid w:val="00A25536"/>
    <w:rsid w:val="00A3619B"/>
    <w:rsid w:val="00A3632C"/>
    <w:rsid w:val="00A4232E"/>
    <w:rsid w:val="00A46E9B"/>
    <w:rsid w:val="00A51C05"/>
    <w:rsid w:val="00A52910"/>
    <w:rsid w:val="00A56AE3"/>
    <w:rsid w:val="00A57FF7"/>
    <w:rsid w:val="00A61E2F"/>
    <w:rsid w:val="00A62380"/>
    <w:rsid w:val="00A630D9"/>
    <w:rsid w:val="00A668B3"/>
    <w:rsid w:val="00A706F7"/>
    <w:rsid w:val="00A72078"/>
    <w:rsid w:val="00A72119"/>
    <w:rsid w:val="00A727EE"/>
    <w:rsid w:val="00A733BE"/>
    <w:rsid w:val="00A75FCD"/>
    <w:rsid w:val="00A76CFF"/>
    <w:rsid w:val="00A7726D"/>
    <w:rsid w:val="00A8398F"/>
    <w:rsid w:val="00A83EB7"/>
    <w:rsid w:val="00A860F5"/>
    <w:rsid w:val="00A940E5"/>
    <w:rsid w:val="00A9600F"/>
    <w:rsid w:val="00A96C03"/>
    <w:rsid w:val="00AA5DAC"/>
    <w:rsid w:val="00AA723E"/>
    <w:rsid w:val="00AB510C"/>
    <w:rsid w:val="00AC4127"/>
    <w:rsid w:val="00AC5323"/>
    <w:rsid w:val="00AC5A89"/>
    <w:rsid w:val="00AD5DF6"/>
    <w:rsid w:val="00AD74BF"/>
    <w:rsid w:val="00AD7EF2"/>
    <w:rsid w:val="00AE289E"/>
    <w:rsid w:val="00AE30ED"/>
    <w:rsid w:val="00AE4863"/>
    <w:rsid w:val="00AF184B"/>
    <w:rsid w:val="00AF49E1"/>
    <w:rsid w:val="00AF7A69"/>
    <w:rsid w:val="00B03435"/>
    <w:rsid w:val="00B03F57"/>
    <w:rsid w:val="00B04800"/>
    <w:rsid w:val="00B06BC3"/>
    <w:rsid w:val="00B10F5A"/>
    <w:rsid w:val="00B112E8"/>
    <w:rsid w:val="00B11C7F"/>
    <w:rsid w:val="00B1392D"/>
    <w:rsid w:val="00B141C2"/>
    <w:rsid w:val="00B21A41"/>
    <w:rsid w:val="00B23516"/>
    <w:rsid w:val="00B247CC"/>
    <w:rsid w:val="00B37FEA"/>
    <w:rsid w:val="00B40C6B"/>
    <w:rsid w:val="00B4183D"/>
    <w:rsid w:val="00B42118"/>
    <w:rsid w:val="00B451FE"/>
    <w:rsid w:val="00B4528C"/>
    <w:rsid w:val="00B50449"/>
    <w:rsid w:val="00B514FB"/>
    <w:rsid w:val="00B545C6"/>
    <w:rsid w:val="00B65CA1"/>
    <w:rsid w:val="00B71932"/>
    <w:rsid w:val="00B72461"/>
    <w:rsid w:val="00B76F5C"/>
    <w:rsid w:val="00B77656"/>
    <w:rsid w:val="00B77D30"/>
    <w:rsid w:val="00B9006B"/>
    <w:rsid w:val="00B923F7"/>
    <w:rsid w:val="00B92BBB"/>
    <w:rsid w:val="00B94CA5"/>
    <w:rsid w:val="00BA05A8"/>
    <w:rsid w:val="00BA3EBC"/>
    <w:rsid w:val="00BA4136"/>
    <w:rsid w:val="00BA51CE"/>
    <w:rsid w:val="00BB1347"/>
    <w:rsid w:val="00BB6275"/>
    <w:rsid w:val="00BB678A"/>
    <w:rsid w:val="00BC2B37"/>
    <w:rsid w:val="00BC490C"/>
    <w:rsid w:val="00BC5448"/>
    <w:rsid w:val="00BD06F0"/>
    <w:rsid w:val="00BD2C58"/>
    <w:rsid w:val="00BD5C3A"/>
    <w:rsid w:val="00BD7A44"/>
    <w:rsid w:val="00BE0B01"/>
    <w:rsid w:val="00BE1740"/>
    <w:rsid w:val="00BE22C6"/>
    <w:rsid w:val="00BE30BF"/>
    <w:rsid w:val="00BE6A67"/>
    <w:rsid w:val="00BE7191"/>
    <w:rsid w:val="00BF280D"/>
    <w:rsid w:val="00BF4210"/>
    <w:rsid w:val="00BF4E52"/>
    <w:rsid w:val="00C01B85"/>
    <w:rsid w:val="00C06BF0"/>
    <w:rsid w:val="00C111F3"/>
    <w:rsid w:val="00C12ACB"/>
    <w:rsid w:val="00C13813"/>
    <w:rsid w:val="00C145C1"/>
    <w:rsid w:val="00C23410"/>
    <w:rsid w:val="00C355AB"/>
    <w:rsid w:val="00C43386"/>
    <w:rsid w:val="00C464AA"/>
    <w:rsid w:val="00C467D0"/>
    <w:rsid w:val="00C5263A"/>
    <w:rsid w:val="00C539FE"/>
    <w:rsid w:val="00C546AA"/>
    <w:rsid w:val="00C547E0"/>
    <w:rsid w:val="00C55E1B"/>
    <w:rsid w:val="00C56B58"/>
    <w:rsid w:val="00C57FFA"/>
    <w:rsid w:val="00C603DE"/>
    <w:rsid w:val="00C62A62"/>
    <w:rsid w:val="00C6581E"/>
    <w:rsid w:val="00C664DA"/>
    <w:rsid w:val="00C66654"/>
    <w:rsid w:val="00C74E43"/>
    <w:rsid w:val="00C751AB"/>
    <w:rsid w:val="00C77AC5"/>
    <w:rsid w:val="00C80AA2"/>
    <w:rsid w:val="00C84089"/>
    <w:rsid w:val="00C84D68"/>
    <w:rsid w:val="00C86844"/>
    <w:rsid w:val="00C870AB"/>
    <w:rsid w:val="00C94E4D"/>
    <w:rsid w:val="00CA00B1"/>
    <w:rsid w:val="00CB1AEC"/>
    <w:rsid w:val="00CB32B4"/>
    <w:rsid w:val="00CB531F"/>
    <w:rsid w:val="00CC0A07"/>
    <w:rsid w:val="00CC15A4"/>
    <w:rsid w:val="00CC2CCA"/>
    <w:rsid w:val="00CD255C"/>
    <w:rsid w:val="00CD3B3A"/>
    <w:rsid w:val="00CD5BBC"/>
    <w:rsid w:val="00CD7793"/>
    <w:rsid w:val="00CE266E"/>
    <w:rsid w:val="00CE51EB"/>
    <w:rsid w:val="00CE5897"/>
    <w:rsid w:val="00CE58A1"/>
    <w:rsid w:val="00CF7250"/>
    <w:rsid w:val="00D0145F"/>
    <w:rsid w:val="00D02A06"/>
    <w:rsid w:val="00D053BD"/>
    <w:rsid w:val="00D05A31"/>
    <w:rsid w:val="00D07B54"/>
    <w:rsid w:val="00D11A08"/>
    <w:rsid w:val="00D12539"/>
    <w:rsid w:val="00D15A4B"/>
    <w:rsid w:val="00D15F28"/>
    <w:rsid w:val="00D2224B"/>
    <w:rsid w:val="00D2284D"/>
    <w:rsid w:val="00D254F2"/>
    <w:rsid w:val="00D30A99"/>
    <w:rsid w:val="00D36564"/>
    <w:rsid w:val="00D36BAD"/>
    <w:rsid w:val="00D42727"/>
    <w:rsid w:val="00D45DD4"/>
    <w:rsid w:val="00D51539"/>
    <w:rsid w:val="00D57034"/>
    <w:rsid w:val="00D60E4F"/>
    <w:rsid w:val="00D613BB"/>
    <w:rsid w:val="00D61C71"/>
    <w:rsid w:val="00D62C7A"/>
    <w:rsid w:val="00D65AE2"/>
    <w:rsid w:val="00D668AF"/>
    <w:rsid w:val="00D72BCB"/>
    <w:rsid w:val="00D74156"/>
    <w:rsid w:val="00D74F1A"/>
    <w:rsid w:val="00D76CB8"/>
    <w:rsid w:val="00D77A06"/>
    <w:rsid w:val="00D81371"/>
    <w:rsid w:val="00D83A3B"/>
    <w:rsid w:val="00D849DD"/>
    <w:rsid w:val="00D8619E"/>
    <w:rsid w:val="00D90179"/>
    <w:rsid w:val="00D90EDA"/>
    <w:rsid w:val="00D92937"/>
    <w:rsid w:val="00D9335B"/>
    <w:rsid w:val="00D933B7"/>
    <w:rsid w:val="00DA0A4B"/>
    <w:rsid w:val="00DA11C6"/>
    <w:rsid w:val="00DA1A7C"/>
    <w:rsid w:val="00DA56BC"/>
    <w:rsid w:val="00DA6DFA"/>
    <w:rsid w:val="00DB2814"/>
    <w:rsid w:val="00DB2919"/>
    <w:rsid w:val="00DB4F5C"/>
    <w:rsid w:val="00DB6CCC"/>
    <w:rsid w:val="00DC185A"/>
    <w:rsid w:val="00DC7270"/>
    <w:rsid w:val="00DD01C3"/>
    <w:rsid w:val="00DD1173"/>
    <w:rsid w:val="00DD17C4"/>
    <w:rsid w:val="00DD5952"/>
    <w:rsid w:val="00DE02DE"/>
    <w:rsid w:val="00DE0CBD"/>
    <w:rsid w:val="00DE1997"/>
    <w:rsid w:val="00DE422B"/>
    <w:rsid w:val="00DE5C19"/>
    <w:rsid w:val="00DE7448"/>
    <w:rsid w:val="00DE7946"/>
    <w:rsid w:val="00DF0951"/>
    <w:rsid w:val="00DF3329"/>
    <w:rsid w:val="00DF402B"/>
    <w:rsid w:val="00DF4748"/>
    <w:rsid w:val="00E00411"/>
    <w:rsid w:val="00E02C45"/>
    <w:rsid w:val="00E035A3"/>
    <w:rsid w:val="00E055C5"/>
    <w:rsid w:val="00E06134"/>
    <w:rsid w:val="00E07128"/>
    <w:rsid w:val="00E0777E"/>
    <w:rsid w:val="00E07885"/>
    <w:rsid w:val="00E127F6"/>
    <w:rsid w:val="00E177B1"/>
    <w:rsid w:val="00E20821"/>
    <w:rsid w:val="00E2373D"/>
    <w:rsid w:val="00E23ABE"/>
    <w:rsid w:val="00E24C96"/>
    <w:rsid w:val="00E257BA"/>
    <w:rsid w:val="00E32A95"/>
    <w:rsid w:val="00E348EF"/>
    <w:rsid w:val="00E37722"/>
    <w:rsid w:val="00E40CE9"/>
    <w:rsid w:val="00E41FA1"/>
    <w:rsid w:val="00E420DB"/>
    <w:rsid w:val="00E4315C"/>
    <w:rsid w:val="00E444BB"/>
    <w:rsid w:val="00E47539"/>
    <w:rsid w:val="00E53EA3"/>
    <w:rsid w:val="00E60D35"/>
    <w:rsid w:val="00E71601"/>
    <w:rsid w:val="00E71838"/>
    <w:rsid w:val="00E726D8"/>
    <w:rsid w:val="00E74C2F"/>
    <w:rsid w:val="00E808A0"/>
    <w:rsid w:val="00E82975"/>
    <w:rsid w:val="00E82C57"/>
    <w:rsid w:val="00E837EA"/>
    <w:rsid w:val="00E90874"/>
    <w:rsid w:val="00E96054"/>
    <w:rsid w:val="00EA2FEE"/>
    <w:rsid w:val="00EA533B"/>
    <w:rsid w:val="00EB0EA8"/>
    <w:rsid w:val="00EB55B6"/>
    <w:rsid w:val="00EC2C1E"/>
    <w:rsid w:val="00EC3632"/>
    <w:rsid w:val="00EC5C40"/>
    <w:rsid w:val="00ED24E6"/>
    <w:rsid w:val="00ED2F94"/>
    <w:rsid w:val="00ED43F9"/>
    <w:rsid w:val="00ED743C"/>
    <w:rsid w:val="00EE216A"/>
    <w:rsid w:val="00EE4AB9"/>
    <w:rsid w:val="00EF2E6D"/>
    <w:rsid w:val="00EF660E"/>
    <w:rsid w:val="00F01723"/>
    <w:rsid w:val="00F032BD"/>
    <w:rsid w:val="00F10075"/>
    <w:rsid w:val="00F122C7"/>
    <w:rsid w:val="00F13087"/>
    <w:rsid w:val="00F134C7"/>
    <w:rsid w:val="00F1415F"/>
    <w:rsid w:val="00F16378"/>
    <w:rsid w:val="00F211B0"/>
    <w:rsid w:val="00F215EF"/>
    <w:rsid w:val="00F24651"/>
    <w:rsid w:val="00F272E0"/>
    <w:rsid w:val="00F3089C"/>
    <w:rsid w:val="00F32747"/>
    <w:rsid w:val="00F33F33"/>
    <w:rsid w:val="00F34759"/>
    <w:rsid w:val="00F374F2"/>
    <w:rsid w:val="00F4036E"/>
    <w:rsid w:val="00F4117A"/>
    <w:rsid w:val="00F441D3"/>
    <w:rsid w:val="00F445C5"/>
    <w:rsid w:val="00F47995"/>
    <w:rsid w:val="00F50B04"/>
    <w:rsid w:val="00F51D1F"/>
    <w:rsid w:val="00F53074"/>
    <w:rsid w:val="00F5527B"/>
    <w:rsid w:val="00F60974"/>
    <w:rsid w:val="00F60B8B"/>
    <w:rsid w:val="00F626DE"/>
    <w:rsid w:val="00F70487"/>
    <w:rsid w:val="00F71963"/>
    <w:rsid w:val="00F71FEE"/>
    <w:rsid w:val="00F7287C"/>
    <w:rsid w:val="00F738F6"/>
    <w:rsid w:val="00F76B20"/>
    <w:rsid w:val="00F77188"/>
    <w:rsid w:val="00F80DA0"/>
    <w:rsid w:val="00F815A8"/>
    <w:rsid w:val="00F821C6"/>
    <w:rsid w:val="00F83B02"/>
    <w:rsid w:val="00F84A6F"/>
    <w:rsid w:val="00F84EBC"/>
    <w:rsid w:val="00F91126"/>
    <w:rsid w:val="00F94FAC"/>
    <w:rsid w:val="00F95BE0"/>
    <w:rsid w:val="00FA23F9"/>
    <w:rsid w:val="00FA2638"/>
    <w:rsid w:val="00FA29D7"/>
    <w:rsid w:val="00FA31E8"/>
    <w:rsid w:val="00FA3858"/>
    <w:rsid w:val="00FA5150"/>
    <w:rsid w:val="00FA7435"/>
    <w:rsid w:val="00FA7810"/>
    <w:rsid w:val="00FB05E2"/>
    <w:rsid w:val="00FB1135"/>
    <w:rsid w:val="00FC23B6"/>
    <w:rsid w:val="00FC2DF3"/>
    <w:rsid w:val="00FC7545"/>
    <w:rsid w:val="00FE0B8C"/>
    <w:rsid w:val="00FE0D1D"/>
    <w:rsid w:val="00FE124B"/>
    <w:rsid w:val="00FE20B7"/>
    <w:rsid w:val="00FE6BC2"/>
    <w:rsid w:val="00FE6D7C"/>
    <w:rsid w:val="00FF1D2F"/>
    <w:rsid w:val="00FF206C"/>
    <w:rsid w:val="00FF3A68"/>
    <w:rsid w:val="00FF47A9"/>
    <w:rsid w:val="00FF4C94"/>
    <w:rsid w:val="00FF7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05B0A5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3F0"/>
    <w:pPr>
      <w:spacing w:after="0" w:line="240" w:lineRule="auto"/>
    </w:pPr>
    <w:rPr>
      <w:sz w:val="24"/>
      <w:szCs w:val="20"/>
      <w:lang w:eastAsia="en-US"/>
    </w:rPr>
  </w:style>
  <w:style w:type="paragraph" w:styleId="Heading1">
    <w:name w:val="heading 1"/>
    <w:basedOn w:val="Normal"/>
    <w:next w:val="Normal"/>
    <w:link w:val="Heading1Char"/>
    <w:qFormat/>
    <w:locked/>
    <w:rsid w:val="003A43F0"/>
    <w:pPr>
      <w:keepNext/>
      <w:keepLines/>
      <w:spacing w:before="240" w:after="60"/>
      <w:jc w:val="center"/>
      <w:outlineLvl w:val="0"/>
    </w:pPr>
    <w:rPr>
      <w:rFonts w:ascii="Arial" w:eastAsiaTheme="majorEastAsia" w:hAnsi="Arial" w:cstheme="majorBidi"/>
      <w:b/>
      <w:bCs/>
      <w:kern w:val="32"/>
      <w:sz w:val="32"/>
      <w:szCs w:val="32"/>
    </w:rPr>
  </w:style>
  <w:style w:type="paragraph" w:styleId="Heading2">
    <w:name w:val="heading 2"/>
    <w:basedOn w:val="Heading1"/>
    <w:next w:val="Normal"/>
    <w:link w:val="Heading2Char"/>
    <w:qFormat/>
    <w:locked/>
    <w:rsid w:val="003A43F0"/>
    <w:pPr>
      <w:jc w:val="both"/>
      <w:outlineLvl w:val="1"/>
    </w:pPr>
    <w:rPr>
      <w:bCs w:val="0"/>
      <w:iCs/>
      <w:sz w:val="26"/>
      <w:szCs w:val="28"/>
    </w:rPr>
  </w:style>
  <w:style w:type="paragraph" w:styleId="Heading3">
    <w:name w:val="heading 3"/>
    <w:basedOn w:val="Normal"/>
    <w:next w:val="Normal"/>
    <w:link w:val="Heading3Char"/>
    <w:qFormat/>
    <w:locked/>
    <w:rsid w:val="003A43F0"/>
    <w:pPr>
      <w:keepNext/>
      <w:spacing w:before="240" w:after="60"/>
      <w:outlineLvl w:val="2"/>
    </w:pPr>
    <w:rPr>
      <w:rFonts w:ascii="Arial" w:eastAsiaTheme="majorEastAsia" w:hAnsi="Arial" w:cstheme="majorBidi"/>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Zoe">
    <w:name w:val="Zoe"/>
    <w:basedOn w:val="TableColorful3"/>
    <w:uiPriority w:val="99"/>
    <w:rsid w:val="00745885"/>
    <w:tblPr>
      <w:jc w:val="cente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rPr>
      <w:jc w:val="center"/>
    </w:trPr>
    <w:tcPr>
      <w:shd w:val="pct30"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orful3">
    <w:name w:val="Table Colorful 3"/>
    <w:basedOn w:val="TableNormal"/>
    <w:uiPriority w:val="99"/>
    <w:rsid w:val="00745885"/>
    <w:pPr>
      <w:spacing w:after="0" w:line="240" w:lineRule="auto"/>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yperlink">
    <w:name w:val="Hyperlink"/>
    <w:basedOn w:val="DefaultParagraphFont"/>
    <w:uiPriority w:val="99"/>
    <w:rsid w:val="004D2C46"/>
    <w:rPr>
      <w:rFonts w:cs="Times New Roman"/>
      <w:color w:val="0000FF"/>
      <w:u w:val="single"/>
    </w:rPr>
  </w:style>
  <w:style w:type="character" w:styleId="CommentReference">
    <w:name w:val="annotation reference"/>
    <w:basedOn w:val="DefaultParagraphFont"/>
    <w:uiPriority w:val="99"/>
    <w:rsid w:val="004D2C46"/>
    <w:rPr>
      <w:rFonts w:cs="Times New Roman"/>
      <w:sz w:val="16"/>
      <w:szCs w:val="16"/>
    </w:rPr>
  </w:style>
  <w:style w:type="paragraph" w:styleId="CommentText">
    <w:name w:val="annotation text"/>
    <w:basedOn w:val="Normal"/>
    <w:link w:val="CommentTextChar"/>
    <w:uiPriority w:val="99"/>
    <w:rsid w:val="004D2C46"/>
  </w:style>
  <w:style w:type="character" w:customStyle="1" w:styleId="CommentTextChar">
    <w:name w:val="Comment Text Char"/>
    <w:basedOn w:val="DefaultParagraphFont"/>
    <w:link w:val="CommentText"/>
    <w:uiPriority w:val="99"/>
    <w:locked/>
    <w:rsid w:val="004D2C46"/>
    <w:rPr>
      <w:rFonts w:cs="Times New Roman"/>
      <w:lang w:val="x-none" w:eastAsia="en-US"/>
    </w:rPr>
  </w:style>
  <w:style w:type="paragraph" w:styleId="BalloonText">
    <w:name w:val="Balloon Text"/>
    <w:basedOn w:val="Normal"/>
    <w:link w:val="BalloonTextChar"/>
    <w:uiPriority w:val="99"/>
    <w:rsid w:val="004D2C46"/>
    <w:rPr>
      <w:rFonts w:ascii="Tahoma" w:hAnsi="Tahoma" w:cs="Tahoma"/>
      <w:sz w:val="16"/>
      <w:szCs w:val="16"/>
    </w:rPr>
  </w:style>
  <w:style w:type="character" w:customStyle="1" w:styleId="BalloonTextChar">
    <w:name w:val="Balloon Text Char"/>
    <w:basedOn w:val="DefaultParagraphFont"/>
    <w:link w:val="BalloonText"/>
    <w:uiPriority w:val="99"/>
    <w:locked/>
    <w:rsid w:val="004D2C46"/>
    <w:rPr>
      <w:rFonts w:ascii="Tahoma" w:hAnsi="Tahoma" w:cs="Tahoma"/>
      <w:sz w:val="16"/>
      <w:szCs w:val="16"/>
      <w:lang w:val="x-none" w:eastAsia="en-US"/>
    </w:rPr>
  </w:style>
  <w:style w:type="paragraph" w:styleId="ListParagraph">
    <w:name w:val="List Paragraph"/>
    <w:basedOn w:val="Normal"/>
    <w:uiPriority w:val="99"/>
    <w:qFormat/>
    <w:rsid w:val="00C539FE"/>
    <w:pPr>
      <w:ind w:left="720"/>
      <w:contextualSpacing/>
    </w:pPr>
    <w:rPr>
      <w:szCs w:val="24"/>
      <w:lang w:eastAsia="en-AU"/>
    </w:rPr>
  </w:style>
  <w:style w:type="paragraph" w:styleId="CommentSubject">
    <w:name w:val="annotation subject"/>
    <w:basedOn w:val="CommentText"/>
    <w:next w:val="CommentText"/>
    <w:link w:val="CommentSubjectChar"/>
    <w:uiPriority w:val="99"/>
    <w:rsid w:val="001C63D0"/>
    <w:rPr>
      <w:b/>
      <w:bCs/>
    </w:rPr>
  </w:style>
  <w:style w:type="character" w:customStyle="1" w:styleId="CommentSubjectChar">
    <w:name w:val="Comment Subject Char"/>
    <w:basedOn w:val="CommentTextChar"/>
    <w:link w:val="CommentSubject"/>
    <w:uiPriority w:val="99"/>
    <w:locked/>
    <w:rsid w:val="001C63D0"/>
    <w:rPr>
      <w:rFonts w:cs="Times New Roman"/>
      <w:b/>
      <w:bCs/>
      <w:lang w:val="x-none" w:eastAsia="en-US"/>
    </w:rPr>
  </w:style>
  <w:style w:type="paragraph" w:styleId="Revision">
    <w:name w:val="Revision"/>
    <w:hidden/>
    <w:uiPriority w:val="99"/>
    <w:semiHidden/>
    <w:rsid w:val="001C63D0"/>
    <w:pPr>
      <w:spacing w:after="0" w:line="240" w:lineRule="auto"/>
    </w:pPr>
    <w:rPr>
      <w:sz w:val="20"/>
      <w:szCs w:val="20"/>
      <w:lang w:eastAsia="en-US"/>
    </w:rPr>
  </w:style>
  <w:style w:type="paragraph" w:styleId="Header">
    <w:name w:val="header"/>
    <w:basedOn w:val="Normal"/>
    <w:link w:val="HeaderChar"/>
    <w:uiPriority w:val="99"/>
    <w:unhideWhenUsed/>
    <w:rsid w:val="004C08F4"/>
    <w:pPr>
      <w:tabs>
        <w:tab w:val="center" w:pos="4513"/>
        <w:tab w:val="right" w:pos="9026"/>
      </w:tabs>
    </w:pPr>
  </w:style>
  <w:style w:type="character" w:customStyle="1" w:styleId="HeaderChar">
    <w:name w:val="Header Char"/>
    <w:basedOn w:val="DefaultParagraphFont"/>
    <w:link w:val="Header"/>
    <w:uiPriority w:val="99"/>
    <w:locked/>
    <w:rsid w:val="004C08F4"/>
    <w:rPr>
      <w:rFonts w:cs="Times New Roman"/>
      <w:sz w:val="20"/>
      <w:szCs w:val="20"/>
      <w:lang w:val="x-none" w:eastAsia="en-US"/>
    </w:rPr>
  </w:style>
  <w:style w:type="paragraph" w:styleId="Footer">
    <w:name w:val="footer"/>
    <w:basedOn w:val="Normal"/>
    <w:link w:val="FooterChar"/>
    <w:uiPriority w:val="99"/>
    <w:unhideWhenUsed/>
    <w:rsid w:val="004C08F4"/>
    <w:pPr>
      <w:tabs>
        <w:tab w:val="center" w:pos="4513"/>
        <w:tab w:val="right" w:pos="9026"/>
      </w:tabs>
    </w:pPr>
  </w:style>
  <w:style w:type="character" w:customStyle="1" w:styleId="FooterChar">
    <w:name w:val="Footer Char"/>
    <w:basedOn w:val="DefaultParagraphFont"/>
    <w:link w:val="Footer"/>
    <w:uiPriority w:val="99"/>
    <w:locked/>
    <w:rsid w:val="004C08F4"/>
    <w:rPr>
      <w:rFonts w:cs="Times New Roman"/>
      <w:sz w:val="20"/>
      <w:szCs w:val="20"/>
      <w:lang w:val="x-none" w:eastAsia="en-US"/>
    </w:rPr>
  </w:style>
  <w:style w:type="character" w:customStyle="1" w:styleId="CharSectno">
    <w:name w:val="CharSectno"/>
    <w:qFormat/>
    <w:rsid w:val="00F33F33"/>
  </w:style>
  <w:style w:type="character" w:customStyle="1" w:styleId="Heading1Char">
    <w:name w:val="Heading 1 Char"/>
    <w:basedOn w:val="DefaultParagraphFont"/>
    <w:link w:val="Heading1"/>
    <w:rsid w:val="003A43F0"/>
    <w:rPr>
      <w:rFonts w:ascii="Arial" w:eastAsiaTheme="majorEastAsia" w:hAnsi="Arial" w:cstheme="majorBidi"/>
      <w:b/>
      <w:bCs/>
      <w:kern w:val="32"/>
      <w:sz w:val="32"/>
      <w:szCs w:val="32"/>
      <w:lang w:eastAsia="en-US"/>
    </w:rPr>
  </w:style>
  <w:style w:type="character" w:customStyle="1" w:styleId="Heading2Char">
    <w:name w:val="Heading 2 Char"/>
    <w:basedOn w:val="DefaultParagraphFont"/>
    <w:link w:val="Heading2"/>
    <w:rsid w:val="003A43F0"/>
    <w:rPr>
      <w:rFonts w:ascii="Arial" w:eastAsiaTheme="majorEastAsia" w:hAnsi="Arial" w:cstheme="majorBidi"/>
      <w:b/>
      <w:iCs/>
      <w:kern w:val="32"/>
      <w:sz w:val="26"/>
      <w:szCs w:val="28"/>
      <w:lang w:eastAsia="en-US"/>
    </w:rPr>
  </w:style>
  <w:style w:type="character" w:customStyle="1" w:styleId="Heading3Char">
    <w:name w:val="Heading 3 Char"/>
    <w:basedOn w:val="DefaultParagraphFont"/>
    <w:link w:val="Heading3"/>
    <w:rsid w:val="003A43F0"/>
    <w:rPr>
      <w:rFonts w:ascii="Arial" w:eastAsiaTheme="majorEastAsia" w:hAnsi="Arial" w:cstheme="majorBidi"/>
      <w:bCs/>
      <w:i/>
      <w:sz w:val="24"/>
      <w:szCs w:val="26"/>
      <w:lang w:eastAsia="en-US"/>
    </w:rPr>
  </w:style>
  <w:style w:type="character" w:styleId="Strong">
    <w:name w:val="Strong"/>
    <w:uiPriority w:val="22"/>
    <w:qFormat/>
    <w:locked/>
    <w:rsid w:val="001816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3F0"/>
    <w:pPr>
      <w:spacing w:after="0" w:line="240" w:lineRule="auto"/>
    </w:pPr>
    <w:rPr>
      <w:sz w:val="24"/>
      <w:szCs w:val="20"/>
      <w:lang w:eastAsia="en-US"/>
    </w:rPr>
  </w:style>
  <w:style w:type="paragraph" w:styleId="Heading1">
    <w:name w:val="heading 1"/>
    <w:basedOn w:val="Normal"/>
    <w:next w:val="Normal"/>
    <w:link w:val="Heading1Char"/>
    <w:qFormat/>
    <w:locked/>
    <w:rsid w:val="003A43F0"/>
    <w:pPr>
      <w:keepNext/>
      <w:keepLines/>
      <w:spacing w:before="240" w:after="60"/>
      <w:jc w:val="center"/>
      <w:outlineLvl w:val="0"/>
    </w:pPr>
    <w:rPr>
      <w:rFonts w:ascii="Arial" w:eastAsiaTheme="majorEastAsia" w:hAnsi="Arial" w:cstheme="majorBidi"/>
      <w:b/>
      <w:bCs/>
      <w:kern w:val="32"/>
      <w:sz w:val="32"/>
      <w:szCs w:val="32"/>
    </w:rPr>
  </w:style>
  <w:style w:type="paragraph" w:styleId="Heading2">
    <w:name w:val="heading 2"/>
    <w:basedOn w:val="Heading1"/>
    <w:next w:val="Normal"/>
    <w:link w:val="Heading2Char"/>
    <w:qFormat/>
    <w:locked/>
    <w:rsid w:val="003A43F0"/>
    <w:pPr>
      <w:jc w:val="both"/>
      <w:outlineLvl w:val="1"/>
    </w:pPr>
    <w:rPr>
      <w:bCs w:val="0"/>
      <w:iCs/>
      <w:sz w:val="26"/>
      <w:szCs w:val="28"/>
    </w:rPr>
  </w:style>
  <w:style w:type="paragraph" w:styleId="Heading3">
    <w:name w:val="heading 3"/>
    <w:basedOn w:val="Normal"/>
    <w:next w:val="Normal"/>
    <w:link w:val="Heading3Char"/>
    <w:qFormat/>
    <w:locked/>
    <w:rsid w:val="003A43F0"/>
    <w:pPr>
      <w:keepNext/>
      <w:spacing w:before="240" w:after="60"/>
      <w:outlineLvl w:val="2"/>
    </w:pPr>
    <w:rPr>
      <w:rFonts w:ascii="Arial" w:eastAsiaTheme="majorEastAsia" w:hAnsi="Arial" w:cstheme="majorBidi"/>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Zoe">
    <w:name w:val="Zoe"/>
    <w:basedOn w:val="TableColorful3"/>
    <w:uiPriority w:val="99"/>
    <w:rsid w:val="00745885"/>
    <w:tblPr>
      <w:jc w:val="cente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rPr>
      <w:jc w:val="center"/>
    </w:trPr>
    <w:tcPr>
      <w:shd w:val="pct30"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orful3">
    <w:name w:val="Table Colorful 3"/>
    <w:basedOn w:val="TableNormal"/>
    <w:uiPriority w:val="99"/>
    <w:rsid w:val="00745885"/>
    <w:pPr>
      <w:spacing w:after="0" w:line="240" w:lineRule="auto"/>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yperlink">
    <w:name w:val="Hyperlink"/>
    <w:basedOn w:val="DefaultParagraphFont"/>
    <w:uiPriority w:val="99"/>
    <w:rsid w:val="004D2C46"/>
    <w:rPr>
      <w:rFonts w:cs="Times New Roman"/>
      <w:color w:val="0000FF"/>
      <w:u w:val="single"/>
    </w:rPr>
  </w:style>
  <w:style w:type="character" w:styleId="CommentReference">
    <w:name w:val="annotation reference"/>
    <w:basedOn w:val="DefaultParagraphFont"/>
    <w:uiPriority w:val="99"/>
    <w:rsid w:val="004D2C46"/>
    <w:rPr>
      <w:rFonts w:cs="Times New Roman"/>
      <w:sz w:val="16"/>
      <w:szCs w:val="16"/>
    </w:rPr>
  </w:style>
  <w:style w:type="paragraph" w:styleId="CommentText">
    <w:name w:val="annotation text"/>
    <w:basedOn w:val="Normal"/>
    <w:link w:val="CommentTextChar"/>
    <w:uiPriority w:val="99"/>
    <w:rsid w:val="004D2C46"/>
  </w:style>
  <w:style w:type="character" w:customStyle="1" w:styleId="CommentTextChar">
    <w:name w:val="Comment Text Char"/>
    <w:basedOn w:val="DefaultParagraphFont"/>
    <w:link w:val="CommentText"/>
    <w:uiPriority w:val="99"/>
    <w:locked/>
    <w:rsid w:val="004D2C46"/>
    <w:rPr>
      <w:rFonts w:cs="Times New Roman"/>
      <w:lang w:val="x-none" w:eastAsia="en-US"/>
    </w:rPr>
  </w:style>
  <w:style w:type="paragraph" w:styleId="BalloonText">
    <w:name w:val="Balloon Text"/>
    <w:basedOn w:val="Normal"/>
    <w:link w:val="BalloonTextChar"/>
    <w:uiPriority w:val="99"/>
    <w:rsid w:val="004D2C46"/>
    <w:rPr>
      <w:rFonts w:ascii="Tahoma" w:hAnsi="Tahoma" w:cs="Tahoma"/>
      <w:sz w:val="16"/>
      <w:szCs w:val="16"/>
    </w:rPr>
  </w:style>
  <w:style w:type="character" w:customStyle="1" w:styleId="BalloonTextChar">
    <w:name w:val="Balloon Text Char"/>
    <w:basedOn w:val="DefaultParagraphFont"/>
    <w:link w:val="BalloonText"/>
    <w:uiPriority w:val="99"/>
    <w:locked/>
    <w:rsid w:val="004D2C46"/>
    <w:rPr>
      <w:rFonts w:ascii="Tahoma" w:hAnsi="Tahoma" w:cs="Tahoma"/>
      <w:sz w:val="16"/>
      <w:szCs w:val="16"/>
      <w:lang w:val="x-none" w:eastAsia="en-US"/>
    </w:rPr>
  </w:style>
  <w:style w:type="paragraph" w:styleId="ListParagraph">
    <w:name w:val="List Paragraph"/>
    <w:basedOn w:val="Normal"/>
    <w:uiPriority w:val="99"/>
    <w:qFormat/>
    <w:rsid w:val="00C539FE"/>
    <w:pPr>
      <w:ind w:left="720"/>
      <w:contextualSpacing/>
    </w:pPr>
    <w:rPr>
      <w:szCs w:val="24"/>
      <w:lang w:eastAsia="en-AU"/>
    </w:rPr>
  </w:style>
  <w:style w:type="paragraph" w:styleId="CommentSubject">
    <w:name w:val="annotation subject"/>
    <w:basedOn w:val="CommentText"/>
    <w:next w:val="CommentText"/>
    <w:link w:val="CommentSubjectChar"/>
    <w:uiPriority w:val="99"/>
    <w:rsid w:val="001C63D0"/>
    <w:rPr>
      <w:b/>
      <w:bCs/>
    </w:rPr>
  </w:style>
  <w:style w:type="character" w:customStyle="1" w:styleId="CommentSubjectChar">
    <w:name w:val="Comment Subject Char"/>
    <w:basedOn w:val="CommentTextChar"/>
    <w:link w:val="CommentSubject"/>
    <w:uiPriority w:val="99"/>
    <w:locked/>
    <w:rsid w:val="001C63D0"/>
    <w:rPr>
      <w:rFonts w:cs="Times New Roman"/>
      <w:b/>
      <w:bCs/>
      <w:lang w:val="x-none" w:eastAsia="en-US"/>
    </w:rPr>
  </w:style>
  <w:style w:type="paragraph" w:styleId="Revision">
    <w:name w:val="Revision"/>
    <w:hidden/>
    <w:uiPriority w:val="99"/>
    <w:semiHidden/>
    <w:rsid w:val="001C63D0"/>
    <w:pPr>
      <w:spacing w:after="0" w:line="240" w:lineRule="auto"/>
    </w:pPr>
    <w:rPr>
      <w:sz w:val="20"/>
      <w:szCs w:val="20"/>
      <w:lang w:eastAsia="en-US"/>
    </w:rPr>
  </w:style>
  <w:style w:type="paragraph" w:styleId="Header">
    <w:name w:val="header"/>
    <w:basedOn w:val="Normal"/>
    <w:link w:val="HeaderChar"/>
    <w:uiPriority w:val="99"/>
    <w:unhideWhenUsed/>
    <w:rsid w:val="004C08F4"/>
    <w:pPr>
      <w:tabs>
        <w:tab w:val="center" w:pos="4513"/>
        <w:tab w:val="right" w:pos="9026"/>
      </w:tabs>
    </w:pPr>
  </w:style>
  <w:style w:type="character" w:customStyle="1" w:styleId="HeaderChar">
    <w:name w:val="Header Char"/>
    <w:basedOn w:val="DefaultParagraphFont"/>
    <w:link w:val="Header"/>
    <w:uiPriority w:val="99"/>
    <w:locked/>
    <w:rsid w:val="004C08F4"/>
    <w:rPr>
      <w:rFonts w:cs="Times New Roman"/>
      <w:sz w:val="20"/>
      <w:szCs w:val="20"/>
      <w:lang w:val="x-none" w:eastAsia="en-US"/>
    </w:rPr>
  </w:style>
  <w:style w:type="paragraph" w:styleId="Footer">
    <w:name w:val="footer"/>
    <w:basedOn w:val="Normal"/>
    <w:link w:val="FooterChar"/>
    <w:uiPriority w:val="99"/>
    <w:unhideWhenUsed/>
    <w:rsid w:val="004C08F4"/>
    <w:pPr>
      <w:tabs>
        <w:tab w:val="center" w:pos="4513"/>
        <w:tab w:val="right" w:pos="9026"/>
      </w:tabs>
    </w:pPr>
  </w:style>
  <w:style w:type="character" w:customStyle="1" w:styleId="FooterChar">
    <w:name w:val="Footer Char"/>
    <w:basedOn w:val="DefaultParagraphFont"/>
    <w:link w:val="Footer"/>
    <w:uiPriority w:val="99"/>
    <w:locked/>
    <w:rsid w:val="004C08F4"/>
    <w:rPr>
      <w:rFonts w:cs="Times New Roman"/>
      <w:sz w:val="20"/>
      <w:szCs w:val="20"/>
      <w:lang w:val="x-none" w:eastAsia="en-US"/>
    </w:rPr>
  </w:style>
  <w:style w:type="character" w:customStyle="1" w:styleId="CharSectno">
    <w:name w:val="CharSectno"/>
    <w:qFormat/>
    <w:rsid w:val="00F33F33"/>
  </w:style>
  <w:style w:type="character" w:customStyle="1" w:styleId="Heading1Char">
    <w:name w:val="Heading 1 Char"/>
    <w:basedOn w:val="DefaultParagraphFont"/>
    <w:link w:val="Heading1"/>
    <w:rsid w:val="003A43F0"/>
    <w:rPr>
      <w:rFonts w:ascii="Arial" w:eastAsiaTheme="majorEastAsia" w:hAnsi="Arial" w:cstheme="majorBidi"/>
      <w:b/>
      <w:bCs/>
      <w:kern w:val="32"/>
      <w:sz w:val="32"/>
      <w:szCs w:val="32"/>
      <w:lang w:eastAsia="en-US"/>
    </w:rPr>
  </w:style>
  <w:style w:type="character" w:customStyle="1" w:styleId="Heading2Char">
    <w:name w:val="Heading 2 Char"/>
    <w:basedOn w:val="DefaultParagraphFont"/>
    <w:link w:val="Heading2"/>
    <w:rsid w:val="003A43F0"/>
    <w:rPr>
      <w:rFonts w:ascii="Arial" w:eastAsiaTheme="majorEastAsia" w:hAnsi="Arial" w:cstheme="majorBidi"/>
      <w:b/>
      <w:iCs/>
      <w:kern w:val="32"/>
      <w:sz w:val="26"/>
      <w:szCs w:val="28"/>
      <w:lang w:eastAsia="en-US"/>
    </w:rPr>
  </w:style>
  <w:style w:type="character" w:customStyle="1" w:styleId="Heading3Char">
    <w:name w:val="Heading 3 Char"/>
    <w:basedOn w:val="DefaultParagraphFont"/>
    <w:link w:val="Heading3"/>
    <w:rsid w:val="003A43F0"/>
    <w:rPr>
      <w:rFonts w:ascii="Arial" w:eastAsiaTheme="majorEastAsia" w:hAnsi="Arial" w:cstheme="majorBidi"/>
      <w:bCs/>
      <w:i/>
      <w:sz w:val="24"/>
      <w:szCs w:val="26"/>
      <w:lang w:eastAsia="en-US"/>
    </w:rPr>
  </w:style>
  <w:style w:type="character" w:styleId="Strong">
    <w:name w:val="Strong"/>
    <w:uiPriority w:val="22"/>
    <w:qFormat/>
    <w:locked/>
    <w:rsid w:val="001816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97687">
      <w:marLeft w:val="0"/>
      <w:marRight w:val="0"/>
      <w:marTop w:val="0"/>
      <w:marBottom w:val="0"/>
      <w:divBdr>
        <w:top w:val="none" w:sz="0" w:space="0" w:color="auto"/>
        <w:left w:val="none" w:sz="0" w:space="0" w:color="auto"/>
        <w:bottom w:val="none" w:sz="0" w:space="0" w:color="auto"/>
        <w:right w:val="none" w:sz="0" w:space="0" w:color="auto"/>
      </w:divBdr>
    </w:div>
    <w:div w:id="272397688">
      <w:marLeft w:val="0"/>
      <w:marRight w:val="0"/>
      <w:marTop w:val="0"/>
      <w:marBottom w:val="0"/>
      <w:divBdr>
        <w:top w:val="none" w:sz="0" w:space="0" w:color="auto"/>
        <w:left w:val="none" w:sz="0" w:space="0" w:color="auto"/>
        <w:bottom w:val="none" w:sz="0" w:space="0" w:color="auto"/>
        <w:right w:val="none" w:sz="0" w:space="0" w:color="auto"/>
      </w:divBdr>
    </w:div>
    <w:div w:id="272397689">
      <w:marLeft w:val="0"/>
      <w:marRight w:val="0"/>
      <w:marTop w:val="0"/>
      <w:marBottom w:val="0"/>
      <w:divBdr>
        <w:top w:val="none" w:sz="0" w:space="0" w:color="auto"/>
        <w:left w:val="none" w:sz="0" w:space="0" w:color="auto"/>
        <w:bottom w:val="none" w:sz="0" w:space="0" w:color="auto"/>
        <w:right w:val="none" w:sz="0" w:space="0" w:color="auto"/>
      </w:divBdr>
    </w:div>
    <w:div w:id="272397690">
      <w:marLeft w:val="0"/>
      <w:marRight w:val="0"/>
      <w:marTop w:val="0"/>
      <w:marBottom w:val="0"/>
      <w:divBdr>
        <w:top w:val="none" w:sz="0" w:space="0" w:color="auto"/>
        <w:left w:val="none" w:sz="0" w:space="0" w:color="auto"/>
        <w:bottom w:val="none" w:sz="0" w:space="0" w:color="auto"/>
        <w:right w:val="none" w:sz="0" w:space="0" w:color="auto"/>
      </w:divBdr>
    </w:div>
    <w:div w:id="272397691">
      <w:marLeft w:val="0"/>
      <w:marRight w:val="0"/>
      <w:marTop w:val="0"/>
      <w:marBottom w:val="0"/>
      <w:divBdr>
        <w:top w:val="none" w:sz="0" w:space="0" w:color="auto"/>
        <w:left w:val="none" w:sz="0" w:space="0" w:color="auto"/>
        <w:bottom w:val="none" w:sz="0" w:space="0" w:color="auto"/>
        <w:right w:val="none" w:sz="0" w:space="0" w:color="auto"/>
      </w:divBdr>
    </w:div>
    <w:div w:id="272397692">
      <w:marLeft w:val="0"/>
      <w:marRight w:val="0"/>
      <w:marTop w:val="0"/>
      <w:marBottom w:val="0"/>
      <w:divBdr>
        <w:top w:val="none" w:sz="0" w:space="0" w:color="auto"/>
        <w:left w:val="none" w:sz="0" w:space="0" w:color="auto"/>
        <w:bottom w:val="none" w:sz="0" w:space="0" w:color="auto"/>
        <w:right w:val="none" w:sz="0" w:space="0" w:color="auto"/>
      </w:divBdr>
    </w:div>
    <w:div w:id="272397693">
      <w:marLeft w:val="0"/>
      <w:marRight w:val="0"/>
      <w:marTop w:val="0"/>
      <w:marBottom w:val="0"/>
      <w:divBdr>
        <w:top w:val="none" w:sz="0" w:space="0" w:color="auto"/>
        <w:left w:val="none" w:sz="0" w:space="0" w:color="auto"/>
        <w:bottom w:val="none" w:sz="0" w:space="0" w:color="auto"/>
        <w:right w:val="none" w:sz="0" w:space="0" w:color="auto"/>
      </w:divBdr>
    </w:div>
    <w:div w:id="272397694">
      <w:marLeft w:val="0"/>
      <w:marRight w:val="0"/>
      <w:marTop w:val="0"/>
      <w:marBottom w:val="0"/>
      <w:divBdr>
        <w:top w:val="none" w:sz="0" w:space="0" w:color="auto"/>
        <w:left w:val="none" w:sz="0" w:space="0" w:color="auto"/>
        <w:bottom w:val="none" w:sz="0" w:space="0" w:color="auto"/>
        <w:right w:val="none" w:sz="0" w:space="0" w:color="auto"/>
      </w:divBdr>
    </w:div>
    <w:div w:id="272397695">
      <w:marLeft w:val="0"/>
      <w:marRight w:val="0"/>
      <w:marTop w:val="0"/>
      <w:marBottom w:val="0"/>
      <w:divBdr>
        <w:top w:val="none" w:sz="0" w:space="0" w:color="auto"/>
        <w:left w:val="none" w:sz="0" w:space="0" w:color="auto"/>
        <w:bottom w:val="none" w:sz="0" w:space="0" w:color="auto"/>
        <w:right w:val="none" w:sz="0" w:space="0" w:color="auto"/>
      </w:divBdr>
    </w:div>
    <w:div w:id="272397696">
      <w:marLeft w:val="0"/>
      <w:marRight w:val="0"/>
      <w:marTop w:val="0"/>
      <w:marBottom w:val="0"/>
      <w:divBdr>
        <w:top w:val="none" w:sz="0" w:space="0" w:color="auto"/>
        <w:left w:val="none" w:sz="0" w:space="0" w:color="auto"/>
        <w:bottom w:val="none" w:sz="0" w:space="0" w:color="auto"/>
        <w:right w:val="none" w:sz="0" w:space="0" w:color="auto"/>
      </w:divBdr>
    </w:div>
    <w:div w:id="272397697">
      <w:marLeft w:val="0"/>
      <w:marRight w:val="0"/>
      <w:marTop w:val="0"/>
      <w:marBottom w:val="0"/>
      <w:divBdr>
        <w:top w:val="none" w:sz="0" w:space="0" w:color="auto"/>
        <w:left w:val="none" w:sz="0" w:space="0" w:color="auto"/>
        <w:bottom w:val="none" w:sz="0" w:space="0" w:color="auto"/>
        <w:right w:val="none" w:sz="0" w:space="0" w:color="auto"/>
      </w:divBdr>
    </w:div>
    <w:div w:id="272397698">
      <w:marLeft w:val="0"/>
      <w:marRight w:val="0"/>
      <w:marTop w:val="0"/>
      <w:marBottom w:val="0"/>
      <w:divBdr>
        <w:top w:val="none" w:sz="0" w:space="0" w:color="auto"/>
        <w:left w:val="none" w:sz="0" w:space="0" w:color="auto"/>
        <w:bottom w:val="none" w:sz="0" w:space="0" w:color="auto"/>
        <w:right w:val="none" w:sz="0" w:space="0" w:color="auto"/>
      </w:divBdr>
    </w:div>
    <w:div w:id="272397699">
      <w:marLeft w:val="0"/>
      <w:marRight w:val="0"/>
      <w:marTop w:val="0"/>
      <w:marBottom w:val="0"/>
      <w:divBdr>
        <w:top w:val="none" w:sz="0" w:space="0" w:color="auto"/>
        <w:left w:val="none" w:sz="0" w:space="0" w:color="auto"/>
        <w:bottom w:val="none" w:sz="0" w:space="0" w:color="auto"/>
        <w:right w:val="none" w:sz="0" w:space="0" w:color="auto"/>
      </w:divBdr>
    </w:div>
    <w:div w:id="272397700">
      <w:marLeft w:val="0"/>
      <w:marRight w:val="0"/>
      <w:marTop w:val="0"/>
      <w:marBottom w:val="0"/>
      <w:divBdr>
        <w:top w:val="none" w:sz="0" w:space="0" w:color="auto"/>
        <w:left w:val="none" w:sz="0" w:space="0" w:color="auto"/>
        <w:bottom w:val="none" w:sz="0" w:space="0" w:color="auto"/>
        <w:right w:val="none" w:sz="0" w:space="0" w:color="auto"/>
      </w:divBdr>
    </w:div>
    <w:div w:id="272397701">
      <w:marLeft w:val="0"/>
      <w:marRight w:val="0"/>
      <w:marTop w:val="0"/>
      <w:marBottom w:val="0"/>
      <w:divBdr>
        <w:top w:val="none" w:sz="0" w:space="0" w:color="auto"/>
        <w:left w:val="none" w:sz="0" w:space="0" w:color="auto"/>
        <w:bottom w:val="none" w:sz="0" w:space="0" w:color="auto"/>
        <w:right w:val="none" w:sz="0" w:space="0" w:color="auto"/>
      </w:divBdr>
    </w:div>
    <w:div w:id="272397702">
      <w:marLeft w:val="0"/>
      <w:marRight w:val="0"/>
      <w:marTop w:val="0"/>
      <w:marBottom w:val="0"/>
      <w:divBdr>
        <w:top w:val="none" w:sz="0" w:space="0" w:color="auto"/>
        <w:left w:val="none" w:sz="0" w:space="0" w:color="auto"/>
        <w:bottom w:val="none" w:sz="0" w:space="0" w:color="auto"/>
        <w:right w:val="none" w:sz="0" w:space="0" w:color="auto"/>
      </w:divBdr>
    </w:div>
    <w:div w:id="2723977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DocumentType xmlns="c333f3cd-b422-4a40-91d9-beb381af04eb">Briefing Attachment</pdms_DocumentType>
    <pdms_AttachedBy xmlns="c333f3cd-b422-4a40-91d9-beb381af04eb">MOHARAM, Felicity</pdms_AttachedBy>
    <pdms_Reason xmlns="c333f3cd-b422-4a40-91d9-beb381af04eb">Explains the legislative instrument</pdms_Reas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0D04B59B68B44B8C486292E41EC499" ma:contentTypeVersion="3" ma:contentTypeDescription="Create a new document." ma:contentTypeScope="" ma:versionID="1508447eb590ee168d7a51c5fc46bdfe">
  <xsd:schema xmlns:xsd="http://www.w3.org/2001/XMLSchema" xmlns:xs="http://www.w3.org/2001/XMLSchema" xmlns:p="http://schemas.microsoft.com/office/2006/metadata/properties" xmlns:ns2="c333f3cd-b422-4a40-91d9-beb381af04eb" targetNamespace="http://schemas.microsoft.com/office/2006/metadata/properties" ma:root="true" ma:fieldsID="356e555bdcf34fce8ee3ca5da7dcf2da" ns2:_="">
    <xsd:import namespace="c333f3cd-b422-4a40-91d9-beb381af04eb"/>
    <xsd:element name="properties">
      <xsd:complexType>
        <xsd:sequence>
          <xsd:element name="documentManagement">
            <xsd:complexType>
              <xsd:all>
                <xsd:element ref="ns2:pdms_DocumentType" minOccurs="0"/>
                <xsd:element ref="ns2:pdms_AttachedBy" minOccurs="0"/>
                <xsd:element ref="ns2:pdms_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3f3cd-b422-4a40-91d9-beb381af04eb" elementFormDefault="qualified">
    <xsd:import namespace="http://schemas.microsoft.com/office/2006/documentManagement/types"/>
    <xsd:import namespace="http://schemas.microsoft.com/office/infopath/2007/PartnerControls"/>
    <xsd:element name="pdms_DocumentType" ma:index="8" nillable="true" ma:displayName="Document Type" ma:description="" ma:internalName="pdms_DocumentType">
      <xsd:simpleType>
        <xsd:restriction base="dms:Text"/>
      </xsd:simpleType>
    </xsd:element>
    <xsd:element name="pdms_AttachedBy" ma:index="9" nillable="true" ma:displayName="Attached By" ma:description="" ma:internalName="pdms_AttachedBy">
      <xsd:simpleType>
        <xsd:restriction base="dms:Text"/>
      </xsd:simpleType>
    </xsd:element>
    <xsd:element name="pdms_Reason" ma:index="10" nillable="true" ma:displayName="Reason" ma:description="" ma:internalName="pdms_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6064C-36B8-4D88-9D78-EC6D222F703F}">
  <ds:schemaRefs>
    <ds:schemaRef ds:uri="http://www.w3.org/XML/1998/namespace"/>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c333f3cd-b422-4a40-91d9-beb381af04e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8B80EBC-4CB3-432D-B1A8-C4E511D38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3f3cd-b422-4a40-91d9-beb381af0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5FE17B-3C98-4D15-8218-1EC535DCCC9C}">
  <ds:schemaRefs>
    <ds:schemaRef ds:uri="http://schemas.microsoft.com/sharepoint/v3/contenttype/forms"/>
  </ds:schemaRefs>
</ds:datastoreItem>
</file>

<file path=customXml/itemProps4.xml><?xml version="1.0" encoding="utf-8"?>
<ds:datastoreItem xmlns:ds="http://schemas.openxmlformats.org/officeDocument/2006/customXml" ds:itemID="{893F4354-B446-48BB-A1D8-B27B7348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9F3BF14B.dotm</Template>
  <TotalTime>0</TotalTime>
  <Pages>6</Pages>
  <Words>2738</Words>
  <Characters>14251</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Attachment B Explanatory Statement - ESOS Refund Specification 2014</vt:lpstr>
    </vt:vector>
  </TitlesOfParts>
  <Company>Australian Government</Company>
  <LinksUpToDate>false</LinksUpToDate>
  <CharactersWithSpaces>16956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Explanatory Statement - ESOS Refund Specification 2014</dc:title>
  <dc:creator>Zoe Nadimi</dc:creator>
  <cp:lastModifiedBy>Johanna Palenschus</cp:lastModifiedBy>
  <cp:revision>2</cp:revision>
  <cp:lastPrinted>2014-04-11T06:10:00Z</cp:lastPrinted>
  <dcterms:created xsi:type="dcterms:W3CDTF">2014-06-30T01:39:00Z</dcterms:created>
  <dcterms:modified xsi:type="dcterms:W3CDTF">2014-06-30T01:39:00Z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0x010100680D04B59B68B44B8C486292E41EC499</vt:lpwstr>
  </property>
</Properties>
</file>