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573" w:rsidRDefault="006000F3">
      <w:pPr>
        <w:tabs>
          <w:tab w:val="left" w:pos="1418"/>
        </w:tabs>
        <w:ind w:right="91"/>
        <w:jc w:val="center"/>
        <w:rPr>
          <w:b/>
          <w:sz w:val="28"/>
          <w:szCs w:val="28"/>
        </w:rPr>
      </w:pPr>
      <w:r>
        <w:rPr>
          <w:b/>
          <w:sz w:val="28"/>
          <w:szCs w:val="28"/>
        </w:rPr>
        <w:t>AGRICULTURAL AND VETERINARY CHEMICALS CODE AMENDMENT (DURATION OF APPROVALS AND REGISTRATIONS) REGULATION 2014</w:t>
      </w:r>
    </w:p>
    <w:p w:rsidR="00C70573" w:rsidRDefault="00C70573">
      <w:pPr>
        <w:pStyle w:val="Heading6"/>
        <w:jc w:val="center"/>
        <w:rPr>
          <w:b/>
        </w:rPr>
      </w:pPr>
    </w:p>
    <w:p w:rsidR="00C70573" w:rsidRDefault="00C70573"/>
    <w:p w:rsidR="00C70573" w:rsidRDefault="006000F3">
      <w:pPr>
        <w:pStyle w:val="Heading5noTC"/>
        <w:spacing w:before="0"/>
        <w:jc w:val="center"/>
      </w:pPr>
      <w:r>
        <w:t>Agricultural and Veterinary Chemicals Code Act 1994</w:t>
      </w:r>
    </w:p>
    <w:p w:rsidR="00C70573" w:rsidRDefault="006000F3">
      <w:pPr>
        <w:pStyle w:val="Heading5noTC"/>
        <w:spacing w:before="0"/>
        <w:jc w:val="center"/>
      </w:pPr>
      <w:r>
        <w:t>Agricultural and Veterinary Chemicals Legislation Amendment Act 2013</w:t>
      </w:r>
    </w:p>
    <w:p w:rsidR="00C70573" w:rsidRDefault="00C70573">
      <w:pPr>
        <w:rPr>
          <w:lang w:val="en-US" w:eastAsia="en-US"/>
        </w:rPr>
      </w:pPr>
    </w:p>
    <w:p w:rsidR="00C70573" w:rsidRDefault="00C70573">
      <w:pPr>
        <w:tabs>
          <w:tab w:val="right" w:pos="8931"/>
        </w:tabs>
        <w:spacing w:line="240" w:lineRule="exact"/>
        <w:ind w:right="91"/>
        <w:jc w:val="center"/>
        <w:rPr>
          <w:b/>
          <w:u w:val="single"/>
        </w:rPr>
      </w:pPr>
    </w:p>
    <w:p w:rsidR="00C70573" w:rsidRDefault="00C70573">
      <w:pPr>
        <w:tabs>
          <w:tab w:val="right" w:pos="8931"/>
        </w:tabs>
        <w:spacing w:line="240" w:lineRule="exact"/>
        <w:ind w:right="91"/>
        <w:jc w:val="center"/>
        <w:rPr>
          <w:b/>
          <w:u w:val="single"/>
        </w:rPr>
      </w:pPr>
    </w:p>
    <w:p w:rsidR="00C70573" w:rsidRDefault="00C70573">
      <w:pPr>
        <w:tabs>
          <w:tab w:val="right" w:pos="8931"/>
        </w:tabs>
        <w:spacing w:line="240" w:lineRule="exact"/>
        <w:ind w:right="91"/>
        <w:jc w:val="center"/>
        <w:rPr>
          <w:b/>
          <w:u w:val="single"/>
        </w:rPr>
      </w:pPr>
    </w:p>
    <w:p w:rsidR="00C70573" w:rsidRDefault="00C70573">
      <w:pPr>
        <w:tabs>
          <w:tab w:val="right" w:pos="8931"/>
        </w:tabs>
        <w:spacing w:line="240" w:lineRule="exact"/>
        <w:ind w:right="91"/>
        <w:jc w:val="center"/>
        <w:rPr>
          <w:b/>
          <w:u w:val="single"/>
        </w:rPr>
      </w:pPr>
    </w:p>
    <w:p w:rsidR="00C70573" w:rsidRDefault="00C70573">
      <w:pPr>
        <w:tabs>
          <w:tab w:val="right" w:pos="8931"/>
        </w:tabs>
        <w:spacing w:line="240" w:lineRule="exact"/>
        <w:ind w:right="91"/>
        <w:jc w:val="center"/>
        <w:rPr>
          <w:b/>
          <w:u w:val="single"/>
        </w:rPr>
      </w:pPr>
    </w:p>
    <w:p w:rsidR="00C70573" w:rsidRDefault="00C70573">
      <w:pPr>
        <w:tabs>
          <w:tab w:val="right" w:pos="8931"/>
        </w:tabs>
        <w:spacing w:line="240" w:lineRule="exact"/>
        <w:ind w:right="91"/>
        <w:jc w:val="center"/>
        <w:rPr>
          <w:b/>
          <w:u w:val="single"/>
        </w:rPr>
      </w:pPr>
    </w:p>
    <w:p w:rsidR="00C70573" w:rsidRDefault="00C70573">
      <w:pPr>
        <w:tabs>
          <w:tab w:val="right" w:pos="8931"/>
        </w:tabs>
        <w:spacing w:line="240" w:lineRule="exact"/>
        <w:ind w:right="91"/>
        <w:jc w:val="center"/>
        <w:rPr>
          <w:b/>
          <w:u w:val="single"/>
        </w:rPr>
      </w:pPr>
    </w:p>
    <w:p w:rsidR="00C70573" w:rsidRDefault="006000F3">
      <w:pPr>
        <w:tabs>
          <w:tab w:val="right" w:pos="8931"/>
        </w:tabs>
        <w:spacing w:line="240" w:lineRule="exact"/>
        <w:ind w:right="91"/>
        <w:jc w:val="center"/>
      </w:pPr>
      <w:r>
        <w:rPr>
          <w:b/>
        </w:rPr>
        <w:t>EXPLANATORY STATEMENT</w:t>
      </w:r>
    </w:p>
    <w:p w:rsidR="00C70573" w:rsidRDefault="00C70573">
      <w:pPr>
        <w:rPr>
          <w:lang w:val="en-US" w:eastAsia="en-US"/>
        </w:rPr>
      </w:pPr>
    </w:p>
    <w:p w:rsidR="00C70573" w:rsidRDefault="00C70573">
      <w:pPr>
        <w:rPr>
          <w:lang w:val="en-US" w:eastAsia="en-US"/>
        </w:rPr>
      </w:pPr>
    </w:p>
    <w:p w:rsidR="00C70573" w:rsidRDefault="00C70573">
      <w:pPr>
        <w:rPr>
          <w:lang w:val="en-US" w:eastAsia="en-US"/>
        </w:rPr>
      </w:pPr>
    </w:p>
    <w:p w:rsidR="00BA23E1" w:rsidRPr="00923220" w:rsidRDefault="00BA23E1" w:rsidP="00BA23E1">
      <w:pPr>
        <w:pStyle w:val="Heading6"/>
        <w:jc w:val="center"/>
        <w:rPr>
          <w:b/>
        </w:rPr>
      </w:pPr>
      <w:r w:rsidRPr="00923220">
        <w:rPr>
          <w:b/>
        </w:rPr>
        <w:t>Select Legislative Instrument No. 91, 2014</w:t>
      </w:r>
    </w:p>
    <w:p w:rsidR="00C70573" w:rsidRDefault="00C70573" w:rsidP="00BA23E1">
      <w:pPr>
        <w:jc w:val="center"/>
        <w:rPr>
          <w:lang w:val="en-US" w:eastAsia="en-US"/>
        </w:rPr>
      </w:pPr>
      <w:bookmarkStart w:id="0" w:name="_GoBack"/>
      <w:bookmarkEnd w:id="0"/>
    </w:p>
    <w:p w:rsidR="00C70573" w:rsidRDefault="00C70573">
      <w:pPr>
        <w:rPr>
          <w:lang w:val="en-US" w:eastAsia="en-US"/>
        </w:rPr>
      </w:pPr>
    </w:p>
    <w:p w:rsidR="00C70573" w:rsidRDefault="00C70573">
      <w:pPr>
        <w:rPr>
          <w:lang w:val="en-US" w:eastAsia="en-US"/>
        </w:rPr>
      </w:pPr>
    </w:p>
    <w:p w:rsidR="00C70573" w:rsidRDefault="00C70573">
      <w:pPr>
        <w:rPr>
          <w:lang w:val="en-US" w:eastAsia="en-US"/>
        </w:rPr>
      </w:pPr>
    </w:p>
    <w:p w:rsidR="00C70573" w:rsidRDefault="00C70573"/>
    <w:p w:rsidR="00C70573" w:rsidRDefault="006000F3">
      <w:pPr>
        <w:pStyle w:val="Heading6"/>
        <w:jc w:val="center"/>
        <w:rPr>
          <w:u w:val="none"/>
        </w:rPr>
      </w:pPr>
      <w:r>
        <w:t>Issued by the authority of the Minister for Agriculture</w:t>
      </w:r>
    </w:p>
    <w:p w:rsidR="00C70573" w:rsidRDefault="006000F3">
      <w:pPr>
        <w:pStyle w:val="Heading3"/>
      </w:pPr>
      <w:r>
        <w:br w:type="page"/>
      </w:r>
      <w:bookmarkStart w:id="1" w:name="_Toc360450052"/>
      <w:bookmarkStart w:id="2" w:name="_Toc360450256"/>
      <w:bookmarkStart w:id="3" w:name="_Toc384709134"/>
      <w:bookmarkStart w:id="4" w:name="_Toc360284656"/>
      <w:bookmarkStart w:id="5" w:name="_Toc340506950"/>
      <w:bookmarkStart w:id="6" w:name="_Toc360284715"/>
      <w:r>
        <w:lastRenderedPageBreak/>
        <w:t>Legislative authority for regulation</w:t>
      </w:r>
      <w:bookmarkEnd w:id="1"/>
      <w:bookmarkEnd w:id="2"/>
      <w:bookmarkEnd w:id="3"/>
    </w:p>
    <w:p w:rsidR="00C70573" w:rsidRDefault="006000F3">
      <w:pPr>
        <w:pStyle w:val="BodyText1"/>
      </w:pPr>
      <w:r>
        <w:t xml:space="preserve">The Agricultural and Veterinary Chemicals Code Amendment (Duration of Approvals and Registrations) Regulation 2014 (Amendment Regulation) amends the Agricultural and Veterinary Chemicals Code Regulations 1995 (Principal Code Regulations). </w:t>
      </w:r>
    </w:p>
    <w:p w:rsidR="00C70573" w:rsidRDefault="006000F3">
      <w:pPr>
        <w:pStyle w:val="BodyText1"/>
      </w:pPr>
      <w:r>
        <w:t xml:space="preserve">Subsection 6(1) of the </w:t>
      </w:r>
      <w:r>
        <w:rPr>
          <w:i/>
        </w:rPr>
        <w:t xml:space="preserve">Agricultural and Veterinary Chemicals Code Act 1994 </w:t>
      </w:r>
      <w:r>
        <w:t>(Code Act)</w:t>
      </w:r>
      <w:r>
        <w:rPr>
          <w:i/>
        </w:rPr>
        <w:t xml:space="preserve"> </w:t>
      </w:r>
      <w:r>
        <w:t xml:space="preserve">provides, in part, that the Governor-General may make regulations prescribing matters required or permitted by the </w:t>
      </w:r>
      <w:proofErr w:type="spellStart"/>
      <w:r>
        <w:t>Agvet</w:t>
      </w:r>
      <w:proofErr w:type="spellEnd"/>
      <w:r>
        <w:t xml:space="preserve"> Code (a Schedule to the Code Act) to be prescribed by regulations within the meaning of the </w:t>
      </w:r>
      <w:proofErr w:type="spellStart"/>
      <w:r>
        <w:t>Agvet</w:t>
      </w:r>
      <w:proofErr w:type="spellEnd"/>
      <w:r>
        <w:t xml:space="preserve"> Code; or necessary or convenient to be prescribed by such regulations for carrying out or giving effect to the </w:t>
      </w:r>
      <w:proofErr w:type="spellStart"/>
      <w:r>
        <w:t>Agvet</w:t>
      </w:r>
      <w:proofErr w:type="spellEnd"/>
      <w:r>
        <w:t xml:space="preserve"> Code. </w:t>
      </w:r>
    </w:p>
    <w:p w:rsidR="00C70573" w:rsidRDefault="006000F3">
      <w:pPr>
        <w:pStyle w:val="BodyText1"/>
      </w:pPr>
      <w:r>
        <w:t xml:space="preserve">Paragraphs 19(2)(a), 20(2)(a), 29J(2)(a), 29K(2)(a) and 34AE(2)(a) of the </w:t>
      </w:r>
      <w:proofErr w:type="spellStart"/>
      <w:r>
        <w:t>Agvet</w:t>
      </w:r>
      <w:proofErr w:type="spellEnd"/>
      <w:r>
        <w:t xml:space="preserve"> Code provide authority for the regulations to prescribe a method for working out when approvals end and the last renewal dates of registrations.  Paragraph 47A(1)(a) of the </w:t>
      </w:r>
      <w:proofErr w:type="spellStart"/>
      <w:r>
        <w:t>Agvet</w:t>
      </w:r>
      <w:proofErr w:type="spellEnd"/>
      <w:r>
        <w:t xml:space="preserve"> Code provides the authority to prescribe regulators in foreign countries for the purposes of determining the end dates of approvals and last renewal dates of registrations.</w:t>
      </w:r>
    </w:p>
    <w:p w:rsidR="00C70573" w:rsidRDefault="006000F3">
      <w:pPr>
        <w:pStyle w:val="BodyText1"/>
      </w:pPr>
      <w:r>
        <w:t xml:space="preserve">Paragraph 51(3)(a) of Schedule 6 of the </w:t>
      </w:r>
      <w:r>
        <w:rPr>
          <w:i/>
        </w:rPr>
        <w:t>Agricultural and Veterinary Chemicals Legislation Amendment Act 2013</w:t>
      </w:r>
      <w:r>
        <w:t xml:space="preserve"> provides authority for the regulations to prescribe a method for working out when approvals end and the last renewal dates of registrations for existing approvals and registrations.</w:t>
      </w:r>
    </w:p>
    <w:p w:rsidR="00C70573" w:rsidRDefault="006000F3">
      <w:pPr>
        <w:pStyle w:val="BodyText1"/>
      </w:pPr>
      <w:r>
        <w:t xml:space="preserve">Section 4 of the </w:t>
      </w:r>
      <w:r>
        <w:rPr>
          <w:i/>
          <w:iCs/>
        </w:rPr>
        <w:t>Acts Interpretation Act 1901</w:t>
      </w:r>
      <w:r>
        <w:t xml:space="preserve"> provides for regulations to be made before commencement of the Act conferring power to make the regulation after the Act has been enacted. However, exercising the power to make regulations does not confer a power or right or impose an obligation on a person before the commencement date, except so far as is necessary or convenient to bring the regulation into effect. The provisions in the Amendment Regulation do not commence until after the </w:t>
      </w:r>
      <w:r>
        <w:rPr>
          <w:i/>
        </w:rPr>
        <w:t>Agricultural and Veterinary Chemicals Legislation Amendment Act 2013</w:t>
      </w:r>
      <w:r>
        <w:t xml:space="preserve"> commences on 1 July 2014.  </w:t>
      </w:r>
    </w:p>
    <w:p w:rsidR="00C70573" w:rsidRDefault="006000F3">
      <w:pPr>
        <w:pStyle w:val="Heading3"/>
      </w:pPr>
      <w:bookmarkStart w:id="7" w:name="_Toc384709138"/>
      <w:bookmarkStart w:id="8" w:name="_Toc360450056"/>
      <w:bookmarkStart w:id="9" w:name="_Toc360450260"/>
      <w:bookmarkStart w:id="10" w:name="_Toc384709137"/>
      <w:bookmarkEnd w:id="4"/>
      <w:bookmarkEnd w:id="5"/>
      <w:bookmarkEnd w:id="6"/>
      <w:r>
        <w:t>Purpose of amendments</w:t>
      </w:r>
      <w:bookmarkEnd w:id="7"/>
    </w:p>
    <w:p w:rsidR="00C70573" w:rsidRDefault="006000F3">
      <w:pPr>
        <w:pStyle w:val="BodyText1"/>
      </w:pPr>
      <w:r>
        <w:t>The Amendment Regulation amends the Principal Code Regulations to, in effect, delay the operation of the scheme for re-approval of active constituents for agricultural chemicals and veterinary medicines (</w:t>
      </w:r>
      <w:proofErr w:type="spellStart"/>
      <w:r>
        <w:t>agvet</w:t>
      </w:r>
      <w:proofErr w:type="spellEnd"/>
      <w:r>
        <w:t xml:space="preserve"> chemicals) and re-registration of </w:t>
      </w:r>
      <w:proofErr w:type="spellStart"/>
      <w:r>
        <w:t>agvet</w:t>
      </w:r>
      <w:proofErr w:type="spellEnd"/>
      <w:r>
        <w:t xml:space="preserve"> chemical products in the </w:t>
      </w:r>
      <w:proofErr w:type="spellStart"/>
      <w:r>
        <w:t>Agvet</w:t>
      </w:r>
      <w:proofErr w:type="spellEnd"/>
      <w:r>
        <w:t xml:space="preserve"> Code for 15 years by:</w:t>
      </w:r>
    </w:p>
    <w:p w:rsidR="00C70573" w:rsidRDefault="006000F3">
      <w:pPr>
        <w:pStyle w:val="Dotpoint1"/>
      </w:pPr>
      <w:r>
        <w:t xml:space="preserve">making all </w:t>
      </w:r>
      <w:proofErr w:type="spellStart"/>
      <w:r>
        <w:t>agvet</w:t>
      </w:r>
      <w:proofErr w:type="spellEnd"/>
      <w:r>
        <w:t xml:space="preserve"> chemical active constituent approvals end in 2029 or 15 years after approval</w:t>
      </w:r>
    </w:p>
    <w:p w:rsidR="00C70573" w:rsidRDefault="006000F3">
      <w:pPr>
        <w:pStyle w:val="Dotpoint1"/>
      </w:pPr>
      <w:r>
        <w:t xml:space="preserve">setting all the last renewal dates for </w:t>
      </w:r>
      <w:proofErr w:type="spellStart"/>
      <w:r>
        <w:t>agvet</w:t>
      </w:r>
      <w:proofErr w:type="spellEnd"/>
      <w:r>
        <w:t xml:space="preserve"> chemical product registrations as 2029 or 15 years after registration    </w:t>
      </w:r>
    </w:p>
    <w:p w:rsidR="00C70573" w:rsidRDefault="006000F3">
      <w:pPr>
        <w:pStyle w:val="Dotpoint1"/>
      </w:pPr>
      <w:r>
        <w:t xml:space="preserve">removing all prescribed regulators so that section 47A of the </w:t>
      </w:r>
      <w:proofErr w:type="spellStart"/>
      <w:r>
        <w:t>Agvet</w:t>
      </w:r>
      <w:proofErr w:type="spellEnd"/>
      <w:r>
        <w:t xml:space="preserve"> Code does not operate</w:t>
      </w:r>
    </w:p>
    <w:p w:rsidR="00C70573" w:rsidRDefault="006000F3">
      <w:pPr>
        <w:pStyle w:val="Dotpoint1"/>
        <w:numPr>
          <w:ilvl w:val="0"/>
          <w:numId w:val="0"/>
        </w:numPr>
        <w:ind w:left="284"/>
      </w:pPr>
      <w:r>
        <w:t xml:space="preserve">Section 47A varied end dates and last renewal dates as a result of decisions by prescribed regulators in foreign countries to prohibit uses of an active constituent or products containing the active constituent. </w:t>
      </w:r>
    </w:p>
    <w:p w:rsidR="00C70573" w:rsidRDefault="006000F3">
      <w:pPr>
        <w:pStyle w:val="Dotpoint1"/>
        <w:numPr>
          <w:ilvl w:val="0"/>
          <w:numId w:val="0"/>
        </w:numPr>
        <w:tabs>
          <w:tab w:val="clear" w:pos="284"/>
        </w:tabs>
      </w:pPr>
      <w:r>
        <w:t>The delay to the operation of the re-approval and re-registration scheme until 2029 is consistent with the Australian Government’s policy to remove the scheme. A Bill to remove the scheme, the Agricultural and Veterinary Chemicals Legislation Amendment (Removing Re-approval and Re-registration) Bill 2014, is currently before the Commonwealth Parliament.</w:t>
      </w:r>
    </w:p>
    <w:p w:rsidR="00C70573" w:rsidRDefault="006000F3">
      <w:pPr>
        <w:pStyle w:val="Heading3"/>
        <w:rPr>
          <w:i/>
        </w:rPr>
      </w:pPr>
      <w:bookmarkStart w:id="11" w:name="_Toc360450053"/>
      <w:bookmarkStart w:id="12" w:name="_Toc360450257"/>
      <w:bookmarkStart w:id="13" w:name="_Toc340506973"/>
      <w:bookmarkStart w:id="14" w:name="_Toc360284661"/>
      <w:bookmarkStart w:id="15" w:name="_Toc360450063"/>
      <w:bookmarkStart w:id="16" w:name="_Toc360450267"/>
      <w:bookmarkStart w:id="17" w:name="_Toc384709142"/>
      <w:bookmarkStart w:id="18" w:name="_Toc327863112"/>
      <w:bookmarkStart w:id="19" w:name="_Toc360284660"/>
      <w:bookmarkEnd w:id="8"/>
      <w:bookmarkEnd w:id="9"/>
      <w:bookmarkEnd w:id="10"/>
      <w:r>
        <w:rPr>
          <w:i/>
        </w:rPr>
        <w:lastRenderedPageBreak/>
        <w:t>Legislative Instruments Act 2003</w:t>
      </w:r>
      <w:bookmarkEnd w:id="11"/>
      <w:bookmarkEnd w:id="12"/>
    </w:p>
    <w:p w:rsidR="00C70573" w:rsidRDefault="006000F3">
      <w:pPr>
        <w:pStyle w:val="BodyText1"/>
      </w:pPr>
      <w:r>
        <w:t xml:space="preserve">The Amendment Regulation is a disallowable legislative instrument for the purposes of the </w:t>
      </w:r>
      <w:r>
        <w:rPr>
          <w:i/>
        </w:rPr>
        <w:t xml:space="preserve">Legislative Instruments Act 2003 </w:t>
      </w:r>
      <w:r>
        <w:t xml:space="preserve">(LI Act). Section 54 of the LI Act means that the Amendment Regulation is not subject to </w:t>
      </w:r>
      <w:proofErr w:type="spellStart"/>
      <w:r>
        <w:t>sunsetting</w:t>
      </w:r>
      <w:proofErr w:type="spellEnd"/>
      <w:r>
        <w:t xml:space="preserve"> as the amendments to regulations set out in the Amendment Regulation are enabled by legislation that facilitates the establishment and operation of a scheme involving the Commonwealth and one or more states.</w:t>
      </w:r>
    </w:p>
    <w:p w:rsidR="00C70573" w:rsidRDefault="006000F3">
      <w:pPr>
        <w:pStyle w:val="Heading3"/>
      </w:pPr>
      <w:r>
        <w:t>Public Consultation</w:t>
      </w:r>
      <w:bookmarkEnd w:id="13"/>
      <w:bookmarkEnd w:id="14"/>
      <w:bookmarkEnd w:id="15"/>
      <w:bookmarkEnd w:id="16"/>
      <w:bookmarkEnd w:id="17"/>
    </w:p>
    <w:p w:rsidR="00C70573" w:rsidRDefault="006000F3">
      <w:pPr>
        <w:pStyle w:val="BodyText1"/>
      </w:pPr>
      <w:r>
        <w:t xml:space="preserve">The details of the regulations were released for public consultation from December 2013 to 7 March 2014. Comments from submitters have been taken into account in preparing these regulations. </w:t>
      </w:r>
    </w:p>
    <w:p w:rsidR="00C70573" w:rsidRDefault="006000F3">
      <w:pPr>
        <w:pStyle w:val="BodyText1"/>
      </w:pPr>
      <w:r>
        <w:t xml:space="preserve">The </w:t>
      </w:r>
      <w:proofErr w:type="spellStart"/>
      <w:r>
        <w:t>APVMA</w:t>
      </w:r>
      <w:proofErr w:type="spellEnd"/>
      <w:r>
        <w:t xml:space="preserve"> was consulted closely over the requirements for and content of the Amendment Regulation. Relevant state and territory agencies were also consulted on the regulations as part of the public consultation and comments provided were taken into account in preparing these regulations. </w:t>
      </w:r>
    </w:p>
    <w:p w:rsidR="00C70573" w:rsidRDefault="006000F3">
      <w:pPr>
        <w:pStyle w:val="Heading3"/>
      </w:pPr>
      <w:bookmarkStart w:id="20" w:name="_Toc384709143"/>
      <w:bookmarkStart w:id="21" w:name="_Toc360450064"/>
      <w:bookmarkStart w:id="22" w:name="_Toc360450268"/>
      <w:r>
        <w:t>Regulatory Impact Analysis</w:t>
      </w:r>
      <w:bookmarkEnd w:id="18"/>
      <w:bookmarkEnd w:id="20"/>
      <w:r>
        <w:t xml:space="preserve"> </w:t>
      </w:r>
      <w:bookmarkEnd w:id="19"/>
      <w:bookmarkEnd w:id="21"/>
      <w:bookmarkEnd w:id="22"/>
    </w:p>
    <w:p w:rsidR="00C70573" w:rsidRDefault="006000F3">
      <w:r>
        <w:rPr>
          <w:noProof/>
        </w:rPr>
        <w:t>These</w:t>
      </w:r>
      <w:r>
        <w:t xml:space="preserve"> amendments are related to the measures in the Agricultural and Veterinary Chemicals Legislation Amendment (Removing Re-approval and Re-registration) Bill 2014. The Office of Best Practice Regulation was consulted about these measures and has advised that the regulatory changes are machinery in nature and a Regulation Impact Statement is not required (ID number </w:t>
      </w:r>
      <w:r>
        <w:rPr>
          <w:bCs/>
        </w:rPr>
        <w:t>16147)</w:t>
      </w:r>
      <w:r>
        <w:t>.</w:t>
      </w:r>
    </w:p>
    <w:p w:rsidR="00C70573" w:rsidRDefault="006000F3">
      <w:pPr>
        <w:pStyle w:val="Heading2"/>
      </w:pPr>
      <w:bookmarkStart w:id="23" w:name="_Toc353346807"/>
      <w:bookmarkStart w:id="24" w:name="_Toc360284662"/>
      <w:bookmarkStart w:id="25" w:name="_Toc360284663"/>
      <w:bookmarkStart w:id="26" w:name="_Toc360450065"/>
      <w:bookmarkStart w:id="27" w:name="_Toc360450269"/>
      <w:bookmarkStart w:id="28" w:name="_Toc384709144"/>
      <w:bookmarkStart w:id="29" w:name="_Toc327863115"/>
      <w:r>
        <w:t>Details of the Amendment Regulations</w:t>
      </w:r>
    </w:p>
    <w:p w:rsidR="00C70573" w:rsidRDefault="006000F3">
      <w:pPr>
        <w:pStyle w:val="BodyText1"/>
      </w:pPr>
      <w:r>
        <w:t xml:space="preserve">The details of the Amendment Regulation, including the impact and effect of the amending regulations, are at </w:t>
      </w:r>
      <w:r>
        <w:rPr>
          <w:u w:val="single"/>
        </w:rPr>
        <w:t>Attachment A</w:t>
      </w:r>
      <w:r>
        <w:t>.</w:t>
      </w:r>
    </w:p>
    <w:p w:rsidR="00C70573" w:rsidRDefault="006000F3">
      <w:pPr>
        <w:pStyle w:val="Heading2"/>
      </w:pPr>
      <w:r>
        <w:t>Human Rights Compatibility Assessment</w:t>
      </w:r>
      <w:bookmarkEnd w:id="23"/>
    </w:p>
    <w:p w:rsidR="00C70573" w:rsidRDefault="006000F3">
      <w:pPr>
        <w:pStyle w:val="BodyText1"/>
      </w:pPr>
      <w:r>
        <w:t xml:space="preserve">This legislative instrument is compatible with the human rights and freedoms recognised or declared under section 3 of the </w:t>
      </w:r>
      <w:r>
        <w:rPr>
          <w:i/>
        </w:rPr>
        <w:t>Human Rights (Parliamentary Scrutiny) Act 2011</w:t>
      </w:r>
      <w:r>
        <w:t xml:space="preserve">. A full statement of compatibility is set out in </w:t>
      </w:r>
      <w:r>
        <w:rPr>
          <w:u w:val="single"/>
        </w:rPr>
        <w:t>Attachment B</w:t>
      </w:r>
      <w:r>
        <w:t>.</w:t>
      </w:r>
    </w:p>
    <w:bookmarkEnd w:id="24"/>
    <w:bookmarkEnd w:id="25"/>
    <w:bookmarkEnd w:id="26"/>
    <w:bookmarkEnd w:id="27"/>
    <w:bookmarkEnd w:id="28"/>
    <w:p w:rsidR="00C70573" w:rsidRDefault="006000F3">
      <w:pPr>
        <w:pStyle w:val="Heading2"/>
        <w:jc w:val="right"/>
        <w:rPr>
          <w:sz w:val="24"/>
          <w:szCs w:val="24"/>
          <w:u w:val="single"/>
        </w:rPr>
      </w:pPr>
      <w:r>
        <w:rPr>
          <w:szCs w:val="24"/>
        </w:rPr>
        <w:br w:type="page"/>
      </w:r>
      <w:bookmarkStart w:id="30" w:name="_Toc360284674"/>
      <w:r>
        <w:rPr>
          <w:sz w:val="24"/>
          <w:szCs w:val="24"/>
          <w:u w:val="single"/>
        </w:rPr>
        <w:lastRenderedPageBreak/>
        <w:t>ATTACHMENT A</w:t>
      </w:r>
    </w:p>
    <w:p w:rsidR="00C70573" w:rsidRDefault="006000F3">
      <w:pPr>
        <w:pStyle w:val="Heading2noTC"/>
        <w:jc w:val="center"/>
      </w:pPr>
      <w:r>
        <w:t>Agricultural and Veterinary Chemicals CODE Amendment (DURATION OF APPROVALS AND REGISTRATIONS) Regulation 2014</w:t>
      </w:r>
      <w:bookmarkEnd w:id="29"/>
      <w:bookmarkEnd w:id="30"/>
    </w:p>
    <w:p w:rsidR="00C70573" w:rsidRDefault="006000F3">
      <w:pPr>
        <w:pStyle w:val="Heading2"/>
      </w:pPr>
      <w:bookmarkStart w:id="31" w:name="_Toc360450066"/>
      <w:bookmarkStart w:id="32" w:name="_Toc360450270"/>
      <w:bookmarkStart w:id="33" w:name="_Toc384709146"/>
      <w:r>
        <w:t>DETAILS OF THE AMENDMENT REGULATION</w:t>
      </w:r>
      <w:bookmarkEnd w:id="31"/>
      <w:bookmarkEnd w:id="32"/>
      <w:bookmarkEnd w:id="33"/>
    </w:p>
    <w:p w:rsidR="00C70573" w:rsidRDefault="006000F3">
      <w:pPr>
        <w:pStyle w:val="Itemheader"/>
      </w:pPr>
      <w:r>
        <w:t>Section 1 – Name of Regulation</w:t>
      </w:r>
    </w:p>
    <w:p w:rsidR="00C70573" w:rsidRDefault="006000F3">
      <w:pPr>
        <w:pStyle w:val="BodyText1"/>
      </w:pPr>
      <w:r>
        <w:t>This section provides that the name of the Amendment Regulation is the Agricultural and Veterinary Chemicals Code Amendment (Duration of Approvals and Registrations) Regulation 2014</w:t>
      </w:r>
      <w:r>
        <w:rPr>
          <w:i/>
        </w:rPr>
        <w:t xml:space="preserve"> </w:t>
      </w:r>
      <w:r>
        <w:t>(Amendment Regulation).</w:t>
      </w:r>
    </w:p>
    <w:p w:rsidR="00C70573" w:rsidRDefault="006000F3">
      <w:pPr>
        <w:pStyle w:val="Itemheader"/>
      </w:pPr>
      <w:r>
        <w:t>Section 2 – Commencement</w:t>
      </w:r>
    </w:p>
    <w:p w:rsidR="00C70573" w:rsidRDefault="006000F3">
      <w:pPr>
        <w:spacing w:before="120"/>
        <w:rPr>
          <w:highlight w:val="yellow"/>
        </w:rPr>
      </w:pPr>
      <w:r>
        <w:t xml:space="preserve">This section provides that Sections 1 to 4 commence the day after this regulation is registered. The measures in Schedule 1 commence immediately after the Agricultural and Veterinary Chemicals Legislation Amendment Regulation 2014 (Legislation Amendment Regulation 2014), which commences on 1 July 2014. However, the measures in the Amendment Regulation would not commence at all if Schedules 1 and 2 of the </w:t>
      </w:r>
      <w:r>
        <w:rPr>
          <w:i/>
        </w:rPr>
        <w:t>Agricultural and Veterinary Chemicals Legislation Amendment (Removing Re-approval and Re-registration) Act 2014</w:t>
      </w:r>
      <w:r>
        <w:t xml:space="preserve"> commence at or before the time the Legislation Amendment Regulation 2014 commences. A Bill for this Act, the Agricultural and Veterinary Chemicals Legislation Amendment (Removing Re-approval and Re-registration) Bill 2014, is currently before the Commonwealth Parliament.</w:t>
      </w:r>
    </w:p>
    <w:p w:rsidR="00C70573" w:rsidRDefault="006000F3">
      <w:pPr>
        <w:pStyle w:val="Itemheader"/>
      </w:pPr>
      <w:r>
        <w:t>Section 3 – Amendment of regulations for agricultural and veterinary chemicals legislation</w:t>
      </w:r>
    </w:p>
    <w:p w:rsidR="00C70573" w:rsidRDefault="006000F3">
      <w:pPr>
        <w:pStyle w:val="BodyText1"/>
      </w:pPr>
      <w:r>
        <w:t xml:space="preserve">This section specifies the legislation that authorises the amendments to the Agricultural and Veterinary Chemicals Code Regulations 1995 (Principal Code Regulations). </w:t>
      </w:r>
    </w:p>
    <w:p w:rsidR="00C70573" w:rsidRDefault="006000F3">
      <w:pPr>
        <w:pStyle w:val="Itemheader"/>
      </w:pPr>
      <w:r>
        <w:t>Section 4 – Schedules</w:t>
      </w:r>
    </w:p>
    <w:p w:rsidR="00C70573" w:rsidRDefault="006000F3">
      <w:pPr>
        <w:pStyle w:val="BodyText1"/>
      </w:pPr>
      <w:r>
        <w:t xml:space="preserve">This section specifies that the amendments in Schedule 1 apply to the items in the Schedule according to the items. </w:t>
      </w:r>
    </w:p>
    <w:p w:rsidR="00C70573" w:rsidRDefault="006000F3">
      <w:pPr>
        <w:pStyle w:val="Heading3"/>
      </w:pPr>
      <w:bookmarkStart w:id="34" w:name="_Toc327863116"/>
      <w:bookmarkStart w:id="35" w:name="_Toc360284682"/>
      <w:bookmarkStart w:id="36" w:name="_Toc360450074"/>
      <w:bookmarkStart w:id="37" w:name="_Toc360450278"/>
      <w:bookmarkStart w:id="38" w:name="_Toc384709147"/>
      <w:r>
        <w:t>Schedule 1 –</w:t>
      </w:r>
      <w:bookmarkEnd w:id="34"/>
      <w:r>
        <w:t xml:space="preserve"> Agricultural and Veterinary Chemicals Code Regulations 1995</w:t>
      </w:r>
      <w:bookmarkEnd w:id="35"/>
      <w:bookmarkEnd w:id="36"/>
      <w:bookmarkEnd w:id="37"/>
      <w:bookmarkEnd w:id="38"/>
    </w:p>
    <w:p w:rsidR="00C70573" w:rsidRDefault="006000F3">
      <w:pPr>
        <w:pStyle w:val="Itemheader"/>
      </w:pPr>
      <w:bookmarkStart w:id="39" w:name="_Toc360284683"/>
      <w:bookmarkStart w:id="40" w:name="_Toc360450075"/>
      <w:bookmarkStart w:id="41" w:name="_Toc360450279"/>
      <w:r>
        <w:t xml:space="preserve">Item 1 – New regulations 17A, 17B, 17BA, 17BB, 17BC and 17BD </w:t>
      </w:r>
    </w:p>
    <w:p w:rsidR="00C70573" w:rsidRDefault="006000F3">
      <w:pPr>
        <w:pStyle w:val="BodyText1"/>
      </w:pPr>
      <w:r>
        <w:t xml:space="preserve">For the authorities in paragraphs 19(2)(a), 20(2)(a), 29J(2)(a), 29K(2)(a) and 34AE(2)(a) of the Schedule to the </w:t>
      </w:r>
      <w:r>
        <w:rPr>
          <w:i/>
        </w:rPr>
        <w:t xml:space="preserve">Agricultural and Veterinary Chemicals Code Act 1994 </w:t>
      </w:r>
      <w:r>
        <w:t>(</w:t>
      </w:r>
      <w:proofErr w:type="spellStart"/>
      <w:r>
        <w:t>Agvet</w:t>
      </w:r>
      <w:proofErr w:type="spellEnd"/>
      <w:r>
        <w:t xml:space="preserve"> Code), item 1 removes regulations 17A and 17B and insert new regulations 17A to 17BD to prescribe the method for working out end dates for approvals of active constituents and last renewal dates for registrations of chemical products. The new regulations prescribe that the end date for an approval must be the last day of a calendar month, that is 15 years after approval, re-approval or affirmation of approval following reconsideration (chemical review). The new regulations also prescribe that the last renewal date for a registration must be the last day of a calendar month that is 15 years after registration, re</w:t>
      </w:r>
      <w:r>
        <w:noBreakHyphen/>
        <w:t xml:space="preserve">registration or affirmation of registration following reconsideration (chemical review). </w:t>
      </w:r>
    </w:p>
    <w:p w:rsidR="00C70573" w:rsidRDefault="006000F3">
      <w:pPr>
        <w:pStyle w:val="Itemheader"/>
      </w:pPr>
      <w:r>
        <w:t>Item 2 – Division 2.5</w:t>
      </w:r>
    </w:p>
    <w:p w:rsidR="00C70573" w:rsidRDefault="006000F3">
      <w:pPr>
        <w:pStyle w:val="BodyText1"/>
      </w:pPr>
      <w:r>
        <w:t xml:space="preserve">For the authority in paragraph 47A(1)(a) of the </w:t>
      </w:r>
      <w:proofErr w:type="spellStart"/>
      <w:r>
        <w:t>Agvet</w:t>
      </w:r>
      <w:proofErr w:type="spellEnd"/>
      <w:r>
        <w:t xml:space="preserve"> Code, this item omits the division that prescribes regulators in foreign countries that are relevant to variations of the duration of an active constituent approval or chemical product registration. The purpose of this amendment is to prevent </w:t>
      </w:r>
      <w:r>
        <w:lastRenderedPageBreak/>
        <w:t xml:space="preserve">section 47A of the </w:t>
      </w:r>
      <w:proofErr w:type="spellStart"/>
      <w:r>
        <w:t>Agvet</w:t>
      </w:r>
      <w:proofErr w:type="spellEnd"/>
      <w:r>
        <w:t xml:space="preserve"> Code from operating. As there are no regulators prescribed, there are no decisions that can require the end dates of approvals or last renewal dates of registrations to be varied to be before 2029. </w:t>
      </w:r>
    </w:p>
    <w:p w:rsidR="00C70573" w:rsidRDefault="006000F3">
      <w:pPr>
        <w:pStyle w:val="Itemheader"/>
      </w:pPr>
      <w:r>
        <w:t xml:space="preserve">Items 3 and 4 – Regulations 80 and 81 </w:t>
      </w:r>
    </w:p>
    <w:bookmarkEnd w:id="39"/>
    <w:bookmarkEnd w:id="40"/>
    <w:bookmarkEnd w:id="41"/>
    <w:p w:rsidR="00C70573" w:rsidRDefault="006000F3">
      <w:pPr>
        <w:pStyle w:val="BodyText1"/>
      </w:pPr>
      <w:r>
        <w:t xml:space="preserve">For the authority in paragraph 51(3)(a) of Schedule 6 to the </w:t>
      </w:r>
      <w:r>
        <w:rPr>
          <w:i/>
        </w:rPr>
        <w:t>Agricultural and Veterinary Chemicals Legislation Amendment Act 2013</w:t>
      </w:r>
      <w:r>
        <w:t xml:space="preserve">, item 4 replaces regulation 81 to prescribe the method for working out end dates for existing active constituent approvals and last renewal dates for existing chemical product registrations. The new regulation prescribes that the end date for an approval must be the last day of a calendar month that is 15 years after commencement of the regulation (that is, in 2029). The new regulation also prescribes that the last renewal date for a registration must be the last day of a calendar month that is 15 years after commencement of the regulation (that is, also in 2029). Item 3 inserts a definition of ‘commencement time’ to assist in the interpretation of regulation 81. </w:t>
      </w:r>
    </w:p>
    <w:p w:rsidR="00C70573" w:rsidRDefault="006000F3">
      <w:pPr>
        <w:pStyle w:val="Heading2"/>
        <w:jc w:val="right"/>
        <w:rPr>
          <w:sz w:val="24"/>
          <w:szCs w:val="24"/>
          <w:u w:val="single"/>
        </w:rPr>
      </w:pPr>
      <w:r>
        <w:br w:type="page"/>
      </w:r>
      <w:r>
        <w:rPr>
          <w:sz w:val="24"/>
          <w:szCs w:val="24"/>
          <w:u w:val="single"/>
        </w:rPr>
        <w:lastRenderedPageBreak/>
        <w:t>ATTACHMENT B</w:t>
      </w:r>
    </w:p>
    <w:p w:rsidR="00C70573" w:rsidRDefault="006000F3">
      <w:pPr>
        <w:pStyle w:val="Heading2"/>
      </w:pPr>
      <w:r>
        <w:t>HUMAN RIGHTS COMPATIBILITY ASSESSMENT</w:t>
      </w:r>
    </w:p>
    <w:p w:rsidR="00C70573" w:rsidRDefault="006000F3">
      <w:pPr>
        <w:pStyle w:val="Heading3noTC"/>
        <w:keepNext/>
      </w:pPr>
      <w:r>
        <w:t>Agricultural and Veterinary Chemicals Code Amendment (Duration of Approvals and Registrations) Regulation 2014</w:t>
      </w:r>
    </w:p>
    <w:p w:rsidR="00C70573" w:rsidRDefault="006000F3">
      <w:pPr>
        <w:pStyle w:val="BodyText1"/>
      </w:pPr>
      <w:r>
        <w:t xml:space="preserve">The Agricultural and Veterinary Chemicals Code Amendment (Duration of Approvals and Registrations) Regulation 2014 (Amendment Regulation) is compatible with the human rights and freedoms recognised or declared under section 3 of the </w:t>
      </w:r>
      <w:r>
        <w:rPr>
          <w:i/>
        </w:rPr>
        <w:t>Human Rights (Parliamentary Scrutiny) Act 2011</w:t>
      </w:r>
      <w:r>
        <w:t xml:space="preserve">. </w:t>
      </w:r>
    </w:p>
    <w:p w:rsidR="00C70573" w:rsidRDefault="006000F3">
      <w:pPr>
        <w:pStyle w:val="Heading4noTC"/>
      </w:pPr>
      <w:r>
        <w:t>Overview of the Legislative Instrument</w:t>
      </w:r>
    </w:p>
    <w:p w:rsidR="00C70573" w:rsidRDefault="006000F3">
      <w:pPr>
        <w:pStyle w:val="BodyText1"/>
      </w:pPr>
      <w:r>
        <w:t>The Amendment Regulation amends the Agricultural and Veterinary Chemicals Code Regulations 1995</w:t>
      </w:r>
      <w:r>
        <w:rPr>
          <w:i/>
        </w:rPr>
        <w:t xml:space="preserve"> </w:t>
      </w:r>
      <w:r>
        <w:t>(Principal Code Regulations). The Amendment Regulation amends the Principal Code Regulations to, in effect, delay the operation of the scheme for re-approval of active constituents for agricultural chemicals and veterinary medicines (</w:t>
      </w:r>
      <w:proofErr w:type="spellStart"/>
      <w:r>
        <w:t>agvet</w:t>
      </w:r>
      <w:proofErr w:type="spellEnd"/>
      <w:r>
        <w:t xml:space="preserve"> chemicals) and re-registration of </w:t>
      </w:r>
      <w:proofErr w:type="spellStart"/>
      <w:r>
        <w:t>agvet</w:t>
      </w:r>
      <w:proofErr w:type="spellEnd"/>
      <w:r>
        <w:t xml:space="preserve"> chemical products in the </w:t>
      </w:r>
      <w:proofErr w:type="spellStart"/>
      <w:r>
        <w:t>Agvet</w:t>
      </w:r>
      <w:proofErr w:type="spellEnd"/>
      <w:r>
        <w:t xml:space="preserve"> Code for 15 years. </w:t>
      </w:r>
    </w:p>
    <w:p w:rsidR="00C70573" w:rsidRDefault="006000F3">
      <w:pPr>
        <w:pStyle w:val="BodyText1"/>
      </w:pPr>
      <w:r>
        <w:t>The delay to the operation of the re-approval and re-registration scheme until 2029 is consistent with the Australian Government’s policy to remove the scheme. A Bill to remove the scheme, the Agricultural and Veterinary Chemicals Legislation Amendment (Removing Re-approval and Re-registration) Bill 2014, is currently before the Parliament.</w:t>
      </w:r>
    </w:p>
    <w:p w:rsidR="00C70573" w:rsidRDefault="006000F3">
      <w:pPr>
        <w:pStyle w:val="Heading4noTC"/>
      </w:pPr>
      <w:r>
        <w:t>Human rights implications</w:t>
      </w:r>
    </w:p>
    <w:p w:rsidR="00C70573" w:rsidRDefault="006000F3">
      <w:pPr>
        <w:spacing w:before="100" w:beforeAutospacing="1" w:after="100" w:afterAutospacing="1"/>
      </w:pPr>
      <w:r>
        <w:t>This Legislative Instrument does not engage any of the applicable rights or freedoms.</w:t>
      </w:r>
    </w:p>
    <w:p w:rsidR="00C70573" w:rsidRDefault="006000F3">
      <w:pPr>
        <w:pStyle w:val="Heading4"/>
      </w:pPr>
      <w:bookmarkStart w:id="42" w:name="_Toc384709145"/>
      <w:r>
        <w:t>Conclusion</w:t>
      </w:r>
      <w:bookmarkEnd w:id="42"/>
    </w:p>
    <w:p w:rsidR="00C70573" w:rsidRDefault="006000F3">
      <w:pPr>
        <w:spacing w:before="100" w:beforeAutospacing="1" w:after="100" w:afterAutospacing="1"/>
      </w:pPr>
      <w:r>
        <w:t>This Legislative Instrument is compatible with human rights as it does not raise any human rights issues.</w:t>
      </w:r>
    </w:p>
    <w:p w:rsidR="00C70573" w:rsidRDefault="00C70573">
      <w:pPr>
        <w:pStyle w:val="BodyText1"/>
      </w:pPr>
    </w:p>
    <w:sectPr w:rsidR="00C70573" w:rsidSect="00C70573">
      <w:headerReference w:type="even" r:id="rId9"/>
      <w:headerReference w:type="default" r:id="rId10"/>
      <w:footerReference w:type="default" r:id="rId11"/>
      <w:pgSz w:w="11906" w:h="16838"/>
      <w:pgMar w:top="1134" w:right="1077" w:bottom="1276" w:left="107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573" w:rsidRDefault="006000F3">
      <w:r>
        <w:separator/>
      </w:r>
    </w:p>
  </w:endnote>
  <w:endnote w:type="continuationSeparator" w:id="0">
    <w:p w:rsidR="00C70573" w:rsidRDefault="0060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Rounded MT Bold">
    <w:altName w:val="Tahoma"/>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573" w:rsidRDefault="00BA23E1">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573" w:rsidRDefault="006000F3">
      <w:r>
        <w:separator/>
      </w:r>
    </w:p>
  </w:footnote>
  <w:footnote w:type="continuationSeparator" w:id="0">
    <w:p w:rsidR="00C70573" w:rsidRDefault="00600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573" w:rsidRDefault="00C70573">
    <w:pPr>
      <w:pStyle w:val="Header"/>
      <w:framePr w:wrap="around" w:vAnchor="text" w:hAnchor="margin" w:xAlign="center" w:y="1"/>
      <w:rPr>
        <w:rStyle w:val="PageNumber"/>
      </w:rPr>
    </w:pPr>
    <w:r>
      <w:rPr>
        <w:rStyle w:val="PageNumber"/>
      </w:rPr>
      <w:fldChar w:fldCharType="begin"/>
    </w:r>
    <w:r w:rsidR="006000F3">
      <w:rPr>
        <w:rStyle w:val="PageNumber"/>
      </w:rPr>
      <w:instrText xml:space="preserve">PAGE  </w:instrText>
    </w:r>
    <w:r>
      <w:rPr>
        <w:rStyle w:val="PageNumber"/>
      </w:rPr>
      <w:fldChar w:fldCharType="end"/>
    </w:r>
  </w:p>
  <w:p w:rsidR="00C70573" w:rsidRDefault="00C70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573" w:rsidRDefault="00C7057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08BF"/>
    <w:multiLevelType w:val="hybridMultilevel"/>
    <w:tmpl w:val="801AC7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B03710E"/>
    <w:multiLevelType w:val="multilevel"/>
    <w:tmpl w:val="18AA90EA"/>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bullet"/>
      <w:pStyle w:val="BodySubPara"/>
      <w:lvlText w:val="o"/>
      <w:lvlJc w:val="left"/>
      <w:pPr>
        <w:tabs>
          <w:tab w:val="num" w:pos="2160"/>
        </w:tabs>
        <w:ind w:left="2160" w:hanging="72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2FC5BBD"/>
    <w:multiLevelType w:val="hybridMultilevel"/>
    <w:tmpl w:val="4DD44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AB34FB5"/>
    <w:multiLevelType w:val="hybridMultilevel"/>
    <w:tmpl w:val="350091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5">
    <w:nsid w:val="478D416D"/>
    <w:multiLevelType w:val="multilevel"/>
    <w:tmpl w:val="469EAFC0"/>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B885963"/>
    <w:multiLevelType w:val="hybridMultilevel"/>
    <w:tmpl w:val="0BBC9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69D7E85"/>
    <w:multiLevelType w:val="hybridMultilevel"/>
    <w:tmpl w:val="B4465AE2"/>
    <w:lvl w:ilvl="0" w:tplc="02469080">
      <w:start w:val="1"/>
      <w:numFmt w:val="lowerRoman"/>
      <w:pStyle w:val="Numberpoint1"/>
      <w:lvlText w:val="%1."/>
      <w:lvlJc w:val="left"/>
      <w:pPr>
        <w:ind w:left="360" w:hanging="360"/>
      </w:pPr>
      <w:rPr>
        <w:rFonts w:hint="default"/>
        <w:sz w:val="24"/>
      </w:rPr>
    </w:lvl>
    <w:lvl w:ilvl="1" w:tplc="E06C3BFC">
      <w:start w:val="1"/>
      <w:numFmt w:val="bullet"/>
      <w:lvlText w:val="­"/>
      <w:lvlJc w:val="left"/>
      <w:pPr>
        <w:ind w:left="1080" w:hanging="360"/>
      </w:pPr>
      <w:rPr>
        <w:rFonts w:ascii="Courier New" w:hAnsi="Courier New" w:hint="default"/>
        <w:sz w:val="16"/>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62011E9A"/>
    <w:multiLevelType w:val="hybridMultilevel"/>
    <w:tmpl w:val="5352F87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nsid w:val="632E1C7B"/>
    <w:multiLevelType w:val="hybridMultilevel"/>
    <w:tmpl w:val="90AE0FE4"/>
    <w:lvl w:ilvl="0" w:tplc="1532A108">
      <w:start w:val="1"/>
      <w:numFmt w:val="bullet"/>
      <w:pStyle w:val="Dotpoint1"/>
      <w:lvlText w:val=""/>
      <w:lvlJc w:val="left"/>
      <w:pPr>
        <w:ind w:left="360" w:hanging="360"/>
      </w:pPr>
      <w:rPr>
        <w:rFonts w:ascii="Symbol" w:hAnsi="Symbol" w:hint="default"/>
        <w:sz w:val="16"/>
      </w:rPr>
    </w:lvl>
    <w:lvl w:ilvl="1" w:tplc="E06C3BFC">
      <w:start w:val="1"/>
      <w:numFmt w:val="bullet"/>
      <w:pStyle w:val="Dashpoint1"/>
      <w:lvlText w:val="­"/>
      <w:lvlJc w:val="left"/>
      <w:pPr>
        <w:ind w:left="1080" w:hanging="360"/>
      </w:pPr>
      <w:rPr>
        <w:rFonts w:ascii="Courier New" w:hAnsi="Courier New" w:hint="default"/>
        <w:sz w:val="16"/>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76805649"/>
    <w:multiLevelType w:val="hybridMultilevel"/>
    <w:tmpl w:val="FF6C6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1"/>
  </w:num>
  <w:num w:numId="4">
    <w:abstractNumId w:val="0"/>
  </w:num>
  <w:num w:numId="5">
    <w:abstractNumId w:val="9"/>
  </w:num>
  <w:num w:numId="6">
    <w:abstractNumId w:val="7"/>
  </w:num>
  <w:num w:numId="7">
    <w:abstractNumId w:val="10"/>
  </w:num>
  <w:num w:numId="8">
    <w:abstractNumId w:val="11"/>
  </w:num>
  <w:num w:numId="9">
    <w:abstractNumId w:val="8"/>
  </w:num>
  <w:num w:numId="10">
    <w:abstractNumId w:val="3"/>
  </w:num>
  <w:num w:numId="11">
    <w:abstractNumId w:val="2"/>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573"/>
    <w:rsid w:val="006000F3"/>
    <w:rsid w:val="00BA23E1"/>
    <w:rsid w:val="00C7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annotation text" w:uiPriority="99"/>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70573"/>
    <w:rPr>
      <w:sz w:val="24"/>
      <w:szCs w:val="24"/>
    </w:rPr>
  </w:style>
  <w:style w:type="paragraph" w:styleId="Heading1">
    <w:name w:val="heading 1"/>
    <w:basedOn w:val="Normal"/>
    <w:next w:val="Normal"/>
    <w:link w:val="Heading1Char"/>
    <w:rsid w:val="00C70573"/>
    <w:pPr>
      <w:keepNext/>
      <w:spacing w:before="240" w:after="60"/>
      <w:outlineLvl w:val="0"/>
    </w:pPr>
    <w:rPr>
      <w:rFonts w:cs="Arial"/>
      <w:b/>
      <w:bCs/>
      <w:kern w:val="32"/>
      <w:sz w:val="28"/>
      <w:szCs w:val="32"/>
    </w:rPr>
  </w:style>
  <w:style w:type="paragraph" w:styleId="Heading2">
    <w:name w:val="heading 2"/>
    <w:basedOn w:val="Normal"/>
    <w:next w:val="Normal"/>
    <w:link w:val="Heading2Char"/>
    <w:unhideWhenUsed/>
    <w:qFormat/>
    <w:rsid w:val="00C70573"/>
    <w:pPr>
      <w:keepNext/>
      <w:spacing w:before="360" w:after="120"/>
      <w:outlineLvl w:val="1"/>
    </w:pPr>
    <w:rPr>
      <w:b/>
      <w:bCs/>
      <w:iCs/>
      <w:caps/>
      <w:sz w:val="28"/>
      <w:szCs w:val="28"/>
    </w:rPr>
  </w:style>
  <w:style w:type="paragraph" w:styleId="Heading3">
    <w:name w:val="heading 3"/>
    <w:basedOn w:val="Normal"/>
    <w:next w:val="Normal"/>
    <w:link w:val="Heading3Char"/>
    <w:qFormat/>
    <w:rsid w:val="00C70573"/>
    <w:pPr>
      <w:keepNext/>
      <w:spacing w:before="360" w:after="60"/>
      <w:outlineLvl w:val="2"/>
    </w:pPr>
    <w:rPr>
      <w:b/>
      <w:bCs/>
      <w:sz w:val="28"/>
      <w:szCs w:val="26"/>
    </w:rPr>
  </w:style>
  <w:style w:type="paragraph" w:styleId="Heading4">
    <w:name w:val="heading 4"/>
    <w:basedOn w:val="dotpoint"/>
    <w:next w:val="Normal"/>
    <w:link w:val="Heading4Char"/>
    <w:unhideWhenUsed/>
    <w:qFormat/>
    <w:rsid w:val="00C70573"/>
    <w:pPr>
      <w:keepNext/>
      <w:numPr>
        <w:numId w:val="0"/>
      </w:numPr>
      <w:spacing w:before="360"/>
      <w:outlineLvl w:val="3"/>
    </w:pPr>
    <w:rPr>
      <w:b/>
      <w:i/>
      <w:sz w:val="24"/>
    </w:rPr>
  </w:style>
  <w:style w:type="paragraph" w:styleId="Heading5">
    <w:name w:val="heading 5"/>
    <w:basedOn w:val="Normal"/>
    <w:next w:val="Normal"/>
    <w:link w:val="Heading5Char"/>
    <w:unhideWhenUsed/>
    <w:qFormat/>
    <w:rsid w:val="00C70573"/>
    <w:pPr>
      <w:keepNext/>
      <w:spacing w:before="200"/>
      <w:outlineLvl w:val="4"/>
    </w:pPr>
    <w:rPr>
      <w:i/>
    </w:rPr>
  </w:style>
  <w:style w:type="paragraph" w:styleId="Heading6">
    <w:name w:val="heading 6"/>
    <w:basedOn w:val="Normal"/>
    <w:next w:val="Normal"/>
    <w:link w:val="Heading6Char"/>
    <w:uiPriority w:val="9"/>
    <w:qFormat/>
    <w:rsid w:val="00C70573"/>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C70573"/>
    <w:rPr>
      <w:rFonts w:ascii="Calibri" w:eastAsia="Times New Roman" w:hAnsi="Calibri" w:cs="Times New Roman"/>
      <w:b/>
      <w:bCs/>
      <w:sz w:val="22"/>
      <w:szCs w:val="22"/>
    </w:rPr>
  </w:style>
  <w:style w:type="paragraph" w:customStyle="1" w:styleId="Appendix">
    <w:name w:val="Appendix"/>
    <w:basedOn w:val="Normal"/>
    <w:link w:val="AppendixCharChar"/>
    <w:rsid w:val="00C70573"/>
    <w:pPr>
      <w:jc w:val="right"/>
    </w:pPr>
    <w:rPr>
      <w:b/>
    </w:rPr>
  </w:style>
  <w:style w:type="character" w:customStyle="1" w:styleId="AppendixCharChar">
    <w:name w:val="Appendix Char Char"/>
    <w:basedOn w:val="DefaultParagraphFont"/>
    <w:link w:val="Appendix"/>
    <w:locked/>
    <w:rsid w:val="00C70573"/>
    <w:rPr>
      <w:rFonts w:cs="Times New Roman"/>
      <w:b/>
      <w:sz w:val="24"/>
      <w:lang w:val="en-AU" w:eastAsia="en-AU" w:bidi="ar-SA"/>
    </w:rPr>
  </w:style>
  <w:style w:type="paragraph" w:customStyle="1" w:styleId="HB-dotpoint">
    <w:name w:val="HB - dotpoint"/>
    <w:basedOn w:val="Normal"/>
    <w:rsid w:val="00C70573"/>
    <w:pPr>
      <w:numPr>
        <w:numId w:val="1"/>
      </w:numPr>
      <w:spacing w:before="180"/>
    </w:pPr>
  </w:style>
  <w:style w:type="paragraph" w:customStyle="1" w:styleId="HB-Table-Subpoint">
    <w:name w:val="HB - Table - Subpoint"/>
    <w:basedOn w:val="Normal"/>
    <w:rsid w:val="00C70573"/>
    <w:pPr>
      <w:numPr>
        <w:numId w:val="8"/>
      </w:numPr>
      <w:tabs>
        <w:tab w:val="clear" w:pos="360"/>
        <w:tab w:val="num" w:pos="993"/>
      </w:tabs>
      <w:spacing w:before="60" w:after="60"/>
      <w:ind w:left="993" w:hanging="426"/>
    </w:pPr>
    <w:rPr>
      <w:szCs w:val="20"/>
    </w:rPr>
  </w:style>
  <w:style w:type="paragraph" w:styleId="BalloonText">
    <w:name w:val="Balloon Text"/>
    <w:basedOn w:val="Normal"/>
    <w:link w:val="BalloonTextChar"/>
    <w:uiPriority w:val="99"/>
    <w:semiHidden/>
    <w:rsid w:val="00C70573"/>
    <w:rPr>
      <w:rFonts w:ascii="Tahoma" w:hAnsi="Tahoma" w:cs="Tahoma"/>
      <w:sz w:val="16"/>
      <w:szCs w:val="16"/>
    </w:rPr>
  </w:style>
  <w:style w:type="character" w:customStyle="1" w:styleId="BalloonTextChar">
    <w:name w:val="Balloon Text Char"/>
    <w:basedOn w:val="DefaultParagraphFont"/>
    <w:link w:val="BalloonText"/>
    <w:uiPriority w:val="99"/>
    <w:semiHidden/>
    <w:rsid w:val="00C70573"/>
    <w:rPr>
      <w:sz w:val="0"/>
      <w:szCs w:val="0"/>
    </w:rPr>
  </w:style>
  <w:style w:type="character" w:styleId="CommentReference">
    <w:name w:val="annotation reference"/>
    <w:basedOn w:val="DefaultParagraphFont"/>
    <w:semiHidden/>
    <w:rsid w:val="00C70573"/>
    <w:rPr>
      <w:rFonts w:cs="Times New Roman"/>
      <w:sz w:val="16"/>
      <w:szCs w:val="16"/>
    </w:rPr>
  </w:style>
  <w:style w:type="paragraph" w:styleId="CommentText">
    <w:name w:val="annotation text"/>
    <w:basedOn w:val="Normal"/>
    <w:link w:val="CommentTextChar"/>
    <w:uiPriority w:val="99"/>
    <w:rsid w:val="00C70573"/>
    <w:rPr>
      <w:sz w:val="20"/>
      <w:szCs w:val="20"/>
    </w:rPr>
  </w:style>
  <w:style w:type="character" w:customStyle="1" w:styleId="CommentTextChar">
    <w:name w:val="Comment Text Char"/>
    <w:basedOn w:val="DefaultParagraphFont"/>
    <w:link w:val="CommentText"/>
    <w:uiPriority w:val="99"/>
    <w:rsid w:val="00C70573"/>
  </w:style>
  <w:style w:type="paragraph" w:styleId="CommentSubject">
    <w:name w:val="annotation subject"/>
    <w:basedOn w:val="CommentText"/>
    <w:next w:val="CommentText"/>
    <w:link w:val="CommentSubjectChar"/>
    <w:uiPriority w:val="99"/>
    <w:semiHidden/>
    <w:rsid w:val="00C70573"/>
    <w:rPr>
      <w:b/>
      <w:bCs/>
    </w:rPr>
  </w:style>
  <w:style w:type="character" w:customStyle="1" w:styleId="CommentSubjectChar">
    <w:name w:val="Comment Subject Char"/>
    <w:basedOn w:val="CommentTextChar"/>
    <w:link w:val="CommentSubject"/>
    <w:uiPriority w:val="99"/>
    <w:semiHidden/>
    <w:rsid w:val="00C70573"/>
    <w:rPr>
      <w:b/>
      <w:bCs/>
    </w:rPr>
  </w:style>
  <w:style w:type="paragraph" w:styleId="Header">
    <w:name w:val="header"/>
    <w:basedOn w:val="Normal"/>
    <w:link w:val="HeaderChar"/>
    <w:uiPriority w:val="99"/>
    <w:rsid w:val="00C70573"/>
    <w:pPr>
      <w:tabs>
        <w:tab w:val="center" w:pos="4153"/>
        <w:tab w:val="right" w:pos="8306"/>
      </w:tabs>
    </w:pPr>
  </w:style>
  <w:style w:type="character" w:customStyle="1" w:styleId="HeaderChar">
    <w:name w:val="Header Char"/>
    <w:basedOn w:val="DefaultParagraphFont"/>
    <w:link w:val="Header"/>
    <w:uiPriority w:val="99"/>
    <w:rsid w:val="00C70573"/>
    <w:rPr>
      <w:sz w:val="24"/>
      <w:szCs w:val="24"/>
    </w:rPr>
  </w:style>
  <w:style w:type="character" w:styleId="PageNumber">
    <w:name w:val="page number"/>
    <w:basedOn w:val="DefaultParagraphFont"/>
    <w:rsid w:val="00C70573"/>
  </w:style>
  <w:style w:type="paragraph" w:styleId="Footer">
    <w:name w:val="footer"/>
    <w:basedOn w:val="Normal"/>
    <w:link w:val="FooterChar"/>
    <w:uiPriority w:val="99"/>
    <w:rsid w:val="00C70573"/>
    <w:pPr>
      <w:tabs>
        <w:tab w:val="center" w:pos="4153"/>
        <w:tab w:val="right" w:pos="8306"/>
      </w:tabs>
    </w:pPr>
  </w:style>
  <w:style w:type="character" w:customStyle="1" w:styleId="FooterChar">
    <w:name w:val="Footer Char"/>
    <w:basedOn w:val="DefaultParagraphFont"/>
    <w:link w:val="Footer"/>
    <w:uiPriority w:val="99"/>
    <w:rsid w:val="00C70573"/>
    <w:rPr>
      <w:sz w:val="24"/>
    </w:rPr>
  </w:style>
  <w:style w:type="paragraph" w:styleId="BodyText">
    <w:name w:val="Body Text"/>
    <w:basedOn w:val="Normal"/>
    <w:link w:val="BodyTextChar"/>
    <w:uiPriority w:val="99"/>
    <w:rsid w:val="00C70573"/>
    <w:pPr>
      <w:tabs>
        <w:tab w:val="left" w:pos="709"/>
      </w:tabs>
    </w:pPr>
    <w:rPr>
      <w:lang w:eastAsia="en-US"/>
    </w:rPr>
  </w:style>
  <w:style w:type="character" w:customStyle="1" w:styleId="BodyTextChar">
    <w:name w:val="Body Text Char"/>
    <w:basedOn w:val="DefaultParagraphFont"/>
    <w:link w:val="BodyText"/>
    <w:uiPriority w:val="99"/>
    <w:locked/>
    <w:rsid w:val="00C70573"/>
    <w:rPr>
      <w:rFonts w:cs="Times New Roman"/>
      <w:sz w:val="24"/>
      <w:lang w:eastAsia="en-US"/>
    </w:rPr>
  </w:style>
  <w:style w:type="paragraph" w:styleId="Revision">
    <w:name w:val="Revision"/>
    <w:hidden/>
    <w:uiPriority w:val="99"/>
    <w:semiHidden/>
    <w:rsid w:val="00C70573"/>
    <w:rPr>
      <w:sz w:val="24"/>
    </w:rPr>
  </w:style>
  <w:style w:type="paragraph" w:customStyle="1" w:styleId="AFMANormal">
    <w:name w:val="AFMA Normal"/>
    <w:rsid w:val="00C70573"/>
    <w:pPr>
      <w:spacing w:before="240"/>
      <w:jc w:val="both"/>
    </w:pPr>
    <w:rPr>
      <w:snapToGrid w:val="0"/>
      <w:kern w:val="20"/>
      <w:sz w:val="24"/>
      <w:lang w:eastAsia="en-US"/>
    </w:rPr>
  </w:style>
  <w:style w:type="paragraph" w:customStyle="1" w:styleId="Default">
    <w:name w:val="Default"/>
    <w:rsid w:val="00C70573"/>
    <w:pPr>
      <w:autoSpaceDE w:val="0"/>
      <w:autoSpaceDN w:val="0"/>
      <w:adjustRightInd w:val="0"/>
    </w:pPr>
    <w:rPr>
      <w:color w:val="000000"/>
      <w:sz w:val="24"/>
      <w:szCs w:val="24"/>
    </w:rPr>
  </w:style>
  <w:style w:type="paragraph" w:styleId="ListParagraph">
    <w:name w:val="List Paragraph"/>
    <w:basedOn w:val="Normal"/>
    <w:uiPriority w:val="34"/>
    <w:qFormat/>
    <w:rsid w:val="00C70573"/>
    <w:pPr>
      <w:ind w:left="720"/>
    </w:pPr>
  </w:style>
  <w:style w:type="character" w:customStyle="1" w:styleId="Heading1Char">
    <w:name w:val="Heading 1 Char"/>
    <w:basedOn w:val="DefaultParagraphFont"/>
    <w:link w:val="Heading1"/>
    <w:rsid w:val="00C70573"/>
    <w:rPr>
      <w:rFonts w:cs="Arial"/>
      <w:b/>
      <w:bCs/>
      <w:kern w:val="32"/>
      <w:sz w:val="28"/>
      <w:szCs w:val="32"/>
    </w:rPr>
  </w:style>
  <w:style w:type="character" w:styleId="Emphasis">
    <w:name w:val="Emphasis"/>
    <w:basedOn w:val="DefaultParagraphFont"/>
    <w:uiPriority w:val="20"/>
    <w:qFormat/>
    <w:rsid w:val="00C70573"/>
    <w:rPr>
      <w:i/>
      <w:iCs/>
    </w:rPr>
  </w:style>
  <w:style w:type="paragraph" w:customStyle="1" w:styleId="BodyText1">
    <w:name w:val="Body Text1"/>
    <w:basedOn w:val="ListParagraph"/>
    <w:link w:val="BodytextChar0"/>
    <w:qFormat/>
    <w:rsid w:val="00C70573"/>
    <w:pPr>
      <w:spacing w:before="120"/>
      <w:ind w:left="0"/>
    </w:pPr>
  </w:style>
  <w:style w:type="character" w:customStyle="1" w:styleId="BodytextChar0">
    <w:name w:val="Body text Char"/>
    <w:link w:val="BodyText1"/>
    <w:rsid w:val="00C70573"/>
    <w:rPr>
      <w:sz w:val="24"/>
      <w:szCs w:val="24"/>
    </w:rPr>
  </w:style>
  <w:style w:type="paragraph" w:customStyle="1" w:styleId="dotpoint">
    <w:name w:val="dot point"/>
    <w:basedOn w:val="Normal"/>
    <w:rsid w:val="00C70573"/>
    <w:pPr>
      <w:numPr>
        <w:numId w:val="2"/>
      </w:numPr>
      <w:spacing w:before="120" w:after="120"/>
    </w:pPr>
    <w:rPr>
      <w:sz w:val="22"/>
    </w:rPr>
  </w:style>
  <w:style w:type="paragraph" w:customStyle="1" w:styleId="dotpoint2">
    <w:name w:val="dot point 2"/>
    <w:basedOn w:val="Normal"/>
    <w:rsid w:val="00C70573"/>
    <w:pPr>
      <w:numPr>
        <w:ilvl w:val="1"/>
        <w:numId w:val="2"/>
      </w:numPr>
      <w:spacing w:before="120" w:after="120"/>
    </w:pPr>
    <w:rPr>
      <w:sz w:val="22"/>
    </w:rPr>
  </w:style>
  <w:style w:type="numbering" w:customStyle="1" w:styleId="DotPointList">
    <w:name w:val="Dot Point List"/>
    <w:uiPriority w:val="99"/>
    <w:rsid w:val="00C70573"/>
    <w:pPr>
      <w:numPr>
        <w:numId w:val="2"/>
      </w:numPr>
    </w:pPr>
  </w:style>
  <w:style w:type="paragraph" w:styleId="NormalWeb">
    <w:name w:val="Normal (Web)"/>
    <w:basedOn w:val="Normal"/>
    <w:uiPriority w:val="99"/>
    <w:unhideWhenUsed/>
    <w:rsid w:val="00C70573"/>
    <w:pPr>
      <w:spacing w:before="100" w:beforeAutospacing="1" w:after="100" w:afterAutospacing="1"/>
    </w:pPr>
  </w:style>
  <w:style w:type="character" w:customStyle="1" w:styleId="Heading2Char">
    <w:name w:val="Heading 2 Char"/>
    <w:basedOn w:val="DefaultParagraphFont"/>
    <w:link w:val="Heading2"/>
    <w:rsid w:val="00C70573"/>
    <w:rPr>
      <w:b/>
      <w:bCs/>
      <w:iCs/>
      <w:caps/>
      <w:sz w:val="28"/>
      <w:szCs w:val="28"/>
    </w:rPr>
  </w:style>
  <w:style w:type="paragraph" w:styleId="TOCHeading">
    <w:name w:val="TOC Heading"/>
    <w:basedOn w:val="Heading1"/>
    <w:next w:val="Normal"/>
    <w:uiPriority w:val="39"/>
    <w:semiHidden/>
    <w:unhideWhenUsed/>
    <w:qFormat/>
    <w:rsid w:val="00C70573"/>
    <w:pPr>
      <w:keepLines/>
      <w:spacing w:before="480" w:after="0" w:line="276" w:lineRule="auto"/>
      <w:outlineLvl w:val="9"/>
    </w:pPr>
    <w:rPr>
      <w:rFonts w:ascii="Cambria" w:hAnsi="Cambria" w:cs="Times New Roman"/>
      <w:color w:val="365F91"/>
      <w:kern w:val="0"/>
      <w:szCs w:val="28"/>
      <w:lang w:val="en-US" w:eastAsia="en-US"/>
    </w:rPr>
  </w:style>
  <w:style w:type="paragraph" w:styleId="TOC1">
    <w:name w:val="toc 1"/>
    <w:basedOn w:val="Normal"/>
    <w:next w:val="Normal"/>
    <w:autoRedefine/>
    <w:uiPriority w:val="39"/>
    <w:rsid w:val="00C70573"/>
    <w:pPr>
      <w:spacing w:before="120" w:after="120"/>
    </w:pPr>
    <w:rPr>
      <w:b/>
      <w:sz w:val="22"/>
    </w:rPr>
  </w:style>
  <w:style w:type="paragraph" w:styleId="TOC2">
    <w:name w:val="toc 2"/>
    <w:basedOn w:val="Normal"/>
    <w:next w:val="Normal"/>
    <w:autoRedefine/>
    <w:uiPriority w:val="39"/>
    <w:rsid w:val="00C70573"/>
    <w:pPr>
      <w:keepNext/>
      <w:tabs>
        <w:tab w:val="right" w:leader="dot" w:pos="9736"/>
      </w:tabs>
      <w:spacing w:before="40"/>
      <w:ind w:right="-625"/>
      <w:contextualSpacing/>
    </w:pPr>
  </w:style>
  <w:style w:type="character" w:styleId="Hyperlink">
    <w:name w:val="Hyperlink"/>
    <w:basedOn w:val="DefaultParagraphFont"/>
    <w:uiPriority w:val="99"/>
    <w:unhideWhenUsed/>
    <w:rsid w:val="00C70573"/>
    <w:rPr>
      <w:color w:val="0000FF"/>
      <w:u w:val="single"/>
    </w:rPr>
  </w:style>
  <w:style w:type="paragraph" w:styleId="TOC3">
    <w:name w:val="toc 3"/>
    <w:basedOn w:val="Normal"/>
    <w:next w:val="Normal"/>
    <w:autoRedefine/>
    <w:uiPriority w:val="39"/>
    <w:rsid w:val="00C70573"/>
    <w:pPr>
      <w:tabs>
        <w:tab w:val="right" w:leader="dot" w:pos="9639"/>
      </w:tabs>
      <w:ind w:left="284" w:hanging="142"/>
    </w:pPr>
    <w:rPr>
      <w:sz w:val="22"/>
    </w:rPr>
  </w:style>
  <w:style w:type="paragraph" w:customStyle="1" w:styleId="Contents">
    <w:name w:val="Contents"/>
    <w:basedOn w:val="Normal"/>
    <w:next w:val="Normal"/>
    <w:rsid w:val="00C70573"/>
    <w:pPr>
      <w:spacing w:after="60"/>
    </w:pPr>
    <w:rPr>
      <w:rFonts w:ascii="Verdana" w:hAnsi="Verdana" w:cs="Arial"/>
      <w:b/>
      <w:iCs/>
      <w:kern w:val="32"/>
      <w:sz w:val="32"/>
      <w:szCs w:val="32"/>
    </w:rPr>
  </w:style>
  <w:style w:type="paragraph" w:customStyle="1" w:styleId="Body">
    <w:name w:val="Body"/>
    <w:aliases w:val="b"/>
    <w:basedOn w:val="Normal"/>
    <w:rsid w:val="00C70573"/>
  </w:style>
  <w:style w:type="paragraph" w:customStyle="1" w:styleId="BodyNum">
    <w:name w:val="BodyNum"/>
    <w:aliases w:val="b1"/>
    <w:basedOn w:val="Normal"/>
    <w:rsid w:val="00C70573"/>
    <w:pPr>
      <w:numPr>
        <w:numId w:val="3"/>
      </w:numPr>
    </w:pPr>
  </w:style>
  <w:style w:type="paragraph" w:customStyle="1" w:styleId="BodyPara">
    <w:name w:val="BodyPara"/>
    <w:aliases w:val="ba"/>
    <w:basedOn w:val="Normal"/>
    <w:rsid w:val="00C70573"/>
    <w:pPr>
      <w:numPr>
        <w:ilvl w:val="1"/>
        <w:numId w:val="3"/>
      </w:numPr>
    </w:pPr>
  </w:style>
  <w:style w:type="paragraph" w:customStyle="1" w:styleId="BodyParaBullet">
    <w:name w:val="BodyParaBullet"/>
    <w:aliases w:val="bpb"/>
    <w:basedOn w:val="Normal"/>
    <w:rsid w:val="00C70573"/>
    <w:pPr>
      <w:numPr>
        <w:ilvl w:val="2"/>
        <w:numId w:val="3"/>
      </w:numPr>
      <w:tabs>
        <w:tab w:val="left" w:pos="2160"/>
      </w:tabs>
    </w:pPr>
  </w:style>
  <w:style w:type="paragraph" w:customStyle="1" w:styleId="BodySubPara">
    <w:name w:val="BodySubPara"/>
    <w:aliases w:val="bi"/>
    <w:basedOn w:val="Normal"/>
    <w:rsid w:val="00C70573"/>
    <w:pPr>
      <w:numPr>
        <w:ilvl w:val="3"/>
        <w:numId w:val="3"/>
      </w:numPr>
    </w:pPr>
  </w:style>
  <w:style w:type="numbering" w:customStyle="1" w:styleId="OPCBodyList">
    <w:name w:val="OPCBodyList"/>
    <w:uiPriority w:val="99"/>
    <w:rsid w:val="00C70573"/>
    <w:pPr>
      <w:numPr>
        <w:numId w:val="3"/>
      </w:numPr>
    </w:pPr>
  </w:style>
  <w:style w:type="character" w:customStyle="1" w:styleId="Heading3Char">
    <w:name w:val="Heading 3 Char"/>
    <w:basedOn w:val="DefaultParagraphFont"/>
    <w:link w:val="Heading3"/>
    <w:rsid w:val="00C70573"/>
    <w:rPr>
      <w:b/>
      <w:bCs/>
      <w:sz w:val="28"/>
      <w:szCs w:val="26"/>
    </w:rPr>
  </w:style>
  <w:style w:type="character" w:customStyle="1" w:styleId="Heading4Char">
    <w:name w:val="Heading 4 Char"/>
    <w:basedOn w:val="DefaultParagraphFont"/>
    <w:link w:val="Heading4"/>
    <w:rsid w:val="00C70573"/>
    <w:rPr>
      <w:b/>
      <w:i/>
      <w:sz w:val="24"/>
      <w:szCs w:val="24"/>
    </w:rPr>
  </w:style>
  <w:style w:type="character" w:customStyle="1" w:styleId="Heading5Char">
    <w:name w:val="Heading 5 Char"/>
    <w:basedOn w:val="DefaultParagraphFont"/>
    <w:link w:val="Heading5"/>
    <w:rsid w:val="00C70573"/>
    <w:rPr>
      <w:i/>
      <w:sz w:val="24"/>
      <w:szCs w:val="24"/>
    </w:rPr>
  </w:style>
  <w:style w:type="paragraph" w:customStyle="1" w:styleId="Dotpoint1">
    <w:name w:val="Dot point 1"/>
    <w:basedOn w:val="Normal"/>
    <w:link w:val="Dotpoint1Char"/>
    <w:qFormat/>
    <w:rsid w:val="00C70573"/>
    <w:pPr>
      <w:numPr>
        <w:numId w:val="5"/>
      </w:numPr>
      <w:tabs>
        <w:tab w:val="left" w:pos="284"/>
      </w:tabs>
      <w:autoSpaceDE w:val="0"/>
      <w:autoSpaceDN w:val="0"/>
      <w:spacing w:before="60"/>
      <w:ind w:left="284" w:hanging="284"/>
    </w:pPr>
  </w:style>
  <w:style w:type="character" w:customStyle="1" w:styleId="Dotpoint1Char">
    <w:name w:val="Dot point 1 Char"/>
    <w:link w:val="Dotpoint1"/>
    <w:rsid w:val="00C70573"/>
    <w:rPr>
      <w:sz w:val="24"/>
      <w:szCs w:val="24"/>
    </w:rPr>
  </w:style>
  <w:style w:type="paragraph" w:customStyle="1" w:styleId="Dashpoint1">
    <w:name w:val="Dash point 1"/>
    <w:basedOn w:val="Dotpoint1"/>
    <w:rsid w:val="00C70573"/>
    <w:pPr>
      <w:numPr>
        <w:ilvl w:val="1"/>
      </w:numPr>
      <w:tabs>
        <w:tab w:val="clear" w:pos="284"/>
        <w:tab w:val="left" w:pos="709"/>
      </w:tabs>
    </w:pPr>
  </w:style>
  <w:style w:type="paragraph" w:customStyle="1" w:styleId="Heading3noTC">
    <w:name w:val="Heading_3_no_TC"/>
    <w:link w:val="Heading3noTCChar"/>
    <w:qFormat/>
    <w:rsid w:val="00C70573"/>
    <w:pPr>
      <w:spacing w:before="360" w:after="60"/>
    </w:pPr>
    <w:rPr>
      <w:b/>
      <w:bCs/>
      <w:sz w:val="28"/>
      <w:szCs w:val="26"/>
    </w:rPr>
  </w:style>
  <w:style w:type="paragraph" w:customStyle="1" w:styleId="Heading4noTC">
    <w:name w:val="Heading_4_no_TC"/>
    <w:link w:val="Heading4noTCChar"/>
    <w:qFormat/>
    <w:rsid w:val="00C70573"/>
    <w:pPr>
      <w:keepNext/>
      <w:spacing w:before="240" w:after="120"/>
    </w:pPr>
    <w:rPr>
      <w:b/>
      <w:i/>
      <w:sz w:val="24"/>
      <w:szCs w:val="24"/>
    </w:rPr>
  </w:style>
  <w:style w:type="character" w:customStyle="1" w:styleId="Heading3noTCChar">
    <w:name w:val="Heading 3_no_TC Char"/>
    <w:basedOn w:val="Heading3Char"/>
    <w:link w:val="Heading3noTC"/>
    <w:rsid w:val="00C70573"/>
    <w:rPr>
      <w:b/>
      <w:bCs/>
      <w:sz w:val="28"/>
      <w:szCs w:val="26"/>
      <w:lang w:val="en-AU" w:eastAsia="en-AU" w:bidi="ar-SA"/>
    </w:rPr>
  </w:style>
  <w:style w:type="paragraph" w:customStyle="1" w:styleId="Heading5noTC">
    <w:name w:val="Heading_5_no_TC"/>
    <w:link w:val="Heading5noTCChar"/>
    <w:qFormat/>
    <w:rsid w:val="00C70573"/>
    <w:pPr>
      <w:keepNext/>
      <w:spacing w:before="200"/>
    </w:pPr>
    <w:rPr>
      <w:i/>
      <w:sz w:val="24"/>
      <w:szCs w:val="24"/>
    </w:rPr>
  </w:style>
  <w:style w:type="character" w:customStyle="1" w:styleId="Heading4noTCChar">
    <w:name w:val="Heading_4_no_TC Char"/>
    <w:basedOn w:val="Heading4Char"/>
    <w:link w:val="Heading4noTC"/>
    <w:rsid w:val="00C70573"/>
    <w:rPr>
      <w:b/>
      <w:i/>
      <w:sz w:val="24"/>
      <w:szCs w:val="24"/>
      <w:lang w:val="en-AU" w:eastAsia="en-AU" w:bidi="ar-SA"/>
    </w:rPr>
  </w:style>
  <w:style w:type="character" w:customStyle="1" w:styleId="Heading5noTCChar">
    <w:name w:val="Heading_5_no_TC Char"/>
    <w:basedOn w:val="Heading5Char"/>
    <w:link w:val="Heading5noTC"/>
    <w:rsid w:val="00C70573"/>
    <w:rPr>
      <w:i/>
      <w:sz w:val="24"/>
      <w:szCs w:val="24"/>
      <w:lang w:val="en-AU" w:eastAsia="en-AU" w:bidi="ar-SA"/>
    </w:rPr>
  </w:style>
  <w:style w:type="paragraph" w:customStyle="1" w:styleId="TableText">
    <w:name w:val="Table Text"/>
    <w:basedOn w:val="Normal"/>
    <w:rsid w:val="00C70573"/>
    <w:pPr>
      <w:spacing w:before="80" w:after="80"/>
    </w:pPr>
    <w:rPr>
      <w:rFonts w:ascii="Verdana" w:hAnsi="Verdana"/>
      <w:sz w:val="20"/>
    </w:rPr>
  </w:style>
  <w:style w:type="paragraph" w:customStyle="1" w:styleId="TableHeading">
    <w:name w:val="Table Heading"/>
    <w:basedOn w:val="TableText"/>
    <w:rsid w:val="00C70573"/>
    <w:pPr>
      <w:keepNext/>
    </w:pPr>
    <w:rPr>
      <w:b/>
    </w:rPr>
  </w:style>
  <w:style w:type="table" w:styleId="TableGrid">
    <w:name w:val="Table Grid"/>
    <w:basedOn w:val="TableNormal"/>
    <w:uiPriority w:val="59"/>
    <w:rsid w:val="00C70573"/>
    <w:rPr>
      <w:rFonts w:ascii="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address">
    <w:name w:val="Footer address"/>
    <w:basedOn w:val="Footer"/>
    <w:semiHidden/>
    <w:qFormat/>
    <w:rsid w:val="00C70573"/>
    <w:pPr>
      <w:tabs>
        <w:tab w:val="clear" w:pos="4153"/>
        <w:tab w:val="clear" w:pos="8306"/>
        <w:tab w:val="center" w:pos="4320"/>
        <w:tab w:val="right" w:pos="8640"/>
      </w:tabs>
    </w:pPr>
    <w:rPr>
      <w:rFonts w:ascii="Cambria" w:hAnsi="Cambria"/>
      <w:sz w:val="16"/>
      <w:lang w:eastAsia="en-US"/>
    </w:rPr>
  </w:style>
  <w:style w:type="paragraph" w:styleId="Title">
    <w:name w:val="Title"/>
    <w:basedOn w:val="Normal"/>
    <w:link w:val="TitleChar"/>
    <w:uiPriority w:val="10"/>
    <w:qFormat/>
    <w:rsid w:val="00C70573"/>
    <w:pPr>
      <w:jc w:val="center"/>
    </w:pPr>
    <w:rPr>
      <w:rFonts w:ascii="Arial Rounded MT Bold" w:hAnsi="Arial Rounded MT Bold"/>
      <w:b/>
      <w:lang w:eastAsia="en-US"/>
    </w:rPr>
  </w:style>
  <w:style w:type="character" w:customStyle="1" w:styleId="TitleChar">
    <w:name w:val="Title Char"/>
    <w:basedOn w:val="DefaultParagraphFont"/>
    <w:link w:val="Title"/>
    <w:uiPriority w:val="10"/>
    <w:rsid w:val="00C70573"/>
    <w:rPr>
      <w:rFonts w:ascii="Arial Rounded MT Bold" w:hAnsi="Arial Rounded MT Bold"/>
      <w:b/>
      <w:sz w:val="24"/>
      <w:lang w:eastAsia="en-US"/>
    </w:rPr>
  </w:style>
  <w:style w:type="paragraph" w:customStyle="1" w:styleId="R2">
    <w:name w:val="R2"/>
    <w:aliases w:val="(2)"/>
    <w:basedOn w:val="Normal"/>
    <w:uiPriority w:val="99"/>
    <w:rsid w:val="00C70573"/>
    <w:pPr>
      <w:spacing w:before="180" w:line="260" w:lineRule="exact"/>
      <w:ind w:left="964" w:hanging="964"/>
      <w:jc w:val="both"/>
    </w:pPr>
    <w:rPr>
      <w:rFonts w:eastAsia="Calibri"/>
    </w:rPr>
  </w:style>
  <w:style w:type="paragraph" w:customStyle="1" w:styleId="BodyText10">
    <w:name w:val="Body Text1"/>
    <w:basedOn w:val="ListParagraph"/>
    <w:uiPriority w:val="99"/>
    <w:rsid w:val="00C70573"/>
    <w:pPr>
      <w:spacing w:before="120"/>
      <w:ind w:left="0" w:hanging="567"/>
    </w:pPr>
  </w:style>
  <w:style w:type="character" w:styleId="FootnoteReference">
    <w:name w:val="footnote reference"/>
    <w:basedOn w:val="DefaultParagraphFont"/>
    <w:rsid w:val="00C70573"/>
    <w:rPr>
      <w:vertAlign w:val="superscript"/>
    </w:rPr>
  </w:style>
  <w:style w:type="paragraph" w:styleId="FootnoteText">
    <w:name w:val="footnote text"/>
    <w:basedOn w:val="Normal"/>
    <w:link w:val="FootnoteTextChar"/>
    <w:rsid w:val="00C70573"/>
    <w:pPr>
      <w:spacing w:before="200"/>
      <w:ind w:left="142" w:hanging="142"/>
    </w:pPr>
    <w:rPr>
      <w:rFonts w:eastAsia="SimSun"/>
      <w:sz w:val="20"/>
      <w:lang w:eastAsia="zh-CN"/>
    </w:rPr>
  </w:style>
  <w:style w:type="character" w:customStyle="1" w:styleId="FootnoteTextChar">
    <w:name w:val="Footnote Text Char"/>
    <w:basedOn w:val="DefaultParagraphFont"/>
    <w:link w:val="FootnoteText"/>
    <w:rsid w:val="00C70573"/>
    <w:rPr>
      <w:rFonts w:eastAsia="SimSun"/>
      <w:szCs w:val="24"/>
      <w:lang w:eastAsia="zh-CN"/>
    </w:rPr>
  </w:style>
  <w:style w:type="paragraph" w:customStyle="1" w:styleId="APVMAText">
    <w:name w:val="APVMA_Text"/>
    <w:basedOn w:val="Normal"/>
    <w:rsid w:val="00C70573"/>
    <w:pPr>
      <w:suppressAutoHyphens/>
      <w:spacing w:after="240" w:line="280" w:lineRule="exact"/>
    </w:pPr>
    <w:rPr>
      <w:rFonts w:ascii="Arial" w:hAnsi="Arial" w:cs="Arial"/>
      <w:sz w:val="20"/>
      <w:u w:color="000000"/>
      <w:lang w:eastAsia="en-US"/>
    </w:rPr>
  </w:style>
  <w:style w:type="paragraph" w:customStyle="1" w:styleId="Levelafo">
    <w:name w:val="Level (a)fo"/>
    <w:basedOn w:val="Normal"/>
    <w:rsid w:val="00C70573"/>
    <w:pPr>
      <w:spacing w:before="200" w:line="240" w:lineRule="atLeast"/>
      <w:ind w:left="1440"/>
    </w:pPr>
    <w:rPr>
      <w:rFonts w:ascii="Arial" w:eastAsia="SimSun" w:hAnsi="Arial"/>
      <w:sz w:val="20"/>
      <w:lang w:eastAsia="zh-CN"/>
    </w:rPr>
  </w:style>
  <w:style w:type="paragraph" w:customStyle="1" w:styleId="Itemheader">
    <w:name w:val="Item header"/>
    <w:basedOn w:val="Normal"/>
    <w:qFormat/>
    <w:rsid w:val="00C70573"/>
    <w:pPr>
      <w:keepNext/>
      <w:spacing w:before="200"/>
    </w:pPr>
    <w:rPr>
      <w:b/>
      <w:szCs w:val="20"/>
    </w:rPr>
  </w:style>
  <w:style w:type="paragraph" w:customStyle="1" w:styleId="Heading2noTC">
    <w:name w:val="Heading_2_no_TC"/>
    <w:qFormat/>
    <w:rsid w:val="00C70573"/>
    <w:pPr>
      <w:spacing w:before="240" w:after="120"/>
    </w:pPr>
    <w:rPr>
      <w:b/>
      <w:bCs/>
      <w:iCs/>
      <w:caps/>
      <w:sz w:val="28"/>
      <w:szCs w:val="28"/>
    </w:rPr>
  </w:style>
  <w:style w:type="paragraph" w:styleId="ListBullet">
    <w:name w:val="List Bullet"/>
    <w:basedOn w:val="Normal"/>
    <w:rsid w:val="00C70573"/>
    <w:pPr>
      <w:tabs>
        <w:tab w:val="num" w:pos="567"/>
      </w:tabs>
      <w:spacing w:before="240"/>
      <w:ind w:left="567" w:hanging="567"/>
    </w:pPr>
    <w:rPr>
      <w:rFonts w:ascii="Verdana" w:hAnsi="Verdana"/>
      <w:sz w:val="20"/>
    </w:rPr>
  </w:style>
  <w:style w:type="paragraph" w:styleId="TOC4">
    <w:name w:val="toc 4"/>
    <w:basedOn w:val="Normal"/>
    <w:next w:val="Normal"/>
    <w:autoRedefine/>
    <w:uiPriority w:val="39"/>
    <w:rsid w:val="00C70573"/>
    <w:pPr>
      <w:tabs>
        <w:tab w:val="right" w:leader="dot" w:pos="9498"/>
      </w:tabs>
      <w:ind w:left="426"/>
    </w:pPr>
    <w:rPr>
      <w:i/>
      <w:noProof/>
      <w:sz w:val="22"/>
    </w:rPr>
  </w:style>
  <w:style w:type="paragraph" w:styleId="TOC5">
    <w:name w:val="toc 5"/>
    <w:basedOn w:val="Normal"/>
    <w:next w:val="Normal"/>
    <w:autoRedefine/>
    <w:uiPriority w:val="39"/>
    <w:rsid w:val="00C70573"/>
    <w:pPr>
      <w:tabs>
        <w:tab w:val="left" w:pos="9356"/>
      </w:tabs>
      <w:ind w:left="960"/>
    </w:pPr>
    <w:rPr>
      <w:noProof/>
      <w:sz w:val="20"/>
    </w:rPr>
  </w:style>
  <w:style w:type="paragraph" w:customStyle="1" w:styleId="Numberpoint1">
    <w:name w:val="Number point 1"/>
    <w:basedOn w:val="Dotpoint1"/>
    <w:link w:val="Numberpoint1Char"/>
    <w:qFormat/>
    <w:rsid w:val="00C70573"/>
    <w:pPr>
      <w:numPr>
        <w:numId w:val="6"/>
      </w:numPr>
      <w:tabs>
        <w:tab w:val="clear" w:pos="284"/>
        <w:tab w:val="left" w:pos="567"/>
      </w:tabs>
      <w:ind w:left="567" w:hanging="567"/>
    </w:pPr>
  </w:style>
  <w:style w:type="character" w:customStyle="1" w:styleId="Numberpoint1Char">
    <w:name w:val="Number point 1 Char"/>
    <w:basedOn w:val="Dotpoint1Char"/>
    <w:link w:val="Numberpoint1"/>
    <w:rsid w:val="00C7057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annotation text" w:uiPriority="99"/>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70573"/>
    <w:rPr>
      <w:sz w:val="24"/>
      <w:szCs w:val="24"/>
    </w:rPr>
  </w:style>
  <w:style w:type="paragraph" w:styleId="Heading1">
    <w:name w:val="heading 1"/>
    <w:basedOn w:val="Normal"/>
    <w:next w:val="Normal"/>
    <w:link w:val="Heading1Char"/>
    <w:rsid w:val="00C70573"/>
    <w:pPr>
      <w:keepNext/>
      <w:spacing w:before="240" w:after="60"/>
      <w:outlineLvl w:val="0"/>
    </w:pPr>
    <w:rPr>
      <w:rFonts w:cs="Arial"/>
      <w:b/>
      <w:bCs/>
      <w:kern w:val="32"/>
      <w:sz w:val="28"/>
      <w:szCs w:val="32"/>
    </w:rPr>
  </w:style>
  <w:style w:type="paragraph" w:styleId="Heading2">
    <w:name w:val="heading 2"/>
    <w:basedOn w:val="Normal"/>
    <w:next w:val="Normal"/>
    <w:link w:val="Heading2Char"/>
    <w:unhideWhenUsed/>
    <w:qFormat/>
    <w:rsid w:val="00C70573"/>
    <w:pPr>
      <w:keepNext/>
      <w:spacing w:before="360" w:after="120"/>
      <w:outlineLvl w:val="1"/>
    </w:pPr>
    <w:rPr>
      <w:b/>
      <w:bCs/>
      <w:iCs/>
      <w:caps/>
      <w:sz w:val="28"/>
      <w:szCs w:val="28"/>
    </w:rPr>
  </w:style>
  <w:style w:type="paragraph" w:styleId="Heading3">
    <w:name w:val="heading 3"/>
    <w:basedOn w:val="Normal"/>
    <w:next w:val="Normal"/>
    <w:link w:val="Heading3Char"/>
    <w:qFormat/>
    <w:rsid w:val="00C70573"/>
    <w:pPr>
      <w:keepNext/>
      <w:spacing w:before="360" w:after="60"/>
      <w:outlineLvl w:val="2"/>
    </w:pPr>
    <w:rPr>
      <w:b/>
      <w:bCs/>
      <w:sz w:val="28"/>
      <w:szCs w:val="26"/>
    </w:rPr>
  </w:style>
  <w:style w:type="paragraph" w:styleId="Heading4">
    <w:name w:val="heading 4"/>
    <w:basedOn w:val="dotpoint"/>
    <w:next w:val="Normal"/>
    <w:link w:val="Heading4Char"/>
    <w:unhideWhenUsed/>
    <w:qFormat/>
    <w:rsid w:val="00C70573"/>
    <w:pPr>
      <w:keepNext/>
      <w:numPr>
        <w:numId w:val="0"/>
      </w:numPr>
      <w:spacing w:before="360"/>
      <w:outlineLvl w:val="3"/>
    </w:pPr>
    <w:rPr>
      <w:b/>
      <w:i/>
      <w:sz w:val="24"/>
    </w:rPr>
  </w:style>
  <w:style w:type="paragraph" w:styleId="Heading5">
    <w:name w:val="heading 5"/>
    <w:basedOn w:val="Normal"/>
    <w:next w:val="Normal"/>
    <w:link w:val="Heading5Char"/>
    <w:unhideWhenUsed/>
    <w:qFormat/>
    <w:rsid w:val="00C70573"/>
    <w:pPr>
      <w:keepNext/>
      <w:spacing w:before="200"/>
      <w:outlineLvl w:val="4"/>
    </w:pPr>
    <w:rPr>
      <w:i/>
    </w:rPr>
  </w:style>
  <w:style w:type="paragraph" w:styleId="Heading6">
    <w:name w:val="heading 6"/>
    <w:basedOn w:val="Normal"/>
    <w:next w:val="Normal"/>
    <w:link w:val="Heading6Char"/>
    <w:uiPriority w:val="9"/>
    <w:qFormat/>
    <w:rsid w:val="00C70573"/>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C70573"/>
    <w:rPr>
      <w:rFonts w:ascii="Calibri" w:eastAsia="Times New Roman" w:hAnsi="Calibri" w:cs="Times New Roman"/>
      <w:b/>
      <w:bCs/>
      <w:sz w:val="22"/>
      <w:szCs w:val="22"/>
    </w:rPr>
  </w:style>
  <w:style w:type="paragraph" w:customStyle="1" w:styleId="Appendix">
    <w:name w:val="Appendix"/>
    <w:basedOn w:val="Normal"/>
    <w:link w:val="AppendixCharChar"/>
    <w:rsid w:val="00C70573"/>
    <w:pPr>
      <w:jc w:val="right"/>
    </w:pPr>
    <w:rPr>
      <w:b/>
    </w:rPr>
  </w:style>
  <w:style w:type="character" w:customStyle="1" w:styleId="AppendixCharChar">
    <w:name w:val="Appendix Char Char"/>
    <w:basedOn w:val="DefaultParagraphFont"/>
    <w:link w:val="Appendix"/>
    <w:locked/>
    <w:rsid w:val="00C70573"/>
    <w:rPr>
      <w:rFonts w:cs="Times New Roman"/>
      <w:b/>
      <w:sz w:val="24"/>
      <w:lang w:val="en-AU" w:eastAsia="en-AU" w:bidi="ar-SA"/>
    </w:rPr>
  </w:style>
  <w:style w:type="paragraph" w:customStyle="1" w:styleId="HB-dotpoint">
    <w:name w:val="HB - dotpoint"/>
    <w:basedOn w:val="Normal"/>
    <w:rsid w:val="00C70573"/>
    <w:pPr>
      <w:numPr>
        <w:numId w:val="1"/>
      </w:numPr>
      <w:spacing w:before="180"/>
    </w:pPr>
  </w:style>
  <w:style w:type="paragraph" w:customStyle="1" w:styleId="HB-Table-Subpoint">
    <w:name w:val="HB - Table - Subpoint"/>
    <w:basedOn w:val="Normal"/>
    <w:rsid w:val="00C70573"/>
    <w:pPr>
      <w:numPr>
        <w:numId w:val="8"/>
      </w:numPr>
      <w:tabs>
        <w:tab w:val="clear" w:pos="360"/>
        <w:tab w:val="num" w:pos="993"/>
      </w:tabs>
      <w:spacing w:before="60" w:after="60"/>
      <w:ind w:left="993" w:hanging="426"/>
    </w:pPr>
    <w:rPr>
      <w:szCs w:val="20"/>
    </w:rPr>
  </w:style>
  <w:style w:type="paragraph" w:styleId="BalloonText">
    <w:name w:val="Balloon Text"/>
    <w:basedOn w:val="Normal"/>
    <w:link w:val="BalloonTextChar"/>
    <w:uiPriority w:val="99"/>
    <w:semiHidden/>
    <w:rsid w:val="00C70573"/>
    <w:rPr>
      <w:rFonts w:ascii="Tahoma" w:hAnsi="Tahoma" w:cs="Tahoma"/>
      <w:sz w:val="16"/>
      <w:szCs w:val="16"/>
    </w:rPr>
  </w:style>
  <w:style w:type="character" w:customStyle="1" w:styleId="BalloonTextChar">
    <w:name w:val="Balloon Text Char"/>
    <w:basedOn w:val="DefaultParagraphFont"/>
    <w:link w:val="BalloonText"/>
    <w:uiPriority w:val="99"/>
    <w:semiHidden/>
    <w:rsid w:val="00C70573"/>
    <w:rPr>
      <w:sz w:val="0"/>
      <w:szCs w:val="0"/>
    </w:rPr>
  </w:style>
  <w:style w:type="character" w:styleId="CommentReference">
    <w:name w:val="annotation reference"/>
    <w:basedOn w:val="DefaultParagraphFont"/>
    <w:semiHidden/>
    <w:rsid w:val="00C70573"/>
    <w:rPr>
      <w:rFonts w:cs="Times New Roman"/>
      <w:sz w:val="16"/>
      <w:szCs w:val="16"/>
    </w:rPr>
  </w:style>
  <w:style w:type="paragraph" w:styleId="CommentText">
    <w:name w:val="annotation text"/>
    <w:basedOn w:val="Normal"/>
    <w:link w:val="CommentTextChar"/>
    <w:uiPriority w:val="99"/>
    <w:rsid w:val="00C70573"/>
    <w:rPr>
      <w:sz w:val="20"/>
      <w:szCs w:val="20"/>
    </w:rPr>
  </w:style>
  <w:style w:type="character" w:customStyle="1" w:styleId="CommentTextChar">
    <w:name w:val="Comment Text Char"/>
    <w:basedOn w:val="DefaultParagraphFont"/>
    <w:link w:val="CommentText"/>
    <w:uiPriority w:val="99"/>
    <w:rsid w:val="00C70573"/>
  </w:style>
  <w:style w:type="paragraph" w:styleId="CommentSubject">
    <w:name w:val="annotation subject"/>
    <w:basedOn w:val="CommentText"/>
    <w:next w:val="CommentText"/>
    <w:link w:val="CommentSubjectChar"/>
    <w:uiPriority w:val="99"/>
    <w:semiHidden/>
    <w:rsid w:val="00C70573"/>
    <w:rPr>
      <w:b/>
      <w:bCs/>
    </w:rPr>
  </w:style>
  <w:style w:type="character" w:customStyle="1" w:styleId="CommentSubjectChar">
    <w:name w:val="Comment Subject Char"/>
    <w:basedOn w:val="CommentTextChar"/>
    <w:link w:val="CommentSubject"/>
    <w:uiPriority w:val="99"/>
    <w:semiHidden/>
    <w:rsid w:val="00C70573"/>
    <w:rPr>
      <w:b/>
      <w:bCs/>
    </w:rPr>
  </w:style>
  <w:style w:type="paragraph" w:styleId="Header">
    <w:name w:val="header"/>
    <w:basedOn w:val="Normal"/>
    <w:link w:val="HeaderChar"/>
    <w:uiPriority w:val="99"/>
    <w:rsid w:val="00C70573"/>
    <w:pPr>
      <w:tabs>
        <w:tab w:val="center" w:pos="4153"/>
        <w:tab w:val="right" w:pos="8306"/>
      </w:tabs>
    </w:pPr>
  </w:style>
  <w:style w:type="character" w:customStyle="1" w:styleId="HeaderChar">
    <w:name w:val="Header Char"/>
    <w:basedOn w:val="DefaultParagraphFont"/>
    <w:link w:val="Header"/>
    <w:uiPriority w:val="99"/>
    <w:rsid w:val="00C70573"/>
    <w:rPr>
      <w:sz w:val="24"/>
      <w:szCs w:val="24"/>
    </w:rPr>
  </w:style>
  <w:style w:type="character" w:styleId="PageNumber">
    <w:name w:val="page number"/>
    <w:basedOn w:val="DefaultParagraphFont"/>
    <w:rsid w:val="00C70573"/>
  </w:style>
  <w:style w:type="paragraph" w:styleId="Footer">
    <w:name w:val="footer"/>
    <w:basedOn w:val="Normal"/>
    <w:link w:val="FooterChar"/>
    <w:uiPriority w:val="99"/>
    <w:rsid w:val="00C70573"/>
    <w:pPr>
      <w:tabs>
        <w:tab w:val="center" w:pos="4153"/>
        <w:tab w:val="right" w:pos="8306"/>
      </w:tabs>
    </w:pPr>
  </w:style>
  <w:style w:type="character" w:customStyle="1" w:styleId="FooterChar">
    <w:name w:val="Footer Char"/>
    <w:basedOn w:val="DefaultParagraphFont"/>
    <w:link w:val="Footer"/>
    <w:uiPriority w:val="99"/>
    <w:rsid w:val="00C70573"/>
    <w:rPr>
      <w:sz w:val="24"/>
    </w:rPr>
  </w:style>
  <w:style w:type="paragraph" w:styleId="BodyText">
    <w:name w:val="Body Text"/>
    <w:basedOn w:val="Normal"/>
    <w:link w:val="BodyTextChar"/>
    <w:uiPriority w:val="99"/>
    <w:rsid w:val="00C70573"/>
    <w:pPr>
      <w:tabs>
        <w:tab w:val="left" w:pos="709"/>
      </w:tabs>
    </w:pPr>
    <w:rPr>
      <w:lang w:eastAsia="en-US"/>
    </w:rPr>
  </w:style>
  <w:style w:type="character" w:customStyle="1" w:styleId="BodyTextChar">
    <w:name w:val="Body Text Char"/>
    <w:basedOn w:val="DefaultParagraphFont"/>
    <w:link w:val="BodyText"/>
    <w:uiPriority w:val="99"/>
    <w:locked/>
    <w:rsid w:val="00C70573"/>
    <w:rPr>
      <w:rFonts w:cs="Times New Roman"/>
      <w:sz w:val="24"/>
      <w:lang w:eastAsia="en-US"/>
    </w:rPr>
  </w:style>
  <w:style w:type="paragraph" w:styleId="Revision">
    <w:name w:val="Revision"/>
    <w:hidden/>
    <w:uiPriority w:val="99"/>
    <w:semiHidden/>
    <w:rsid w:val="00C70573"/>
    <w:rPr>
      <w:sz w:val="24"/>
    </w:rPr>
  </w:style>
  <w:style w:type="paragraph" w:customStyle="1" w:styleId="AFMANormal">
    <w:name w:val="AFMA Normal"/>
    <w:rsid w:val="00C70573"/>
    <w:pPr>
      <w:spacing w:before="240"/>
      <w:jc w:val="both"/>
    </w:pPr>
    <w:rPr>
      <w:snapToGrid w:val="0"/>
      <w:kern w:val="20"/>
      <w:sz w:val="24"/>
      <w:lang w:eastAsia="en-US"/>
    </w:rPr>
  </w:style>
  <w:style w:type="paragraph" w:customStyle="1" w:styleId="Default">
    <w:name w:val="Default"/>
    <w:rsid w:val="00C70573"/>
    <w:pPr>
      <w:autoSpaceDE w:val="0"/>
      <w:autoSpaceDN w:val="0"/>
      <w:adjustRightInd w:val="0"/>
    </w:pPr>
    <w:rPr>
      <w:color w:val="000000"/>
      <w:sz w:val="24"/>
      <w:szCs w:val="24"/>
    </w:rPr>
  </w:style>
  <w:style w:type="paragraph" w:styleId="ListParagraph">
    <w:name w:val="List Paragraph"/>
    <w:basedOn w:val="Normal"/>
    <w:uiPriority w:val="34"/>
    <w:qFormat/>
    <w:rsid w:val="00C70573"/>
    <w:pPr>
      <w:ind w:left="720"/>
    </w:pPr>
  </w:style>
  <w:style w:type="character" w:customStyle="1" w:styleId="Heading1Char">
    <w:name w:val="Heading 1 Char"/>
    <w:basedOn w:val="DefaultParagraphFont"/>
    <w:link w:val="Heading1"/>
    <w:rsid w:val="00C70573"/>
    <w:rPr>
      <w:rFonts w:cs="Arial"/>
      <w:b/>
      <w:bCs/>
      <w:kern w:val="32"/>
      <w:sz w:val="28"/>
      <w:szCs w:val="32"/>
    </w:rPr>
  </w:style>
  <w:style w:type="character" w:styleId="Emphasis">
    <w:name w:val="Emphasis"/>
    <w:basedOn w:val="DefaultParagraphFont"/>
    <w:uiPriority w:val="20"/>
    <w:qFormat/>
    <w:rsid w:val="00C70573"/>
    <w:rPr>
      <w:i/>
      <w:iCs/>
    </w:rPr>
  </w:style>
  <w:style w:type="paragraph" w:customStyle="1" w:styleId="BodyText1">
    <w:name w:val="Body Text1"/>
    <w:basedOn w:val="ListParagraph"/>
    <w:link w:val="BodytextChar0"/>
    <w:qFormat/>
    <w:rsid w:val="00C70573"/>
    <w:pPr>
      <w:spacing w:before="120"/>
      <w:ind w:left="0"/>
    </w:pPr>
  </w:style>
  <w:style w:type="character" w:customStyle="1" w:styleId="BodytextChar0">
    <w:name w:val="Body text Char"/>
    <w:link w:val="BodyText1"/>
    <w:rsid w:val="00C70573"/>
    <w:rPr>
      <w:sz w:val="24"/>
      <w:szCs w:val="24"/>
    </w:rPr>
  </w:style>
  <w:style w:type="paragraph" w:customStyle="1" w:styleId="dotpoint">
    <w:name w:val="dot point"/>
    <w:basedOn w:val="Normal"/>
    <w:rsid w:val="00C70573"/>
    <w:pPr>
      <w:numPr>
        <w:numId w:val="2"/>
      </w:numPr>
      <w:spacing w:before="120" w:after="120"/>
    </w:pPr>
    <w:rPr>
      <w:sz w:val="22"/>
    </w:rPr>
  </w:style>
  <w:style w:type="paragraph" w:customStyle="1" w:styleId="dotpoint2">
    <w:name w:val="dot point 2"/>
    <w:basedOn w:val="Normal"/>
    <w:rsid w:val="00C70573"/>
    <w:pPr>
      <w:numPr>
        <w:ilvl w:val="1"/>
        <w:numId w:val="2"/>
      </w:numPr>
      <w:spacing w:before="120" w:after="120"/>
    </w:pPr>
    <w:rPr>
      <w:sz w:val="22"/>
    </w:rPr>
  </w:style>
  <w:style w:type="numbering" w:customStyle="1" w:styleId="DotPointList">
    <w:name w:val="Dot Point List"/>
    <w:uiPriority w:val="99"/>
    <w:rsid w:val="00C70573"/>
    <w:pPr>
      <w:numPr>
        <w:numId w:val="2"/>
      </w:numPr>
    </w:pPr>
  </w:style>
  <w:style w:type="paragraph" w:styleId="NormalWeb">
    <w:name w:val="Normal (Web)"/>
    <w:basedOn w:val="Normal"/>
    <w:uiPriority w:val="99"/>
    <w:unhideWhenUsed/>
    <w:rsid w:val="00C70573"/>
    <w:pPr>
      <w:spacing w:before="100" w:beforeAutospacing="1" w:after="100" w:afterAutospacing="1"/>
    </w:pPr>
  </w:style>
  <w:style w:type="character" w:customStyle="1" w:styleId="Heading2Char">
    <w:name w:val="Heading 2 Char"/>
    <w:basedOn w:val="DefaultParagraphFont"/>
    <w:link w:val="Heading2"/>
    <w:rsid w:val="00C70573"/>
    <w:rPr>
      <w:b/>
      <w:bCs/>
      <w:iCs/>
      <w:caps/>
      <w:sz w:val="28"/>
      <w:szCs w:val="28"/>
    </w:rPr>
  </w:style>
  <w:style w:type="paragraph" w:styleId="TOCHeading">
    <w:name w:val="TOC Heading"/>
    <w:basedOn w:val="Heading1"/>
    <w:next w:val="Normal"/>
    <w:uiPriority w:val="39"/>
    <w:semiHidden/>
    <w:unhideWhenUsed/>
    <w:qFormat/>
    <w:rsid w:val="00C70573"/>
    <w:pPr>
      <w:keepLines/>
      <w:spacing w:before="480" w:after="0" w:line="276" w:lineRule="auto"/>
      <w:outlineLvl w:val="9"/>
    </w:pPr>
    <w:rPr>
      <w:rFonts w:ascii="Cambria" w:hAnsi="Cambria" w:cs="Times New Roman"/>
      <w:color w:val="365F91"/>
      <w:kern w:val="0"/>
      <w:szCs w:val="28"/>
      <w:lang w:val="en-US" w:eastAsia="en-US"/>
    </w:rPr>
  </w:style>
  <w:style w:type="paragraph" w:styleId="TOC1">
    <w:name w:val="toc 1"/>
    <w:basedOn w:val="Normal"/>
    <w:next w:val="Normal"/>
    <w:autoRedefine/>
    <w:uiPriority w:val="39"/>
    <w:rsid w:val="00C70573"/>
    <w:pPr>
      <w:spacing w:before="120" w:after="120"/>
    </w:pPr>
    <w:rPr>
      <w:b/>
      <w:sz w:val="22"/>
    </w:rPr>
  </w:style>
  <w:style w:type="paragraph" w:styleId="TOC2">
    <w:name w:val="toc 2"/>
    <w:basedOn w:val="Normal"/>
    <w:next w:val="Normal"/>
    <w:autoRedefine/>
    <w:uiPriority w:val="39"/>
    <w:rsid w:val="00C70573"/>
    <w:pPr>
      <w:keepNext/>
      <w:tabs>
        <w:tab w:val="right" w:leader="dot" w:pos="9736"/>
      </w:tabs>
      <w:spacing w:before="40"/>
      <w:ind w:right="-625"/>
      <w:contextualSpacing/>
    </w:pPr>
  </w:style>
  <w:style w:type="character" w:styleId="Hyperlink">
    <w:name w:val="Hyperlink"/>
    <w:basedOn w:val="DefaultParagraphFont"/>
    <w:uiPriority w:val="99"/>
    <w:unhideWhenUsed/>
    <w:rsid w:val="00C70573"/>
    <w:rPr>
      <w:color w:val="0000FF"/>
      <w:u w:val="single"/>
    </w:rPr>
  </w:style>
  <w:style w:type="paragraph" w:styleId="TOC3">
    <w:name w:val="toc 3"/>
    <w:basedOn w:val="Normal"/>
    <w:next w:val="Normal"/>
    <w:autoRedefine/>
    <w:uiPriority w:val="39"/>
    <w:rsid w:val="00C70573"/>
    <w:pPr>
      <w:tabs>
        <w:tab w:val="right" w:leader="dot" w:pos="9639"/>
      </w:tabs>
      <w:ind w:left="284" w:hanging="142"/>
    </w:pPr>
    <w:rPr>
      <w:sz w:val="22"/>
    </w:rPr>
  </w:style>
  <w:style w:type="paragraph" w:customStyle="1" w:styleId="Contents">
    <w:name w:val="Contents"/>
    <w:basedOn w:val="Normal"/>
    <w:next w:val="Normal"/>
    <w:rsid w:val="00C70573"/>
    <w:pPr>
      <w:spacing w:after="60"/>
    </w:pPr>
    <w:rPr>
      <w:rFonts w:ascii="Verdana" w:hAnsi="Verdana" w:cs="Arial"/>
      <w:b/>
      <w:iCs/>
      <w:kern w:val="32"/>
      <w:sz w:val="32"/>
      <w:szCs w:val="32"/>
    </w:rPr>
  </w:style>
  <w:style w:type="paragraph" w:customStyle="1" w:styleId="Body">
    <w:name w:val="Body"/>
    <w:aliases w:val="b"/>
    <w:basedOn w:val="Normal"/>
    <w:rsid w:val="00C70573"/>
  </w:style>
  <w:style w:type="paragraph" w:customStyle="1" w:styleId="BodyNum">
    <w:name w:val="BodyNum"/>
    <w:aliases w:val="b1"/>
    <w:basedOn w:val="Normal"/>
    <w:rsid w:val="00C70573"/>
    <w:pPr>
      <w:numPr>
        <w:numId w:val="3"/>
      </w:numPr>
    </w:pPr>
  </w:style>
  <w:style w:type="paragraph" w:customStyle="1" w:styleId="BodyPara">
    <w:name w:val="BodyPara"/>
    <w:aliases w:val="ba"/>
    <w:basedOn w:val="Normal"/>
    <w:rsid w:val="00C70573"/>
    <w:pPr>
      <w:numPr>
        <w:ilvl w:val="1"/>
        <w:numId w:val="3"/>
      </w:numPr>
    </w:pPr>
  </w:style>
  <w:style w:type="paragraph" w:customStyle="1" w:styleId="BodyParaBullet">
    <w:name w:val="BodyParaBullet"/>
    <w:aliases w:val="bpb"/>
    <w:basedOn w:val="Normal"/>
    <w:rsid w:val="00C70573"/>
    <w:pPr>
      <w:numPr>
        <w:ilvl w:val="2"/>
        <w:numId w:val="3"/>
      </w:numPr>
      <w:tabs>
        <w:tab w:val="left" w:pos="2160"/>
      </w:tabs>
    </w:pPr>
  </w:style>
  <w:style w:type="paragraph" w:customStyle="1" w:styleId="BodySubPara">
    <w:name w:val="BodySubPara"/>
    <w:aliases w:val="bi"/>
    <w:basedOn w:val="Normal"/>
    <w:rsid w:val="00C70573"/>
    <w:pPr>
      <w:numPr>
        <w:ilvl w:val="3"/>
        <w:numId w:val="3"/>
      </w:numPr>
    </w:pPr>
  </w:style>
  <w:style w:type="numbering" w:customStyle="1" w:styleId="OPCBodyList">
    <w:name w:val="OPCBodyList"/>
    <w:uiPriority w:val="99"/>
    <w:rsid w:val="00C70573"/>
    <w:pPr>
      <w:numPr>
        <w:numId w:val="3"/>
      </w:numPr>
    </w:pPr>
  </w:style>
  <w:style w:type="character" w:customStyle="1" w:styleId="Heading3Char">
    <w:name w:val="Heading 3 Char"/>
    <w:basedOn w:val="DefaultParagraphFont"/>
    <w:link w:val="Heading3"/>
    <w:rsid w:val="00C70573"/>
    <w:rPr>
      <w:b/>
      <w:bCs/>
      <w:sz w:val="28"/>
      <w:szCs w:val="26"/>
    </w:rPr>
  </w:style>
  <w:style w:type="character" w:customStyle="1" w:styleId="Heading4Char">
    <w:name w:val="Heading 4 Char"/>
    <w:basedOn w:val="DefaultParagraphFont"/>
    <w:link w:val="Heading4"/>
    <w:rsid w:val="00C70573"/>
    <w:rPr>
      <w:b/>
      <w:i/>
      <w:sz w:val="24"/>
      <w:szCs w:val="24"/>
    </w:rPr>
  </w:style>
  <w:style w:type="character" w:customStyle="1" w:styleId="Heading5Char">
    <w:name w:val="Heading 5 Char"/>
    <w:basedOn w:val="DefaultParagraphFont"/>
    <w:link w:val="Heading5"/>
    <w:rsid w:val="00C70573"/>
    <w:rPr>
      <w:i/>
      <w:sz w:val="24"/>
      <w:szCs w:val="24"/>
    </w:rPr>
  </w:style>
  <w:style w:type="paragraph" w:customStyle="1" w:styleId="Dotpoint1">
    <w:name w:val="Dot point 1"/>
    <w:basedOn w:val="Normal"/>
    <w:link w:val="Dotpoint1Char"/>
    <w:qFormat/>
    <w:rsid w:val="00C70573"/>
    <w:pPr>
      <w:numPr>
        <w:numId w:val="5"/>
      </w:numPr>
      <w:tabs>
        <w:tab w:val="left" w:pos="284"/>
      </w:tabs>
      <w:autoSpaceDE w:val="0"/>
      <w:autoSpaceDN w:val="0"/>
      <w:spacing w:before="60"/>
      <w:ind w:left="284" w:hanging="284"/>
    </w:pPr>
  </w:style>
  <w:style w:type="character" w:customStyle="1" w:styleId="Dotpoint1Char">
    <w:name w:val="Dot point 1 Char"/>
    <w:link w:val="Dotpoint1"/>
    <w:rsid w:val="00C70573"/>
    <w:rPr>
      <w:sz w:val="24"/>
      <w:szCs w:val="24"/>
    </w:rPr>
  </w:style>
  <w:style w:type="paragraph" w:customStyle="1" w:styleId="Dashpoint1">
    <w:name w:val="Dash point 1"/>
    <w:basedOn w:val="Dotpoint1"/>
    <w:rsid w:val="00C70573"/>
    <w:pPr>
      <w:numPr>
        <w:ilvl w:val="1"/>
      </w:numPr>
      <w:tabs>
        <w:tab w:val="clear" w:pos="284"/>
        <w:tab w:val="left" w:pos="709"/>
      </w:tabs>
    </w:pPr>
  </w:style>
  <w:style w:type="paragraph" w:customStyle="1" w:styleId="Heading3noTC">
    <w:name w:val="Heading_3_no_TC"/>
    <w:link w:val="Heading3noTCChar"/>
    <w:qFormat/>
    <w:rsid w:val="00C70573"/>
    <w:pPr>
      <w:spacing w:before="360" w:after="60"/>
    </w:pPr>
    <w:rPr>
      <w:b/>
      <w:bCs/>
      <w:sz w:val="28"/>
      <w:szCs w:val="26"/>
    </w:rPr>
  </w:style>
  <w:style w:type="paragraph" w:customStyle="1" w:styleId="Heading4noTC">
    <w:name w:val="Heading_4_no_TC"/>
    <w:link w:val="Heading4noTCChar"/>
    <w:qFormat/>
    <w:rsid w:val="00C70573"/>
    <w:pPr>
      <w:keepNext/>
      <w:spacing w:before="240" w:after="120"/>
    </w:pPr>
    <w:rPr>
      <w:b/>
      <w:i/>
      <w:sz w:val="24"/>
      <w:szCs w:val="24"/>
    </w:rPr>
  </w:style>
  <w:style w:type="character" w:customStyle="1" w:styleId="Heading3noTCChar">
    <w:name w:val="Heading 3_no_TC Char"/>
    <w:basedOn w:val="Heading3Char"/>
    <w:link w:val="Heading3noTC"/>
    <w:rsid w:val="00C70573"/>
    <w:rPr>
      <w:b/>
      <w:bCs/>
      <w:sz w:val="28"/>
      <w:szCs w:val="26"/>
      <w:lang w:val="en-AU" w:eastAsia="en-AU" w:bidi="ar-SA"/>
    </w:rPr>
  </w:style>
  <w:style w:type="paragraph" w:customStyle="1" w:styleId="Heading5noTC">
    <w:name w:val="Heading_5_no_TC"/>
    <w:link w:val="Heading5noTCChar"/>
    <w:qFormat/>
    <w:rsid w:val="00C70573"/>
    <w:pPr>
      <w:keepNext/>
      <w:spacing w:before="200"/>
    </w:pPr>
    <w:rPr>
      <w:i/>
      <w:sz w:val="24"/>
      <w:szCs w:val="24"/>
    </w:rPr>
  </w:style>
  <w:style w:type="character" w:customStyle="1" w:styleId="Heading4noTCChar">
    <w:name w:val="Heading_4_no_TC Char"/>
    <w:basedOn w:val="Heading4Char"/>
    <w:link w:val="Heading4noTC"/>
    <w:rsid w:val="00C70573"/>
    <w:rPr>
      <w:b/>
      <w:i/>
      <w:sz w:val="24"/>
      <w:szCs w:val="24"/>
      <w:lang w:val="en-AU" w:eastAsia="en-AU" w:bidi="ar-SA"/>
    </w:rPr>
  </w:style>
  <w:style w:type="character" w:customStyle="1" w:styleId="Heading5noTCChar">
    <w:name w:val="Heading_5_no_TC Char"/>
    <w:basedOn w:val="Heading5Char"/>
    <w:link w:val="Heading5noTC"/>
    <w:rsid w:val="00C70573"/>
    <w:rPr>
      <w:i/>
      <w:sz w:val="24"/>
      <w:szCs w:val="24"/>
      <w:lang w:val="en-AU" w:eastAsia="en-AU" w:bidi="ar-SA"/>
    </w:rPr>
  </w:style>
  <w:style w:type="paragraph" w:customStyle="1" w:styleId="TableText">
    <w:name w:val="Table Text"/>
    <w:basedOn w:val="Normal"/>
    <w:rsid w:val="00C70573"/>
    <w:pPr>
      <w:spacing w:before="80" w:after="80"/>
    </w:pPr>
    <w:rPr>
      <w:rFonts w:ascii="Verdana" w:hAnsi="Verdana"/>
      <w:sz w:val="20"/>
    </w:rPr>
  </w:style>
  <w:style w:type="paragraph" w:customStyle="1" w:styleId="TableHeading">
    <w:name w:val="Table Heading"/>
    <w:basedOn w:val="TableText"/>
    <w:rsid w:val="00C70573"/>
    <w:pPr>
      <w:keepNext/>
    </w:pPr>
    <w:rPr>
      <w:b/>
    </w:rPr>
  </w:style>
  <w:style w:type="table" w:styleId="TableGrid">
    <w:name w:val="Table Grid"/>
    <w:basedOn w:val="TableNormal"/>
    <w:uiPriority w:val="59"/>
    <w:rsid w:val="00C70573"/>
    <w:rPr>
      <w:rFonts w:ascii="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address">
    <w:name w:val="Footer address"/>
    <w:basedOn w:val="Footer"/>
    <w:semiHidden/>
    <w:qFormat/>
    <w:rsid w:val="00C70573"/>
    <w:pPr>
      <w:tabs>
        <w:tab w:val="clear" w:pos="4153"/>
        <w:tab w:val="clear" w:pos="8306"/>
        <w:tab w:val="center" w:pos="4320"/>
        <w:tab w:val="right" w:pos="8640"/>
      </w:tabs>
    </w:pPr>
    <w:rPr>
      <w:rFonts w:ascii="Cambria" w:hAnsi="Cambria"/>
      <w:sz w:val="16"/>
      <w:lang w:eastAsia="en-US"/>
    </w:rPr>
  </w:style>
  <w:style w:type="paragraph" w:styleId="Title">
    <w:name w:val="Title"/>
    <w:basedOn w:val="Normal"/>
    <w:link w:val="TitleChar"/>
    <w:uiPriority w:val="10"/>
    <w:qFormat/>
    <w:rsid w:val="00C70573"/>
    <w:pPr>
      <w:jc w:val="center"/>
    </w:pPr>
    <w:rPr>
      <w:rFonts w:ascii="Arial Rounded MT Bold" w:hAnsi="Arial Rounded MT Bold"/>
      <w:b/>
      <w:lang w:eastAsia="en-US"/>
    </w:rPr>
  </w:style>
  <w:style w:type="character" w:customStyle="1" w:styleId="TitleChar">
    <w:name w:val="Title Char"/>
    <w:basedOn w:val="DefaultParagraphFont"/>
    <w:link w:val="Title"/>
    <w:uiPriority w:val="10"/>
    <w:rsid w:val="00C70573"/>
    <w:rPr>
      <w:rFonts w:ascii="Arial Rounded MT Bold" w:hAnsi="Arial Rounded MT Bold"/>
      <w:b/>
      <w:sz w:val="24"/>
      <w:lang w:eastAsia="en-US"/>
    </w:rPr>
  </w:style>
  <w:style w:type="paragraph" w:customStyle="1" w:styleId="R2">
    <w:name w:val="R2"/>
    <w:aliases w:val="(2)"/>
    <w:basedOn w:val="Normal"/>
    <w:uiPriority w:val="99"/>
    <w:rsid w:val="00C70573"/>
    <w:pPr>
      <w:spacing w:before="180" w:line="260" w:lineRule="exact"/>
      <w:ind w:left="964" w:hanging="964"/>
      <w:jc w:val="both"/>
    </w:pPr>
    <w:rPr>
      <w:rFonts w:eastAsia="Calibri"/>
    </w:rPr>
  </w:style>
  <w:style w:type="paragraph" w:customStyle="1" w:styleId="BodyText10">
    <w:name w:val="Body Text1"/>
    <w:basedOn w:val="ListParagraph"/>
    <w:uiPriority w:val="99"/>
    <w:rsid w:val="00C70573"/>
    <w:pPr>
      <w:spacing w:before="120"/>
      <w:ind w:left="0" w:hanging="567"/>
    </w:pPr>
  </w:style>
  <w:style w:type="character" w:styleId="FootnoteReference">
    <w:name w:val="footnote reference"/>
    <w:basedOn w:val="DefaultParagraphFont"/>
    <w:rsid w:val="00C70573"/>
    <w:rPr>
      <w:vertAlign w:val="superscript"/>
    </w:rPr>
  </w:style>
  <w:style w:type="paragraph" w:styleId="FootnoteText">
    <w:name w:val="footnote text"/>
    <w:basedOn w:val="Normal"/>
    <w:link w:val="FootnoteTextChar"/>
    <w:rsid w:val="00C70573"/>
    <w:pPr>
      <w:spacing w:before="200"/>
      <w:ind w:left="142" w:hanging="142"/>
    </w:pPr>
    <w:rPr>
      <w:rFonts w:eastAsia="SimSun"/>
      <w:sz w:val="20"/>
      <w:lang w:eastAsia="zh-CN"/>
    </w:rPr>
  </w:style>
  <w:style w:type="character" w:customStyle="1" w:styleId="FootnoteTextChar">
    <w:name w:val="Footnote Text Char"/>
    <w:basedOn w:val="DefaultParagraphFont"/>
    <w:link w:val="FootnoteText"/>
    <w:rsid w:val="00C70573"/>
    <w:rPr>
      <w:rFonts w:eastAsia="SimSun"/>
      <w:szCs w:val="24"/>
      <w:lang w:eastAsia="zh-CN"/>
    </w:rPr>
  </w:style>
  <w:style w:type="paragraph" w:customStyle="1" w:styleId="APVMAText">
    <w:name w:val="APVMA_Text"/>
    <w:basedOn w:val="Normal"/>
    <w:rsid w:val="00C70573"/>
    <w:pPr>
      <w:suppressAutoHyphens/>
      <w:spacing w:after="240" w:line="280" w:lineRule="exact"/>
    </w:pPr>
    <w:rPr>
      <w:rFonts w:ascii="Arial" w:hAnsi="Arial" w:cs="Arial"/>
      <w:sz w:val="20"/>
      <w:u w:color="000000"/>
      <w:lang w:eastAsia="en-US"/>
    </w:rPr>
  </w:style>
  <w:style w:type="paragraph" w:customStyle="1" w:styleId="Levelafo">
    <w:name w:val="Level (a)fo"/>
    <w:basedOn w:val="Normal"/>
    <w:rsid w:val="00C70573"/>
    <w:pPr>
      <w:spacing w:before="200" w:line="240" w:lineRule="atLeast"/>
      <w:ind w:left="1440"/>
    </w:pPr>
    <w:rPr>
      <w:rFonts w:ascii="Arial" w:eastAsia="SimSun" w:hAnsi="Arial"/>
      <w:sz w:val="20"/>
      <w:lang w:eastAsia="zh-CN"/>
    </w:rPr>
  </w:style>
  <w:style w:type="paragraph" w:customStyle="1" w:styleId="Itemheader">
    <w:name w:val="Item header"/>
    <w:basedOn w:val="Normal"/>
    <w:qFormat/>
    <w:rsid w:val="00C70573"/>
    <w:pPr>
      <w:keepNext/>
      <w:spacing w:before="200"/>
    </w:pPr>
    <w:rPr>
      <w:b/>
      <w:szCs w:val="20"/>
    </w:rPr>
  </w:style>
  <w:style w:type="paragraph" w:customStyle="1" w:styleId="Heading2noTC">
    <w:name w:val="Heading_2_no_TC"/>
    <w:qFormat/>
    <w:rsid w:val="00C70573"/>
    <w:pPr>
      <w:spacing w:before="240" w:after="120"/>
    </w:pPr>
    <w:rPr>
      <w:b/>
      <w:bCs/>
      <w:iCs/>
      <w:caps/>
      <w:sz w:val="28"/>
      <w:szCs w:val="28"/>
    </w:rPr>
  </w:style>
  <w:style w:type="paragraph" w:styleId="ListBullet">
    <w:name w:val="List Bullet"/>
    <w:basedOn w:val="Normal"/>
    <w:rsid w:val="00C70573"/>
    <w:pPr>
      <w:tabs>
        <w:tab w:val="num" w:pos="567"/>
      </w:tabs>
      <w:spacing w:before="240"/>
      <w:ind w:left="567" w:hanging="567"/>
    </w:pPr>
    <w:rPr>
      <w:rFonts w:ascii="Verdana" w:hAnsi="Verdana"/>
      <w:sz w:val="20"/>
    </w:rPr>
  </w:style>
  <w:style w:type="paragraph" w:styleId="TOC4">
    <w:name w:val="toc 4"/>
    <w:basedOn w:val="Normal"/>
    <w:next w:val="Normal"/>
    <w:autoRedefine/>
    <w:uiPriority w:val="39"/>
    <w:rsid w:val="00C70573"/>
    <w:pPr>
      <w:tabs>
        <w:tab w:val="right" w:leader="dot" w:pos="9498"/>
      </w:tabs>
      <w:ind w:left="426"/>
    </w:pPr>
    <w:rPr>
      <w:i/>
      <w:noProof/>
      <w:sz w:val="22"/>
    </w:rPr>
  </w:style>
  <w:style w:type="paragraph" w:styleId="TOC5">
    <w:name w:val="toc 5"/>
    <w:basedOn w:val="Normal"/>
    <w:next w:val="Normal"/>
    <w:autoRedefine/>
    <w:uiPriority w:val="39"/>
    <w:rsid w:val="00C70573"/>
    <w:pPr>
      <w:tabs>
        <w:tab w:val="left" w:pos="9356"/>
      </w:tabs>
      <w:ind w:left="960"/>
    </w:pPr>
    <w:rPr>
      <w:noProof/>
      <w:sz w:val="20"/>
    </w:rPr>
  </w:style>
  <w:style w:type="paragraph" w:customStyle="1" w:styleId="Numberpoint1">
    <w:name w:val="Number point 1"/>
    <w:basedOn w:val="Dotpoint1"/>
    <w:link w:val="Numberpoint1Char"/>
    <w:qFormat/>
    <w:rsid w:val="00C70573"/>
    <w:pPr>
      <w:numPr>
        <w:numId w:val="6"/>
      </w:numPr>
      <w:tabs>
        <w:tab w:val="clear" w:pos="284"/>
        <w:tab w:val="left" w:pos="567"/>
      </w:tabs>
      <w:ind w:left="567" w:hanging="567"/>
    </w:pPr>
  </w:style>
  <w:style w:type="character" w:customStyle="1" w:styleId="Numberpoint1Char">
    <w:name w:val="Number point 1 Char"/>
    <w:basedOn w:val="Dotpoint1Char"/>
    <w:link w:val="Numberpoint1"/>
    <w:rsid w:val="00C705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3342">
      <w:bodyDiv w:val="1"/>
      <w:marLeft w:val="0"/>
      <w:marRight w:val="0"/>
      <w:marTop w:val="0"/>
      <w:marBottom w:val="0"/>
      <w:divBdr>
        <w:top w:val="none" w:sz="0" w:space="0" w:color="auto"/>
        <w:left w:val="none" w:sz="0" w:space="0" w:color="auto"/>
        <w:bottom w:val="none" w:sz="0" w:space="0" w:color="auto"/>
        <w:right w:val="none" w:sz="0" w:space="0" w:color="auto"/>
      </w:divBdr>
    </w:div>
    <w:div w:id="141847894">
      <w:bodyDiv w:val="1"/>
      <w:marLeft w:val="0"/>
      <w:marRight w:val="0"/>
      <w:marTop w:val="0"/>
      <w:marBottom w:val="0"/>
      <w:divBdr>
        <w:top w:val="none" w:sz="0" w:space="0" w:color="auto"/>
        <w:left w:val="none" w:sz="0" w:space="0" w:color="auto"/>
        <w:bottom w:val="none" w:sz="0" w:space="0" w:color="auto"/>
        <w:right w:val="none" w:sz="0" w:space="0" w:color="auto"/>
      </w:divBdr>
    </w:div>
    <w:div w:id="356925702">
      <w:bodyDiv w:val="1"/>
      <w:marLeft w:val="0"/>
      <w:marRight w:val="0"/>
      <w:marTop w:val="0"/>
      <w:marBottom w:val="0"/>
      <w:divBdr>
        <w:top w:val="none" w:sz="0" w:space="0" w:color="auto"/>
        <w:left w:val="none" w:sz="0" w:space="0" w:color="auto"/>
        <w:bottom w:val="none" w:sz="0" w:space="0" w:color="auto"/>
        <w:right w:val="none" w:sz="0" w:space="0" w:color="auto"/>
      </w:divBdr>
    </w:div>
    <w:div w:id="540827071">
      <w:bodyDiv w:val="1"/>
      <w:marLeft w:val="0"/>
      <w:marRight w:val="0"/>
      <w:marTop w:val="0"/>
      <w:marBottom w:val="0"/>
      <w:divBdr>
        <w:top w:val="none" w:sz="0" w:space="0" w:color="auto"/>
        <w:left w:val="none" w:sz="0" w:space="0" w:color="auto"/>
        <w:bottom w:val="none" w:sz="0" w:space="0" w:color="auto"/>
        <w:right w:val="none" w:sz="0" w:space="0" w:color="auto"/>
      </w:divBdr>
    </w:div>
    <w:div w:id="543562898">
      <w:bodyDiv w:val="1"/>
      <w:marLeft w:val="0"/>
      <w:marRight w:val="0"/>
      <w:marTop w:val="0"/>
      <w:marBottom w:val="0"/>
      <w:divBdr>
        <w:top w:val="none" w:sz="0" w:space="0" w:color="auto"/>
        <w:left w:val="none" w:sz="0" w:space="0" w:color="auto"/>
        <w:bottom w:val="none" w:sz="0" w:space="0" w:color="auto"/>
        <w:right w:val="none" w:sz="0" w:space="0" w:color="auto"/>
      </w:divBdr>
    </w:div>
    <w:div w:id="722602367">
      <w:bodyDiv w:val="1"/>
      <w:marLeft w:val="0"/>
      <w:marRight w:val="0"/>
      <w:marTop w:val="0"/>
      <w:marBottom w:val="0"/>
      <w:divBdr>
        <w:top w:val="none" w:sz="0" w:space="0" w:color="auto"/>
        <w:left w:val="none" w:sz="0" w:space="0" w:color="auto"/>
        <w:bottom w:val="none" w:sz="0" w:space="0" w:color="auto"/>
        <w:right w:val="none" w:sz="0" w:space="0" w:color="auto"/>
      </w:divBdr>
    </w:div>
    <w:div w:id="856041221">
      <w:bodyDiv w:val="1"/>
      <w:marLeft w:val="0"/>
      <w:marRight w:val="0"/>
      <w:marTop w:val="0"/>
      <w:marBottom w:val="0"/>
      <w:divBdr>
        <w:top w:val="none" w:sz="0" w:space="0" w:color="auto"/>
        <w:left w:val="none" w:sz="0" w:space="0" w:color="auto"/>
        <w:bottom w:val="none" w:sz="0" w:space="0" w:color="auto"/>
        <w:right w:val="none" w:sz="0" w:space="0" w:color="auto"/>
      </w:divBdr>
    </w:div>
    <w:div w:id="1188329575">
      <w:bodyDiv w:val="1"/>
      <w:marLeft w:val="0"/>
      <w:marRight w:val="0"/>
      <w:marTop w:val="0"/>
      <w:marBottom w:val="0"/>
      <w:divBdr>
        <w:top w:val="none" w:sz="0" w:space="0" w:color="auto"/>
        <w:left w:val="none" w:sz="0" w:space="0" w:color="auto"/>
        <w:bottom w:val="none" w:sz="0" w:space="0" w:color="auto"/>
        <w:right w:val="none" w:sz="0" w:space="0" w:color="auto"/>
      </w:divBdr>
    </w:div>
    <w:div w:id="1198397016">
      <w:bodyDiv w:val="1"/>
      <w:marLeft w:val="0"/>
      <w:marRight w:val="0"/>
      <w:marTop w:val="0"/>
      <w:marBottom w:val="0"/>
      <w:divBdr>
        <w:top w:val="none" w:sz="0" w:space="0" w:color="auto"/>
        <w:left w:val="none" w:sz="0" w:space="0" w:color="auto"/>
        <w:bottom w:val="none" w:sz="0" w:space="0" w:color="auto"/>
        <w:right w:val="none" w:sz="0" w:space="0" w:color="auto"/>
      </w:divBdr>
    </w:div>
    <w:div w:id="1276861948">
      <w:bodyDiv w:val="1"/>
      <w:marLeft w:val="0"/>
      <w:marRight w:val="0"/>
      <w:marTop w:val="0"/>
      <w:marBottom w:val="0"/>
      <w:divBdr>
        <w:top w:val="none" w:sz="0" w:space="0" w:color="auto"/>
        <w:left w:val="none" w:sz="0" w:space="0" w:color="auto"/>
        <w:bottom w:val="none" w:sz="0" w:space="0" w:color="auto"/>
        <w:right w:val="none" w:sz="0" w:space="0" w:color="auto"/>
      </w:divBdr>
    </w:div>
    <w:div w:id="1331443293">
      <w:bodyDiv w:val="1"/>
      <w:marLeft w:val="0"/>
      <w:marRight w:val="0"/>
      <w:marTop w:val="0"/>
      <w:marBottom w:val="0"/>
      <w:divBdr>
        <w:top w:val="none" w:sz="0" w:space="0" w:color="auto"/>
        <w:left w:val="none" w:sz="0" w:space="0" w:color="auto"/>
        <w:bottom w:val="none" w:sz="0" w:space="0" w:color="auto"/>
        <w:right w:val="none" w:sz="0" w:space="0" w:color="auto"/>
      </w:divBdr>
    </w:div>
    <w:div w:id="1418211534">
      <w:bodyDiv w:val="1"/>
      <w:marLeft w:val="0"/>
      <w:marRight w:val="0"/>
      <w:marTop w:val="0"/>
      <w:marBottom w:val="0"/>
      <w:divBdr>
        <w:top w:val="none" w:sz="0" w:space="0" w:color="auto"/>
        <w:left w:val="none" w:sz="0" w:space="0" w:color="auto"/>
        <w:bottom w:val="none" w:sz="0" w:space="0" w:color="auto"/>
        <w:right w:val="none" w:sz="0" w:space="0" w:color="auto"/>
      </w:divBdr>
    </w:div>
    <w:div w:id="1450201981">
      <w:bodyDiv w:val="1"/>
      <w:marLeft w:val="0"/>
      <w:marRight w:val="0"/>
      <w:marTop w:val="0"/>
      <w:marBottom w:val="0"/>
      <w:divBdr>
        <w:top w:val="none" w:sz="0" w:space="0" w:color="auto"/>
        <w:left w:val="none" w:sz="0" w:space="0" w:color="auto"/>
        <w:bottom w:val="none" w:sz="0" w:space="0" w:color="auto"/>
        <w:right w:val="none" w:sz="0" w:space="0" w:color="auto"/>
      </w:divBdr>
    </w:div>
    <w:div w:id="1497181949">
      <w:bodyDiv w:val="1"/>
      <w:marLeft w:val="0"/>
      <w:marRight w:val="0"/>
      <w:marTop w:val="0"/>
      <w:marBottom w:val="0"/>
      <w:divBdr>
        <w:top w:val="none" w:sz="0" w:space="0" w:color="auto"/>
        <w:left w:val="none" w:sz="0" w:space="0" w:color="auto"/>
        <w:bottom w:val="none" w:sz="0" w:space="0" w:color="auto"/>
        <w:right w:val="none" w:sz="0" w:space="0" w:color="auto"/>
      </w:divBdr>
    </w:div>
    <w:div w:id="1842163252">
      <w:bodyDiv w:val="1"/>
      <w:marLeft w:val="0"/>
      <w:marRight w:val="0"/>
      <w:marTop w:val="0"/>
      <w:marBottom w:val="0"/>
      <w:divBdr>
        <w:top w:val="none" w:sz="0" w:space="0" w:color="auto"/>
        <w:left w:val="none" w:sz="0" w:space="0" w:color="auto"/>
        <w:bottom w:val="none" w:sz="0" w:space="0" w:color="auto"/>
        <w:right w:val="none" w:sz="0" w:space="0" w:color="auto"/>
      </w:divBdr>
    </w:div>
    <w:div w:id="1849245023">
      <w:bodyDiv w:val="1"/>
      <w:marLeft w:val="0"/>
      <w:marRight w:val="0"/>
      <w:marTop w:val="0"/>
      <w:marBottom w:val="0"/>
      <w:divBdr>
        <w:top w:val="none" w:sz="0" w:space="0" w:color="auto"/>
        <w:left w:val="none" w:sz="0" w:space="0" w:color="auto"/>
        <w:bottom w:val="none" w:sz="0" w:space="0" w:color="auto"/>
        <w:right w:val="none" w:sz="0" w:space="0" w:color="auto"/>
      </w:divBdr>
    </w:div>
    <w:div w:id="1974945637">
      <w:bodyDiv w:val="1"/>
      <w:marLeft w:val="0"/>
      <w:marRight w:val="0"/>
      <w:marTop w:val="0"/>
      <w:marBottom w:val="0"/>
      <w:divBdr>
        <w:top w:val="none" w:sz="0" w:space="0" w:color="auto"/>
        <w:left w:val="none" w:sz="0" w:space="0" w:color="auto"/>
        <w:bottom w:val="none" w:sz="0" w:space="0" w:color="auto"/>
        <w:right w:val="none" w:sz="0" w:space="0" w:color="auto"/>
      </w:divBdr>
      <w:divsChild>
        <w:div w:id="536240985">
          <w:marLeft w:val="0"/>
          <w:marRight w:val="0"/>
          <w:marTop w:val="0"/>
          <w:marBottom w:val="0"/>
          <w:divBdr>
            <w:top w:val="none" w:sz="0" w:space="0" w:color="auto"/>
            <w:left w:val="none" w:sz="0" w:space="0" w:color="auto"/>
            <w:bottom w:val="none" w:sz="0" w:space="0" w:color="auto"/>
            <w:right w:val="none" w:sz="0" w:space="0" w:color="auto"/>
          </w:divBdr>
          <w:divsChild>
            <w:div w:id="1441334516">
              <w:marLeft w:val="0"/>
              <w:marRight w:val="0"/>
              <w:marTop w:val="0"/>
              <w:marBottom w:val="0"/>
              <w:divBdr>
                <w:top w:val="none" w:sz="0" w:space="0" w:color="auto"/>
                <w:left w:val="none" w:sz="0" w:space="0" w:color="auto"/>
                <w:bottom w:val="none" w:sz="0" w:space="0" w:color="auto"/>
                <w:right w:val="none" w:sz="0" w:space="0" w:color="auto"/>
              </w:divBdr>
              <w:divsChild>
                <w:div w:id="955067027">
                  <w:marLeft w:val="15"/>
                  <w:marRight w:val="15"/>
                  <w:marTop w:val="0"/>
                  <w:marBottom w:val="0"/>
                  <w:divBdr>
                    <w:top w:val="single" w:sz="6" w:space="0" w:color="FFFFFF"/>
                    <w:left w:val="single" w:sz="6" w:space="0" w:color="FFFFFF"/>
                    <w:bottom w:val="single" w:sz="6" w:space="11" w:color="FFFFFF"/>
                    <w:right w:val="single" w:sz="6" w:space="0" w:color="FFFFFF"/>
                  </w:divBdr>
                  <w:divsChild>
                    <w:div w:id="1469322083">
                      <w:marLeft w:val="300"/>
                      <w:marRight w:val="300"/>
                      <w:marTop w:val="300"/>
                      <w:marBottom w:val="0"/>
                      <w:divBdr>
                        <w:top w:val="none" w:sz="0" w:space="0" w:color="auto"/>
                        <w:left w:val="none" w:sz="0" w:space="0" w:color="auto"/>
                        <w:bottom w:val="none" w:sz="0" w:space="0" w:color="auto"/>
                        <w:right w:val="none" w:sz="0" w:space="0" w:color="auto"/>
                      </w:divBdr>
                      <w:divsChild>
                        <w:div w:id="1690596532">
                          <w:marLeft w:val="0"/>
                          <w:marRight w:val="0"/>
                          <w:marTop w:val="0"/>
                          <w:marBottom w:val="15"/>
                          <w:divBdr>
                            <w:top w:val="single" w:sz="6" w:space="12" w:color="C8C8C8"/>
                            <w:left w:val="single" w:sz="6" w:space="15" w:color="C8C8C8"/>
                            <w:bottom w:val="single" w:sz="6" w:space="0" w:color="C8C8C8"/>
                            <w:right w:val="single" w:sz="6" w:space="15" w:color="C8C8C8"/>
                          </w:divBdr>
                        </w:div>
                      </w:divsChild>
                    </w:div>
                  </w:divsChild>
                </w:div>
              </w:divsChild>
            </w:div>
          </w:divsChild>
        </w:div>
      </w:divsChild>
    </w:div>
    <w:div w:id="199794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9EB40-52BD-451A-AE2F-813C7C53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1624</Words>
  <Characters>9262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FORMAT FOR AN EXPLANATORY MEMORANDUM- GENERAL</vt:lpstr>
    </vt:vector>
  </TitlesOfParts>
  <Company>Department of Agriculture Fisheries &amp; Forestry</Company>
  <LinksUpToDate>false</LinksUpToDate>
  <CharactersWithSpaces>10865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MEMORANDUM- GENERAL</dc:title>
  <dc:creator>palfreyman louise</dc:creator>
  <cp:lastModifiedBy>Hilhorst, Matt</cp:lastModifiedBy>
  <cp:revision>2</cp:revision>
  <cp:lastPrinted>2013-07-08T07:02:00Z</cp:lastPrinted>
  <dcterms:created xsi:type="dcterms:W3CDTF">2014-06-27T06:17:00Z</dcterms:created>
  <dcterms:modified xsi:type="dcterms:W3CDTF">2014-06-27T06:17:00Z</dcterms:modified>
</cp:coreProperties>
</file>