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BD" w:rsidRPr="002C6D26" w:rsidRDefault="00F80D17" w:rsidP="00DF7DA0">
      <w:pPr>
        <w:pStyle w:val="Heading"/>
        <w:spacing w:after="240"/>
        <w:jc w:val="center"/>
        <w:rPr>
          <w:rFonts w:ascii="Times New Roman" w:hAnsi="Times New Roman"/>
          <w:sz w:val="24"/>
          <w:szCs w:val="24"/>
        </w:rPr>
      </w:pPr>
      <w:bookmarkStart w:id="0" w:name="_GoBack"/>
      <w:bookmarkEnd w:id="0"/>
      <w:r>
        <w:rPr>
          <w:rFonts w:ascii="Times New Roman" w:hAnsi="Times New Roman"/>
          <w:sz w:val="24"/>
          <w:szCs w:val="24"/>
        </w:rPr>
        <w:t>Insurance</w:t>
      </w:r>
      <w:r w:rsidR="002436BD" w:rsidRPr="002C6D26">
        <w:rPr>
          <w:rFonts w:ascii="Times New Roman" w:hAnsi="Times New Roman"/>
          <w:sz w:val="24"/>
          <w:szCs w:val="24"/>
        </w:rPr>
        <w:t xml:space="preserve"> (prudential standard) determination No. </w:t>
      </w:r>
      <w:r w:rsidR="00BD71BB">
        <w:rPr>
          <w:rFonts w:ascii="Times New Roman" w:hAnsi="Times New Roman"/>
          <w:sz w:val="24"/>
          <w:szCs w:val="24"/>
        </w:rPr>
        <w:t>1</w:t>
      </w:r>
      <w:r w:rsidR="002436BD" w:rsidRPr="002C6D26">
        <w:rPr>
          <w:rFonts w:ascii="Times New Roman" w:hAnsi="Times New Roman"/>
          <w:sz w:val="24"/>
          <w:szCs w:val="24"/>
        </w:rPr>
        <w:t xml:space="preserve"> of 20</w:t>
      </w:r>
      <w:r>
        <w:rPr>
          <w:rFonts w:ascii="Times New Roman" w:hAnsi="Times New Roman"/>
          <w:sz w:val="24"/>
          <w:szCs w:val="24"/>
        </w:rPr>
        <w:t>14</w:t>
      </w:r>
    </w:p>
    <w:p w:rsidR="002436BD" w:rsidRPr="002C6D26" w:rsidRDefault="002436BD" w:rsidP="00DF7DA0">
      <w:pPr>
        <w:pStyle w:val="Heading"/>
        <w:tabs>
          <w:tab w:val="left" w:pos="360"/>
        </w:tabs>
        <w:spacing w:after="240"/>
        <w:jc w:val="center"/>
        <w:rPr>
          <w:rFonts w:ascii="Times New Roman" w:hAnsi="Times New Roman"/>
          <w:sz w:val="24"/>
          <w:szCs w:val="24"/>
          <w:u w:val="single"/>
        </w:rPr>
      </w:pPr>
      <w:bookmarkStart w:id="1" w:name="bkInstrumentSubTitle"/>
      <w:bookmarkEnd w:id="1"/>
      <w:r w:rsidRPr="002C6D26">
        <w:rPr>
          <w:rFonts w:ascii="Times New Roman" w:hAnsi="Times New Roman"/>
          <w:sz w:val="24"/>
          <w:szCs w:val="24"/>
          <w:u w:val="single"/>
        </w:rPr>
        <w:t>EXPLANATORY STATEMENT</w:t>
      </w:r>
    </w:p>
    <w:p w:rsidR="002436BD" w:rsidRPr="002C6D26" w:rsidRDefault="002436BD" w:rsidP="00DF7DA0">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rsidR="002436BD" w:rsidRPr="002C6D26" w:rsidRDefault="00F80D17" w:rsidP="00DF7DA0">
      <w:pPr>
        <w:pStyle w:val="Heading"/>
        <w:tabs>
          <w:tab w:val="left" w:pos="360"/>
        </w:tabs>
        <w:spacing w:after="240"/>
        <w:jc w:val="center"/>
        <w:rPr>
          <w:rFonts w:ascii="Times New Roman" w:hAnsi="Times New Roman"/>
          <w:b w:val="0"/>
          <w:sz w:val="24"/>
          <w:szCs w:val="24"/>
        </w:rPr>
      </w:pPr>
      <w:r>
        <w:rPr>
          <w:rFonts w:ascii="Times New Roman" w:hAnsi="Times New Roman"/>
          <w:b w:val="0"/>
          <w:i/>
          <w:sz w:val="24"/>
          <w:szCs w:val="24"/>
        </w:rPr>
        <w:t>Insurance Act 1973</w:t>
      </w:r>
      <w:r w:rsidR="002436BD" w:rsidRPr="002C6D26">
        <w:rPr>
          <w:rFonts w:ascii="Times New Roman" w:hAnsi="Times New Roman"/>
          <w:b w:val="0"/>
          <w:sz w:val="24"/>
          <w:szCs w:val="24"/>
        </w:rPr>
        <w:t xml:space="preserve">, </w:t>
      </w:r>
      <w:r w:rsidR="002436BD" w:rsidRPr="002C6D26">
        <w:rPr>
          <w:rFonts w:ascii="Times New Roman" w:hAnsi="Times New Roman"/>
          <w:b w:val="0"/>
          <w:color w:val="000000"/>
          <w:sz w:val="24"/>
          <w:szCs w:val="24"/>
        </w:rPr>
        <w:t xml:space="preserve">section </w:t>
      </w:r>
      <w:r>
        <w:rPr>
          <w:rFonts w:ascii="Times New Roman" w:hAnsi="Times New Roman"/>
          <w:b w:val="0"/>
          <w:color w:val="000000"/>
          <w:sz w:val="24"/>
          <w:szCs w:val="24"/>
        </w:rPr>
        <w:t>32</w:t>
      </w:r>
    </w:p>
    <w:p w:rsidR="002436BD" w:rsidRPr="002C6D26" w:rsidRDefault="002436BD" w:rsidP="00DF7DA0">
      <w:pPr>
        <w:widowControl w:val="0"/>
        <w:spacing w:after="240"/>
        <w:jc w:val="both"/>
        <w:rPr>
          <w:rFonts w:ascii="Times New Roman" w:hAnsi="Times New Roman"/>
          <w:sz w:val="24"/>
          <w:szCs w:val="24"/>
        </w:rPr>
      </w:pPr>
      <w:bookmarkStart w:id="2" w:name="bkAct"/>
      <w:bookmarkStart w:id="3" w:name="bkExplanatory"/>
      <w:bookmarkEnd w:id="2"/>
      <w:bookmarkEnd w:id="3"/>
      <w:r w:rsidRPr="002C6D26">
        <w:rPr>
          <w:rFonts w:ascii="Times New Roman" w:hAnsi="Times New Roman"/>
          <w:sz w:val="24"/>
          <w:szCs w:val="24"/>
        </w:rPr>
        <w:t xml:space="preserve">Under subsection </w:t>
      </w:r>
      <w:r w:rsidR="00F80D17">
        <w:rPr>
          <w:rFonts w:ascii="Times New Roman" w:hAnsi="Times New Roman"/>
          <w:sz w:val="24"/>
          <w:szCs w:val="24"/>
        </w:rPr>
        <w:t>32</w:t>
      </w:r>
      <w:r w:rsidRPr="002C6D26">
        <w:rPr>
          <w:rFonts w:ascii="Times New Roman" w:hAnsi="Times New Roman"/>
          <w:sz w:val="24"/>
          <w:szCs w:val="24"/>
        </w:rPr>
        <w:t xml:space="preserve">(1) of the </w:t>
      </w:r>
      <w:r w:rsidR="00F80D17">
        <w:rPr>
          <w:rFonts w:ascii="Times New Roman" w:hAnsi="Times New Roman"/>
          <w:i/>
          <w:sz w:val="24"/>
          <w:szCs w:val="24"/>
        </w:rPr>
        <w:t>Insurance</w:t>
      </w:r>
      <w:r w:rsidRPr="002C6D26">
        <w:rPr>
          <w:rFonts w:ascii="Times New Roman" w:hAnsi="Times New Roman"/>
          <w:i/>
          <w:sz w:val="24"/>
          <w:szCs w:val="24"/>
        </w:rPr>
        <w:t xml:space="preserve"> Act 19</w:t>
      </w:r>
      <w:r w:rsidR="00F80D17">
        <w:rPr>
          <w:rFonts w:ascii="Times New Roman" w:hAnsi="Times New Roman"/>
          <w:i/>
          <w:sz w:val="24"/>
          <w:szCs w:val="24"/>
        </w:rPr>
        <w:t>73</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has the power to determine standards </w:t>
      </w:r>
      <w:r w:rsidRPr="007428D4">
        <w:rPr>
          <w:rFonts w:ascii="Times New Roman" w:hAnsi="Times New Roman"/>
          <w:sz w:val="24"/>
          <w:szCs w:val="24"/>
        </w:rPr>
        <w:t>(prudential standards),</w:t>
      </w:r>
      <w:r w:rsidRPr="002C6D26">
        <w:rPr>
          <w:rFonts w:ascii="Times New Roman" w:hAnsi="Times New Roman"/>
          <w:sz w:val="24"/>
          <w:szCs w:val="24"/>
        </w:rPr>
        <w:t xml:space="preserve"> in writing, in relation to prudential matters to be complied with by </w:t>
      </w:r>
      <w:r w:rsidR="00F80D17">
        <w:rPr>
          <w:rFonts w:ascii="Times New Roman" w:hAnsi="Times New Roman"/>
          <w:sz w:val="24"/>
          <w:szCs w:val="24"/>
        </w:rPr>
        <w:t>general insurers</w:t>
      </w:r>
      <w:r w:rsidRPr="002C6D26">
        <w:rPr>
          <w:rFonts w:ascii="Times New Roman" w:hAnsi="Times New Roman"/>
          <w:sz w:val="24"/>
          <w:szCs w:val="24"/>
        </w:rPr>
        <w:t xml:space="preserve"> and authorised non-operating holding companies </w:t>
      </w:r>
      <w:r w:rsidRPr="007428D4">
        <w:rPr>
          <w:rFonts w:ascii="Times New Roman" w:hAnsi="Times New Roman"/>
          <w:sz w:val="24"/>
          <w:szCs w:val="24"/>
        </w:rPr>
        <w:t>(authorised NOHCs).</w:t>
      </w:r>
      <w:r w:rsidR="00F30C81" w:rsidRPr="00F30C81">
        <w:rPr>
          <w:rFonts w:ascii="Times New Roman" w:hAnsi="Times New Roman"/>
          <w:sz w:val="24"/>
          <w:szCs w:val="24"/>
        </w:rPr>
        <w:t xml:space="preserve"> Under subsection </w:t>
      </w:r>
      <w:r w:rsidR="00F80D17">
        <w:rPr>
          <w:rFonts w:ascii="Times New Roman" w:hAnsi="Times New Roman"/>
          <w:sz w:val="24"/>
          <w:szCs w:val="24"/>
        </w:rPr>
        <w:t>32</w:t>
      </w:r>
      <w:r w:rsidR="00F30C81" w:rsidRPr="00F30C81">
        <w:rPr>
          <w:rFonts w:ascii="Times New Roman" w:hAnsi="Times New Roman"/>
          <w:sz w:val="24"/>
          <w:szCs w:val="24"/>
        </w:rPr>
        <w:t>(</w:t>
      </w:r>
      <w:r w:rsidR="00F80D17">
        <w:rPr>
          <w:rFonts w:ascii="Times New Roman" w:hAnsi="Times New Roman"/>
          <w:sz w:val="24"/>
          <w:szCs w:val="24"/>
        </w:rPr>
        <w:t>4</w:t>
      </w:r>
      <w:r w:rsidR="00F30C81" w:rsidRPr="00F30C81">
        <w:rPr>
          <w:rFonts w:ascii="Times New Roman" w:hAnsi="Times New Roman"/>
          <w:sz w:val="24"/>
          <w:szCs w:val="24"/>
        </w:rPr>
        <w:t>) of the Act, APRA may, in writing, vary or revoke a prudential standard.</w:t>
      </w:r>
    </w:p>
    <w:p w:rsidR="00246723" w:rsidRDefault="002436BD" w:rsidP="00DF7DA0">
      <w:pPr>
        <w:widowControl w:val="0"/>
        <w:spacing w:after="240"/>
        <w:jc w:val="both"/>
        <w:rPr>
          <w:rFonts w:ascii="Times New Roman" w:hAnsi="Times New Roman"/>
          <w:sz w:val="24"/>
          <w:szCs w:val="24"/>
        </w:rPr>
      </w:pPr>
      <w:r>
        <w:rPr>
          <w:rFonts w:ascii="Times New Roman" w:hAnsi="Times New Roman"/>
          <w:sz w:val="24"/>
          <w:szCs w:val="24"/>
        </w:rPr>
        <w:t xml:space="preserve">On </w:t>
      </w:r>
      <w:r w:rsidR="009C7C5A">
        <w:rPr>
          <w:rFonts w:ascii="Times New Roman" w:hAnsi="Times New Roman"/>
          <w:sz w:val="24"/>
          <w:szCs w:val="24"/>
        </w:rPr>
        <w:t>17 June 2014</w:t>
      </w:r>
      <w:r>
        <w:rPr>
          <w:rFonts w:ascii="Times New Roman" w:hAnsi="Times New Roman"/>
          <w:sz w:val="24"/>
          <w:szCs w:val="24"/>
        </w:rPr>
        <w:t xml:space="preserve">, APRA made </w:t>
      </w:r>
      <w:r w:rsidR="00F80D17">
        <w:rPr>
          <w:rFonts w:ascii="Times New Roman" w:hAnsi="Times New Roman"/>
          <w:sz w:val="24"/>
          <w:szCs w:val="24"/>
        </w:rPr>
        <w:t>Insurance</w:t>
      </w:r>
      <w:r w:rsidRPr="002C6D26">
        <w:rPr>
          <w:rFonts w:ascii="Times New Roman" w:hAnsi="Times New Roman"/>
          <w:sz w:val="24"/>
          <w:szCs w:val="24"/>
        </w:rPr>
        <w:t xml:space="preserve"> (prudential standard) determination No. </w:t>
      </w:r>
      <w:r w:rsidR="00BD71BB">
        <w:rPr>
          <w:rFonts w:ascii="Times New Roman" w:hAnsi="Times New Roman"/>
          <w:sz w:val="24"/>
          <w:szCs w:val="24"/>
        </w:rPr>
        <w:t>1</w:t>
      </w:r>
      <w:r w:rsidRPr="002C6D26">
        <w:rPr>
          <w:rFonts w:ascii="Times New Roman" w:hAnsi="Times New Roman"/>
          <w:sz w:val="24"/>
          <w:szCs w:val="24"/>
        </w:rPr>
        <w:t xml:space="preserve"> of 20</w:t>
      </w:r>
      <w:r w:rsidR="00F80D17">
        <w:rPr>
          <w:rFonts w:ascii="Times New Roman" w:hAnsi="Times New Roman"/>
          <w:sz w:val="24"/>
          <w:szCs w:val="24"/>
        </w:rPr>
        <w:t>14</w:t>
      </w:r>
      <w:r w:rsidRPr="002C6D26">
        <w:rPr>
          <w:rFonts w:ascii="Times New Roman" w:hAnsi="Times New Roman"/>
          <w:sz w:val="24"/>
          <w:szCs w:val="24"/>
        </w:rPr>
        <w:t xml:space="preserve"> </w:t>
      </w:r>
      <w:r>
        <w:rPr>
          <w:rFonts w:ascii="Times New Roman" w:hAnsi="Times New Roman"/>
          <w:sz w:val="24"/>
          <w:szCs w:val="24"/>
        </w:rPr>
        <w:t xml:space="preserve">(the instrument) which </w:t>
      </w:r>
      <w:r w:rsidR="009927BF">
        <w:rPr>
          <w:rFonts w:ascii="Times New Roman" w:hAnsi="Times New Roman"/>
          <w:sz w:val="24"/>
          <w:szCs w:val="24"/>
        </w:rPr>
        <w:t xml:space="preserve">revokes </w:t>
      </w:r>
      <w:r w:rsidR="009927BF" w:rsidRPr="009927BF">
        <w:rPr>
          <w:rFonts w:ascii="Times New Roman" w:hAnsi="Times New Roman"/>
          <w:i/>
          <w:sz w:val="24"/>
          <w:szCs w:val="24"/>
        </w:rPr>
        <w:t xml:space="preserve">Prudential Standard </w:t>
      </w:r>
      <w:r w:rsidR="00F80D17">
        <w:rPr>
          <w:rFonts w:ascii="Times New Roman" w:hAnsi="Times New Roman"/>
          <w:i/>
          <w:sz w:val="24"/>
          <w:szCs w:val="24"/>
        </w:rPr>
        <w:t>GPS 117 Capital Adequacy: Asset Concentration Risk Charge</w:t>
      </w:r>
      <w:r w:rsidR="009927BF" w:rsidRPr="009927BF">
        <w:rPr>
          <w:rFonts w:ascii="Times New Roman" w:hAnsi="Times New Roman"/>
          <w:sz w:val="24"/>
          <w:szCs w:val="24"/>
        </w:rPr>
        <w:t xml:space="preserve"> </w:t>
      </w:r>
      <w:r w:rsidR="009927BF">
        <w:rPr>
          <w:rFonts w:ascii="Times New Roman" w:hAnsi="Times New Roman"/>
          <w:sz w:val="24"/>
          <w:szCs w:val="24"/>
        </w:rPr>
        <w:t xml:space="preserve">made </w:t>
      </w:r>
      <w:r w:rsidR="009927BF" w:rsidRPr="009927BF">
        <w:rPr>
          <w:rFonts w:ascii="Times New Roman" w:hAnsi="Times New Roman"/>
          <w:sz w:val="24"/>
          <w:szCs w:val="24"/>
        </w:rPr>
        <w:t xml:space="preserve">under </w:t>
      </w:r>
      <w:r w:rsidR="00F80D17">
        <w:rPr>
          <w:rFonts w:ascii="Times New Roman" w:hAnsi="Times New Roman"/>
          <w:sz w:val="24"/>
          <w:szCs w:val="24"/>
        </w:rPr>
        <w:t>Insurance</w:t>
      </w:r>
      <w:r w:rsidR="009927BF" w:rsidRPr="009927BF">
        <w:rPr>
          <w:rFonts w:ascii="Times New Roman" w:hAnsi="Times New Roman"/>
          <w:sz w:val="24"/>
          <w:szCs w:val="24"/>
        </w:rPr>
        <w:t xml:space="preserve"> (prudential standard) determination No. </w:t>
      </w:r>
      <w:r w:rsidR="00F80D17">
        <w:rPr>
          <w:rFonts w:ascii="Times New Roman" w:hAnsi="Times New Roman"/>
          <w:sz w:val="24"/>
          <w:szCs w:val="24"/>
        </w:rPr>
        <w:t>7</w:t>
      </w:r>
      <w:r w:rsidR="009927BF" w:rsidRPr="009927BF">
        <w:rPr>
          <w:rFonts w:ascii="Times New Roman" w:hAnsi="Times New Roman"/>
          <w:sz w:val="24"/>
          <w:szCs w:val="24"/>
        </w:rPr>
        <w:t xml:space="preserve"> of 20</w:t>
      </w:r>
      <w:r w:rsidR="00B05209">
        <w:rPr>
          <w:rFonts w:ascii="Times New Roman" w:hAnsi="Times New Roman"/>
          <w:sz w:val="24"/>
          <w:szCs w:val="24"/>
        </w:rPr>
        <w:t>12</w:t>
      </w:r>
      <w:r w:rsidR="009927BF">
        <w:rPr>
          <w:rFonts w:ascii="Times New Roman" w:hAnsi="Times New Roman"/>
          <w:sz w:val="24"/>
          <w:szCs w:val="24"/>
        </w:rPr>
        <w:t xml:space="preserve"> and </w:t>
      </w:r>
      <w:r w:rsidRPr="002C6D26">
        <w:rPr>
          <w:rFonts w:ascii="Times New Roman" w:hAnsi="Times New Roman"/>
          <w:sz w:val="24"/>
          <w:szCs w:val="24"/>
        </w:rPr>
        <w:t xml:space="preserve">determines </w:t>
      </w:r>
      <w:r w:rsidR="00E758B5">
        <w:rPr>
          <w:rFonts w:ascii="Times New Roman" w:hAnsi="Times New Roman"/>
          <w:sz w:val="24"/>
          <w:szCs w:val="24"/>
        </w:rPr>
        <w:t xml:space="preserve">a new </w:t>
      </w:r>
      <w:r w:rsidR="00B05209">
        <w:rPr>
          <w:rFonts w:ascii="Times New Roman" w:hAnsi="Times New Roman"/>
          <w:i/>
          <w:sz w:val="24"/>
          <w:szCs w:val="24"/>
        </w:rPr>
        <w:t>Prudential Standard GPS 117 Capital Adequacy: Asset Concentration Risk Charge</w:t>
      </w:r>
      <w:r>
        <w:rPr>
          <w:rFonts w:ascii="Times New Roman" w:hAnsi="Times New Roman"/>
          <w:i/>
          <w:sz w:val="24"/>
          <w:szCs w:val="24"/>
        </w:rPr>
        <w:t xml:space="preserve"> </w:t>
      </w:r>
      <w:r>
        <w:rPr>
          <w:rFonts w:ascii="Times New Roman" w:hAnsi="Times New Roman"/>
          <w:sz w:val="24"/>
          <w:szCs w:val="24"/>
        </w:rPr>
        <w:t>(</w:t>
      </w:r>
      <w:r w:rsidR="00B05209">
        <w:rPr>
          <w:rFonts w:ascii="Times New Roman" w:hAnsi="Times New Roman"/>
          <w:sz w:val="24"/>
          <w:szCs w:val="24"/>
        </w:rPr>
        <w:t>GPS 117</w:t>
      </w:r>
      <w:r>
        <w:rPr>
          <w:rFonts w:ascii="Times New Roman" w:hAnsi="Times New Roman"/>
          <w:sz w:val="24"/>
          <w:szCs w:val="24"/>
        </w:rPr>
        <w:t>)</w:t>
      </w:r>
      <w:r w:rsidR="00246723">
        <w:rPr>
          <w:rFonts w:ascii="Times New Roman" w:hAnsi="Times New Roman"/>
          <w:sz w:val="24"/>
          <w:szCs w:val="24"/>
        </w:rPr>
        <w:t>.</w:t>
      </w:r>
      <w:r w:rsidR="00003D3A" w:rsidRPr="00003D3A">
        <w:t xml:space="preserve"> </w:t>
      </w:r>
    </w:p>
    <w:p w:rsidR="002436BD" w:rsidRDefault="00246723" w:rsidP="00DF7DA0">
      <w:pPr>
        <w:widowControl w:val="0"/>
        <w:spacing w:after="240"/>
        <w:jc w:val="both"/>
        <w:rPr>
          <w:rFonts w:ascii="Times New Roman" w:hAnsi="Times New Roman"/>
          <w:sz w:val="24"/>
          <w:szCs w:val="24"/>
        </w:rPr>
      </w:pPr>
      <w:r>
        <w:rPr>
          <w:rFonts w:ascii="Times New Roman" w:hAnsi="Times New Roman"/>
          <w:sz w:val="24"/>
          <w:szCs w:val="24"/>
        </w:rPr>
        <w:t xml:space="preserve">The instrument commences </w:t>
      </w:r>
      <w:r w:rsidR="00B07796">
        <w:rPr>
          <w:rFonts w:ascii="Times New Roman" w:hAnsi="Times New Roman"/>
          <w:sz w:val="24"/>
          <w:szCs w:val="24"/>
        </w:rPr>
        <w:t>on 1 July 2014</w:t>
      </w:r>
      <w:r w:rsidR="002436BD" w:rsidRPr="002C6D26">
        <w:rPr>
          <w:rFonts w:ascii="Times New Roman" w:hAnsi="Times New Roman"/>
          <w:sz w:val="24"/>
          <w:szCs w:val="24"/>
        </w:rPr>
        <w:t xml:space="preserve">. </w:t>
      </w:r>
    </w:p>
    <w:p w:rsidR="002436BD" w:rsidRDefault="002436BD" w:rsidP="00DF7DA0">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Background</w:t>
      </w:r>
    </w:p>
    <w:p w:rsidR="000C380F" w:rsidRPr="000C380F" w:rsidRDefault="000C380F" w:rsidP="000C380F">
      <w:pPr>
        <w:jc w:val="both"/>
        <w:rPr>
          <w:rFonts w:ascii="Times New Roman" w:hAnsi="Times New Roman"/>
          <w:sz w:val="24"/>
          <w:szCs w:val="24"/>
        </w:rPr>
      </w:pPr>
      <w:r w:rsidRPr="000C380F">
        <w:rPr>
          <w:rFonts w:ascii="Times New Roman" w:hAnsi="Times New Roman"/>
          <w:sz w:val="24"/>
          <w:szCs w:val="24"/>
        </w:rPr>
        <w:t xml:space="preserve">The Asset Concentration Risk Charge relates to the risk of an insurer’s concentrations in exposures to a particular asset, counterparty or group of related counterparties resulting in adverse movements in the regulated institution’s capital base. </w:t>
      </w:r>
      <w:r w:rsidR="006E434A" w:rsidRPr="000C380F">
        <w:rPr>
          <w:rFonts w:ascii="Times New Roman" w:hAnsi="Times New Roman"/>
          <w:sz w:val="24"/>
          <w:szCs w:val="24"/>
        </w:rPr>
        <w:t>GPS 117</w:t>
      </w:r>
      <w:r w:rsidR="00981CF1">
        <w:rPr>
          <w:rFonts w:ascii="Times New Roman" w:hAnsi="Times New Roman"/>
          <w:sz w:val="24"/>
          <w:szCs w:val="24"/>
        </w:rPr>
        <w:t>, applicable to general insurers and Level 2 insurance groups,</w:t>
      </w:r>
      <w:r w:rsidR="006E434A" w:rsidRPr="000C380F">
        <w:rPr>
          <w:rFonts w:ascii="Times New Roman" w:hAnsi="Times New Roman"/>
          <w:sz w:val="24"/>
          <w:szCs w:val="24"/>
        </w:rPr>
        <w:t xml:space="preserve"> sets out the method for calculating the Asset Concentration Risk Charge.</w:t>
      </w:r>
    </w:p>
    <w:p w:rsidR="00493F5B" w:rsidRDefault="00493F5B" w:rsidP="00493F5B">
      <w:pPr>
        <w:jc w:val="both"/>
        <w:rPr>
          <w:i/>
        </w:rPr>
      </w:pPr>
    </w:p>
    <w:p w:rsidR="00493F5B" w:rsidRPr="00EF12D3" w:rsidRDefault="00493F5B" w:rsidP="00493F5B">
      <w:pPr>
        <w:jc w:val="both"/>
        <w:rPr>
          <w:rFonts w:ascii="Times New Roman" w:hAnsi="Times New Roman"/>
          <w:sz w:val="24"/>
          <w:szCs w:val="24"/>
        </w:rPr>
      </w:pPr>
      <w:r w:rsidRPr="00EF12D3">
        <w:rPr>
          <w:rFonts w:ascii="Times New Roman" w:hAnsi="Times New Roman"/>
          <w:sz w:val="24"/>
          <w:szCs w:val="24"/>
        </w:rPr>
        <w:t>The Asset Concentration Risk Charge for each exposure of an insurer to a particular asset, counterparty or group of related counterparties is the amount by which this exposure exceeds the limits set out in Attachment A of GPS 117. Separate treatment applies for reinsurance exposures and non-reinsurance exposures.</w:t>
      </w:r>
    </w:p>
    <w:p w:rsidR="00493F5B" w:rsidRDefault="00493F5B" w:rsidP="00493F5B">
      <w:pPr>
        <w:jc w:val="both"/>
      </w:pPr>
    </w:p>
    <w:p w:rsidR="002436BD" w:rsidRDefault="002436BD" w:rsidP="00DF7DA0">
      <w:pPr>
        <w:pStyle w:val="Heading"/>
        <w:keepNext/>
        <w:numPr>
          <w:ilvl w:val="0"/>
          <w:numId w:val="2"/>
        </w:numPr>
        <w:spacing w:after="240"/>
        <w:ind w:left="0" w:firstLine="0"/>
        <w:outlineLvl w:val="0"/>
        <w:rPr>
          <w:rFonts w:ascii="Times New Roman" w:hAnsi="Times New Roman"/>
          <w:sz w:val="24"/>
          <w:szCs w:val="24"/>
        </w:rPr>
      </w:pPr>
      <w:bookmarkStart w:id="4" w:name="bkBackground"/>
      <w:bookmarkEnd w:id="4"/>
      <w:r w:rsidRPr="002C6D26">
        <w:rPr>
          <w:rFonts w:ascii="Times New Roman" w:hAnsi="Times New Roman"/>
          <w:sz w:val="24"/>
          <w:szCs w:val="24"/>
        </w:rPr>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p>
    <w:p w:rsidR="00551378" w:rsidRPr="00551378" w:rsidRDefault="00551378" w:rsidP="00DF7DA0">
      <w:pPr>
        <w:pStyle w:val="Heading"/>
        <w:spacing w:after="240"/>
        <w:rPr>
          <w:rFonts w:ascii="Times New Roman" w:hAnsi="Times New Roman"/>
          <w:b w:val="0"/>
          <w:sz w:val="24"/>
          <w:szCs w:val="24"/>
        </w:rPr>
      </w:pPr>
      <w:bookmarkStart w:id="5" w:name="bkPurpose"/>
      <w:bookmarkEnd w:id="5"/>
      <w:r w:rsidRPr="00551378">
        <w:rPr>
          <w:rFonts w:ascii="Times New Roman" w:hAnsi="Times New Roman"/>
          <w:b w:val="0"/>
          <w:sz w:val="24"/>
          <w:szCs w:val="24"/>
        </w:rPr>
        <w:t xml:space="preserve">The purpose of this instrument is to </w:t>
      </w:r>
      <w:r>
        <w:rPr>
          <w:rFonts w:ascii="Times New Roman" w:hAnsi="Times New Roman"/>
          <w:b w:val="0"/>
          <w:sz w:val="24"/>
          <w:szCs w:val="24"/>
        </w:rPr>
        <w:t>revoke GPS 117 and determine a new GPS 117</w:t>
      </w:r>
      <w:r w:rsidRPr="00551378">
        <w:rPr>
          <w:rFonts w:ascii="Times New Roman" w:hAnsi="Times New Roman"/>
          <w:b w:val="0"/>
          <w:sz w:val="24"/>
          <w:szCs w:val="24"/>
        </w:rPr>
        <w:t xml:space="preserve"> </w:t>
      </w:r>
      <w:r>
        <w:rPr>
          <w:rFonts w:ascii="Times New Roman" w:hAnsi="Times New Roman"/>
          <w:b w:val="0"/>
          <w:sz w:val="24"/>
          <w:szCs w:val="24"/>
        </w:rPr>
        <w:t>to clarify the treatment of certain non-reinsurance exposures for the purposes of the Asset Concentration Risk Charge.</w:t>
      </w:r>
    </w:p>
    <w:p w:rsidR="00534A2F" w:rsidRPr="008D786A" w:rsidRDefault="00DF4C99" w:rsidP="00534A2F">
      <w:pPr>
        <w:jc w:val="both"/>
        <w:rPr>
          <w:rFonts w:ascii="Times New Roman" w:hAnsi="Times New Roman"/>
          <w:sz w:val="24"/>
        </w:rPr>
      </w:pPr>
      <w:r>
        <w:rPr>
          <w:rFonts w:ascii="Times New Roman" w:hAnsi="Times New Roman"/>
          <w:sz w:val="24"/>
        </w:rPr>
        <w:t>APRA has made m</w:t>
      </w:r>
      <w:r w:rsidR="006E434A" w:rsidRPr="008D786A">
        <w:rPr>
          <w:rFonts w:ascii="Times New Roman" w:hAnsi="Times New Roman"/>
          <w:sz w:val="24"/>
        </w:rPr>
        <w:t>inor amendments</w:t>
      </w:r>
      <w:r w:rsidR="00D053BD">
        <w:rPr>
          <w:rFonts w:ascii="Times New Roman" w:hAnsi="Times New Roman"/>
          <w:sz w:val="24"/>
        </w:rPr>
        <w:t xml:space="preserve"> to </w:t>
      </w:r>
      <w:r w:rsidR="00534A2F" w:rsidRPr="008D786A">
        <w:rPr>
          <w:rFonts w:ascii="Times New Roman" w:hAnsi="Times New Roman"/>
          <w:sz w:val="24"/>
        </w:rPr>
        <w:t>the definition of APRA-regulated groups</w:t>
      </w:r>
      <w:r w:rsidR="00FC7A52">
        <w:rPr>
          <w:rFonts w:ascii="Times New Roman" w:hAnsi="Times New Roman"/>
          <w:sz w:val="24"/>
        </w:rPr>
        <w:t xml:space="preserve">. </w:t>
      </w:r>
      <w:r w:rsidR="00534A2F" w:rsidRPr="008D786A">
        <w:rPr>
          <w:rFonts w:ascii="Times New Roman" w:hAnsi="Times New Roman"/>
          <w:sz w:val="24"/>
        </w:rPr>
        <w:t>The definition, provided in paragraph 1</w:t>
      </w:r>
      <w:r w:rsidR="00D053BD">
        <w:rPr>
          <w:rFonts w:ascii="Times New Roman" w:hAnsi="Times New Roman"/>
          <w:sz w:val="24"/>
        </w:rPr>
        <w:t>6</w:t>
      </w:r>
      <w:r w:rsidR="00534A2F" w:rsidRPr="008D786A">
        <w:rPr>
          <w:rFonts w:ascii="Times New Roman" w:hAnsi="Times New Roman"/>
          <w:sz w:val="24"/>
        </w:rPr>
        <w:t xml:space="preserve"> of </w:t>
      </w:r>
      <w:r w:rsidR="00D053BD">
        <w:rPr>
          <w:rFonts w:ascii="Times New Roman" w:hAnsi="Times New Roman"/>
          <w:sz w:val="24"/>
        </w:rPr>
        <w:t xml:space="preserve">the new </w:t>
      </w:r>
      <w:r w:rsidR="00534A2F" w:rsidRPr="008D786A">
        <w:rPr>
          <w:rFonts w:ascii="Times New Roman" w:hAnsi="Times New Roman"/>
          <w:sz w:val="24"/>
        </w:rPr>
        <w:t xml:space="preserve">GPS 117, </w:t>
      </w:r>
      <w:r w:rsidR="00F012F4" w:rsidRPr="008D786A">
        <w:rPr>
          <w:rFonts w:ascii="Times New Roman" w:hAnsi="Times New Roman"/>
          <w:sz w:val="24"/>
        </w:rPr>
        <w:t>is</w:t>
      </w:r>
      <w:r w:rsidR="00534A2F" w:rsidRPr="008D786A">
        <w:rPr>
          <w:rFonts w:ascii="Times New Roman" w:hAnsi="Times New Roman"/>
          <w:sz w:val="24"/>
        </w:rPr>
        <w:t xml:space="preserve"> used to determine the asset concentration limits for non-reinsurance exposures.</w:t>
      </w:r>
    </w:p>
    <w:p w:rsidR="006E434A" w:rsidRPr="008D786A" w:rsidRDefault="006E434A" w:rsidP="00534A2F">
      <w:pPr>
        <w:jc w:val="both"/>
        <w:rPr>
          <w:rFonts w:ascii="Times New Roman" w:hAnsi="Times New Roman"/>
          <w:sz w:val="24"/>
        </w:rPr>
      </w:pPr>
    </w:p>
    <w:p w:rsidR="00534A2F" w:rsidRPr="008D786A" w:rsidRDefault="00322F04" w:rsidP="00534A2F">
      <w:pPr>
        <w:jc w:val="both"/>
        <w:rPr>
          <w:rFonts w:ascii="Times New Roman" w:hAnsi="Times New Roman"/>
          <w:sz w:val="24"/>
        </w:rPr>
      </w:pPr>
      <w:r>
        <w:rPr>
          <w:rFonts w:ascii="Times New Roman" w:hAnsi="Times New Roman"/>
          <w:sz w:val="24"/>
        </w:rPr>
        <w:t>Under the now revoked version of GPS 117, t</w:t>
      </w:r>
      <w:r w:rsidR="00F012F4" w:rsidRPr="008D786A">
        <w:rPr>
          <w:rFonts w:ascii="Times New Roman" w:hAnsi="Times New Roman"/>
          <w:sz w:val="24"/>
        </w:rPr>
        <w:t xml:space="preserve">he </w:t>
      </w:r>
      <w:r w:rsidR="00534A2F" w:rsidRPr="008D786A">
        <w:rPr>
          <w:rFonts w:ascii="Times New Roman" w:hAnsi="Times New Roman"/>
          <w:sz w:val="24"/>
        </w:rPr>
        <w:t>definition</w:t>
      </w:r>
      <w:r w:rsidR="00D053BD">
        <w:rPr>
          <w:rFonts w:ascii="Times New Roman" w:hAnsi="Times New Roman"/>
          <w:sz w:val="24"/>
        </w:rPr>
        <w:t xml:space="preserve"> </w:t>
      </w:r>
      <w:r w:rsidR="00F012F4" w:rsidRPr="008D786A">
        <w:rPr>
          <w:rFonts w:ascii="Times New Roman" w:hAnsi="Times New Roman"/>
          <w:sz w:val="24"/>
        </w:rPr>
        <w:t>was</w:t>
      </w:r>
      <w:r w:rsidR="00534A2F" w:rsidRPr="008D786A">
        <w:rPr>
          <w:rFonts w:ascii="Times New Roman" w:hAnsi="Times New Roman"/>
          <w:sz w:val="24"/>
        </w:rPr>
        <w:t xml:space="preserve"> drafted such that a counterparty is not part of an APRA-regulated group if the ultimate parent is not APRA-regulated. The application of this definition result</w:t>
      </w:r>
      <w:r w:rsidR="00F012F4" w:rsidRPr="008D786A">
        <w:rPr>
          <w:rFonts w:ascii="Times New Roman" w:hAnsi="Times New Roman"/>
          <w:sz w:val="24"/>
        </w:rPr>
        <w:t>ed</w:t>
      </w:r>
      <w:r w:rsidR="00534A2F" w:rsidRPr="008D786A">
        <w:rPr>
          <w:rFonts w:ascii="Times New Roman" w:hAnsi="Times New Roman"/>
          <w:sz w:val="24"/>
        </w:rPr>
        <w:t xml:space="preserve"> in lower limits for exposures to counterparties that are APRA-regulated, but owned by an overseas parent. This was not APRA’s intention</w:t>
      </w:r>
      <w:r w:rsidR="00B008E7">
        <w:rPr>
          <w:rFonts w:ascii="Times New Roman" w:hAnsi="Times New Roman"/>
          <w:sz w:val="24"/>
        </w:rPr>
        <w:t xml:space="preserve"> when drafting the P</w:t>
      </w:r>
      <w:r w:rsidR="00F012F4" w:rsidRPr="008D786A">
        <w:rPr>
          <w:rFonts w:ascii="Times New Roman" w:hAnsi="Times New Roman"/>
          <w:sz w:val="24"/>
        </w:rPr>
        <w:t xml:space="preserve">rudential </w:t>
      </w:r>
      <w:r w:rsidR="00B008E7">
        <w:rPr>
          <w:rFonts w:ascii="Times New Roman" w:hAnsi="Times New Roman"/>
          <w:sz w:val="24"/>
        </w:rPr>
        <w:t>S</w:t>
      </w:r>
      <w:r w:rsidR="00F012F4" w:rsidRPr="008D786A">
        <w:rPr>
          <w:rFonts w:ascii="Times New Roman" w:hAnsi="Times New Roman"/>
          <w:sz w:val="24"/>
        </w:rPr>
        <w:t>tandard</w:t>
      </w:r>
      <w:r w:rsidR="00534A2F" w:rsidRPr="008D786A">
        <w:rPr>
          <w:rFonts w:ascii="Times New Roman" w:hAnsi="Times New Roman"/>
          <w:sz w:val="24"/>
        </w:rPr>
        <w:t xml:space="preserve">. </w:t>
      </w:r>
    </w:p>
    <w:p w:rsidR="00981CF1" w:rsidRDefault="00981CF1" w:rsidP="00981CF1">
      <w:pPr>
        <w:spacing w:line="40" w:lineRule="atLeast"/>
        <w:jc w:val="both"/>
        <w:rPr>
          <w:rFonts w:ascii="Times New Roman" w:hAnsi="Times New Roman"/>
          <w:sz w:val="24"/>
          <w:szCs w:val="24"/>
        </w:rPr>
      </w:pPr>
    </w:p>
    <w:p w:rsidR="00364664" w:rsidRPr="00364664" w:rsidRDefault="00DF4C99" w:rsidP="00364664">
      <w:pPr>
        <w:spacing w:line="40" w:lineRule="atLeast"/>
        <w:jc w:val="both"/>
        <w:rPr>
          <w:rFonts w:ascii="Times New Roman" w:hAnsi="Times New Roman"/>
          <w:sz w:val="24"/>
          <w:szCs w:val="24"/>
        </w:rPr>
      </w:pPr>
      <w:r>
        <w:rPr>
          <w:rFonts w:ascii="Times New Roman" w:hAnsi="Times New Roman"/>
          <w:sz w:val="24"/>
          <w:szCs w:val="24"/>
        </w:rPr>
        <w:lastRenderedPageBreak/>
        <w:t xml:space="preserve">This instrument determines a new version of GPS 117 that </w:t>
      </w:r>
      <w:r w:rsidR="00981CF1" w:rsidRPr="00981CF1">
        <w:rPr>
          <w:rFonts w:ascii="Times New Roman" w:hAnsi="Times New Roman"/>
          <w:sz w:val="24"/>
          <w:szCs w:val="24"/>
        </w:rPr>
        <w:t>make</w:t>
      </w:r>
      <w:r>
        <w:rPr>
          <w:rFonts w:ascii="Times New Roman" w:hAnsi="Times New Roman"/>
          <w:sz w:val="24"/>
          <w:szCs w:val="24"/>
        </w:rPr>
        <w:t>s</w:t>
      </w:r>
      <w:r w:rsidR="00981CF1" w:rsidRPr="00981CF1">
        <w:rPr>
          <w:rFonts w:ascii="Times New Roman" w:hAnsi="Times New Roman"/>
          <w:sz w:val="24"/>
          <w:szCs w:val="24"/>
        </w:rPr>
        <w:t xml:space="preserve"> minor amendments to</w:t>
      </w:r>
      <w:r>
        <w:rPr>
          <w:rFonts w:ascii="Times New Roman" w:hAnsi="Times New Roman"/>
          <w:sz w:val="24"/>
          <w:szCs w:val="24"/>
        </w:rPr>
        <w:t xml:space="preserve"> </w:t>
      </w:r>
      <w:r w:rsidR="00981CF1" w:rsidRPr="00981CF1">
        <w:rPr>
          <w:rFonts w:ascii="Times New Roman" w:hAnsi="Times New Roman"/>
          <w:sz w:val="24"/>
          <w:szCs w:val="24"/>
        </w:rPr>
        <w:t>clarify APRA’s intent.</w:t>
      </w:r>
      <w:r>
        <w:rPr>
          <w:rFonts w:ascii="Times New Roman" w:hAnsi="Times New Roman"/>
          <w:sz w:val="24"/>
          <w:szCs w:val="24"/>
        </w:rPr>
        <w:t xml:space="preserve"> </w:t>
      </w:r>
      <w:r w:rsidR="00364664" w:rsidRPr="00364664">
        <w:rPr>
          <w:rFonts w:ascii="Times New Roman" w:hAnsi="Times New Roman"/>
          <w:sz w:val="24"/>
          <w:szCs w:val="24"/>
        </w:rPr>
        <w:t xml:space="preserve">APRA </w:t>
      </w:r>
      <w:r w:rsidR="00B008E7">
        <w:rPr>
          <w:rFonts w:ascii="Times New Roman" w:hAnsi="Times New Roman"/>
          <w:sz w:val="24"/>
          <w:szCs w:val="24"/>
        </w:rPr>
        <w:t>has specifically included</w:t>
      </w:r>
      <w:r w:rsidR="00364664" w:rsidRPr="00364664">
        <w:rPr>
          <w:rFonts w:ascii="Times New Roman" w:hAnsi="Times New Roman"/>
          <w:sz w:val="24"/>
          <w:szCs w:val="24"/>
        </w:rPr>
        <w:t xml:space="preserve"> references to APRA-regulated counterparties in paragraph 16 of GPS 117. This ensures that exposures to counterparties that are APRA-regulated (but foreign owned) will be subject to the same asset concentration limits as exposures to counterparties where the ultimate parent is APRA-regulated.</w:t>
      </w:r>
    </w:p>
    <w:p w:rsidR="00C838BD" w:rsidRPr="00364664" w:rsidRDefault="00C838BD" w:rsidP="00364664">
      <w:pPr>
        <w:rPr>
          <w:rFonts w:ascii="Times New Roman" w:hAnsi="Times New Roman"/>
          <w:b/>
          <w:sz w:val="24"/>
          <w:szCs w:val="24"/>
          <w:highlight w:val="yellow"/>
        </w:rPr>
      </w:pPr>
    </w:p>
    <w:p w:rsidR="00FC7A52" w:rsidRDefault="00364664" w:rsidP="00C838BD">
      <w:pPr>
        <w:spacing w:line="40" w:lineRule="atLeast"/>
        <w:jc w:val="both"/>
        <w:rPr>
          <w:rFonts w:ascii="Times New Roman" w:hAnsi="Times New Roman"/>
          <w:sz w:val="24"/>
          <w:szCs w:val="24"/>
        </w:rPr>
      </w:pPr>
      <w:r>
        <w:rPr>
          <w:rFonts w:ascii="Times New Roman" w:hAnsi="Times New Roman"/>
          <w:sz w:val="24"/>
          <w:szCs w:val="24"/>
        </w:rPr>
        <w:t>This instrument</w:t>
      </w:r>
      <w:r w:rsidR="00C838BD" w:rsidRPr="006956E3">
        <w:rPr>
          <w:rFonts w:ascii="Times New Roman" w:hAnsi="Times New Roman"/>
          <w:sz w:val="24"/>
          <w:szCs w:val="24"/>
        </w:rPr>
        <w:t xml:space="preserve"> will ensure the correct application of the Prudential Standard across the industry. </w:t>
      </w:r>
      <w:r w:rsidR="00FC7A52" w:rsidRPr="00981CF1">
        <w:rPr>
          <w:rFonts w:ascii="Times New Roman" w:hAnsi="Times New Roman"/>
          <w:sz w:val="24"/>
          <w:szCs w:val="24"/>
        </w:rPr>
        <w:t>This will ensure that general insurers and Level 2 insurance groups correctly calculate the Asset Concentration Risk Charge on non-reinsurance exposures to counterparties that are APRA-regulated, but owned by an overseas parent.</w:t>
      </w:r>
      <w:r w:rsidR="00FC7A52">
        <w:rPr>
          <w:rFonts w:ascii="Times New Roman" w:hAnsi="Times New Roman"/>
          <w:sz w:val="24"/>
          <w:szCs w:val="24"/>
        </w:rPr>
        <w:t xml:space="preserve"> </w:t>
      </w:r>
    </w:p>
    <w:p w:rsidR="00FC7A52" w:rsidRDefault="00FC7A52" w:rsidP="00C838BD">
      <w:pPr>
        <w:spacing w:line="40" w:lineRule="atLeast"/>
        <w:jc w:val="both"/>
        <w:rPr>
          <w:rFonts w:ascii="Times New Roman" w:hAnsi="Times New Roman"/>
          <w:sz w:val="24"/>
          <w:szCs w:val="24"/>
        </w:rPr>
      </w:pPr>
    </w:p>
    <w:p w:rsidR="00981CF1" w:rsidRDefault="00C838BD" w:rsidP="00C838BD">
      <w:pPr>
        <w:spacing w:line="40" w:lineRule="atLeast"/>
        <w:jc w:val="both"/>
        <w:rPr>
          <w:rFonts w:ascii="Times New Roman" w:hAnsi="Times New Roman"/>
          <w:sz w:val="24"/>
          <w:szCs w:val="24"/>
        </w:rPr>
      </w:pPr>
      <w:r w:rsidRPr="006956E3">
        <w:rPr>
          <w:rFonts w:ascii="Times New Roman" w:hAnsi="Times New Roman"/>
          <w:sz w:val="24"/>
          <w:szCs w:val="24"/>
        </w:rPr>
        <w:t xml:space="preserve">As the amendment increases the asset concentration limit of certain non-reinsurance exposures, there may also be a decrease in the Asset Concentration Risk Charge and therefore the prescribed capital amount for a small number of general insurers and Level 2 insurance groups. </w:t>
      </w:r>
    </w:p>
    <w:p w:rsidR="00C838BD" w:rsidRPr="006956E3" w:rsidRDefault="00C838BD" w:rsidP="00C838BD">
      <w:pPr>
        <w:spacing w:line="40" w:lineRule="atLeast"/>
        <w:jc w:val="both"/>
        <w:rPr>
          <w:rFonts w:ascii="Times New Roman" w:hAnsi="Times New Roman"/>
          <w:sz w:val="24"/>
          <w:szCs w:val="24"/>
        </w:rPr>
      </w:pPr>
      <w:r w:rsidRPr="006956E3">
        <w:rPr>
          <w:rFonts w:ascii="Times New Roman" w:hAnsi="Times New Roman"/>
          <w:sz w:val="24"/>
          <w:szCs w:val="24"/>
        </w:rPr>
        <w:t xml:space="preserve"> </w:t>
      </w:r>
    </w:p>
    <w:p w:rsidR="002436BD" w:rsidRDefault="002436BD" w:rsidP="00DF7DA0">
      <w:pPr>
        <w:pStyle w:val="Heading"/>
        <w:numPr>
          <w:ilvl w:val="0"/>
          <w:numId w:val="2"/>
        </w:numPr>
        <w:spacing w:after="240"/>
        <w:rPr>
          <w:rFonts w:ascii="Times New Roman" w:hAnsi="Times New Roman"/>
          <w:sz w:val="24"/>
          <w:szCs w:val="24"/>
        </w:rPr>
      </w:pPr>
      <w:bookmarkStart w:id="6" w:name="bkoperation"/>
      <w:bookmarkStart w:id="7" w:name="bkConsultationNo"/>
      <w:bookmarkEnd w:id="6"/>
      <w:bookmarkEnd w:id="7"/>
      <w:r w:rsidRPr="002C6D26">
        <w:rPr>
          <w:rFonts w:ascii="Times New Roman" w:hAnsi="Times New Roman"/>
          <w:sz w:val="24"/>
          <w:szCs w:val="24"/>
        </w:rPr>
        <w:t>Consultation</w:t>
      </w:r>
    </w:p>
    <w:p w:rsidR="00B64B2E" w:rsidRDefault="007368AD" w:rsidP="00DF7DA0">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The instrument is </w:t>
      </w:r>
      <w:r w:rsidRPr="00BB1678">
        <w:rPr>
          <w:rFonts w:ascii="Times New Roman" w:hAnsi="Times New Roman"/>
          <w:b w:val="0"/>
          <w:sz w:val="24"/>
          <w:szCs w:val="24"/>
        </w:rPr>
        <w:t xml:space="preserve">minor or machinery in nature </w:t>
      </w:r>
      <w:r>
        <w:rPr>
          <w:rFonts w:ascii="Times New Roman" w:hAnsi="Times New Roman"/>
          <w:b w:val="0"/>
          <w:sz w:val="24"/>
          <w:szCs w:val="24"/>
        </w:rPr>
        <w:t>and</w:t>
      </w:r>
      <w:r w:rsidRPr="00BB1678">
        <w:rPr>
          <w:rFonts w:ascii="Times New Roman" w:hAnsi="Times New Roman"/>
          <w:b w:val="0"/>
          <w:sz w:val="24"/>
          <w:szCs w:val="24"/>
        </w:rPr>
        <w:t xml:space="preserve"> do</w:t>
      </w:r>
      <w:r>
        <w:rPr>
          <w:rFonts w:ascii="Times New Roman" w:hAnsi="Times New Roman"/>
          <w:b w:val="0"/>
          <w:sz w:val="24"/>
          <w:szCs w:val="24"/>
        </w:rPr>
        <w:t>es</w:t>
      </w:r>
      <w:r w:rsidRPr="00BB1678">
        <w:rPr>
          <w:rFonts w:ascii="Times New Roman" w:hAnsi="Times New Roman"/>
          <w:b w:val="0"/>
          <w:sz w:val="24"/>
          <w:szCs w:val="24"/>
        </w:rPr>
        <w:t xml:space="preserve"> not substantially </w:t>
      </w:r>
      <w:r>
        <w:rPr>
          <w:rFonts w:ascii="Times New Roman" w:hAnsi="Times New Roman"/>
          <w:b w:val="0"/>
          <w:sz w:val="24"/>
          <w:szCs w:val="24"/>
        </w:rPr>
        <w:t>alter existing arrangements.</w:t>
      </w:r>
    </w:p>
    <w:p w:rsidR="002436BD" w:rsidRDefault="00DF524E" w:rsidP="00DF7DA0">
      <w:pPr>
        <w:pStyle w:val="Heading"/>
        <w:tabs>
          <w:tab w:val="left" w:pos="360"/>
        </w:tabs>
        <w:spacing w:after="240"/>
        <w:rPr>
          <w:rFonts w:ascii="Times New Roman" w:hAnsi="Times New Roman"/>
          <w:sz w:val="24"/>
          <w:szCs w:val="24"/>
        </w:rPr>
      </w:pPr>
      <w:bookmarkStart w:id="8" w:name="bkConsultation"/>
      <w:bookmarkStart w:id="9" w:name="bkRISNO"/>
      <w:bookmarkStart w:id="10" w:name="bkRIS"/>
      <w:bookmarkEnd w:id="8"/>
      <w:bookmarkEnd w:id="9"/>
      <w:r>
        <w:rPr>
          <w:rFonts w:ascii="Times New Roman" w:hAnsi="Times New Roman"/>
          <w:sz w:val="24"/>
          <w:szCs w:val="24"/>
        </w:rPr>
        <w:t>4</w:t>
      </w:r>
      <w:r w:rsidR="002436BD" w:rsidRPr="002C6D26">
        <w:rPr>
          <w:rFonts w:ascii="Times New Roman" w:hAnsi="Times New Roman"/>
          <w:sz w:val="24"/>
          <w:szCs w:val="24"/>
        </w:rPr>
        <w:t xml:space="preserve">. </w:t>
      </w:r>
      <w:r w:rsidR="002436BD" w:rsidRPr="002C6D26">
        <w:rPr>
          <w:rFonts w:ascii="Times New Roman" w:hAnsi="Times New Roman"/>
          <w:sz w:val="24"/>
          <w:szCs w:val="24"/>
        </w:rPr>
        <w:tab/>
        <w:t>R</w:t>
      </w:r>
      <w:r w:rsidR="002436BD">
        <w:rPr>
          <w:rFonts w:ascii="Times New Roman" w:hAnsi="Times New Roman"/>
          <w:sz w:val="24"/>
          <w:szCs w:val="24"/>
        </w:rPr>
        <w:t xml:space="preserve">egulation </w:t>
      </w:r>
      <w:r w:rsidR="002436BD" w:rsidRPr="002C6D26">
        <w:rPr>
          <w:rFonts w:ascii="Times New Roman" w:hAnsi="Times New Roman"/>
          <w:sz w:val="24"/>
          <w:szCs w:val="24"/>
        </w:rPr>
        <w:t>I</w:t>
      </w:r>
      <w:r w:rsidR="002436BD">
        <w:rPr>
          <w:rFonts w:ascii="Times New Roman" w:hAnsi="Times New Roman"/>
          <w:sz w:val="24"/>
          <w:szCs w:val="24"/>
        </w:rPr>
        <w:t xml:space="preserve">mpact </w:t>
      </w:r>
      <w:r w:rsidR="002436BD" w:rsidRPr="002C6D26">
        <w:rPr>
          <w:rFonts w:ascii="Times New Roman" w:hAnsi="Times New Roman"/>
          <w:sz w:val="24"/>
          <w:szCs w:val="24"/>
        </w:rPr>
        <w:t>S</w:t>
      </w:r>
      <w:r w:rsidR="002436BD">
        <w:rPr>
          <w:rFonts w:ascii="Times New Roman" w:hAnsi="Times New Roman"/>
          <w:sz w:val="24"/>
          <w:szCs w:val="24"/>
        </w:rPr>
        <w:t>tatement</w:t>
      </w:r>
    </w:p>
    <w:bookmarkEnd w:id="10"/>
    <w:p w:rsidR="00885F41" w:rsidRDefault="00885F41" w:rsidP="00DF7DA0">
      <w:pPr>
        <w:pStyle w:val="Heading"/>
        <w:spacing w:after="240"/>
        <w:rPr>
          <w:rFonts w:ascii="Times New Roman" w:hAnsi="Times New Roman"/>
          <w:b w:val="0"/>
          <w:sz w:val="24"/>
          <w:szCs w:val="24"/>
        </w:rPr>
      </w:pPr>
      <w:r w:rsidRPr="00885F41">
        <w:rPr>
          <w:rFonts w:ascii="Times New Roman" w:hAnsi="Times New Roman"/>
          <w:b w:val="0"/>
          <w:sz w:val="24"/>
          <w:szCs w:val="24"/>
        </w:rPr>
        <w:t>The Office of Best Practice Regulation has advised that a Regulation Impact Statement is not required for this legislative instrument.</w:t>
      </w:r>
    </w:p>
    <w:p w:rsidR="002436BD" w:rsidRPr="00B3165F" w:rsidRDefault="00DF524E" w:rsidP="00DF7DA0">
      <w:pPr>
        <w:pStyle w:val="Heading"/>
        <w:tabs>
          <w:tab w:val="left" w:pos="360"/>
        </w:tabs>
        <w:spacing w:after="240"/>
        <w:rPr>
          <w:rFonts w:ascii="Times New Roman" w:hAnsi="Times New Roman"/>
          <w:sz w:val="24"/>
          <w:szCs w:val="24"/>
        </w:rPr>
      </w:pPr>
      <w:r>
        <w:rPr>
          <w:rFonts w:ascii="Times New Roman" w:hAnsi="Times New Roman"/>
          <w:sz w:val="24"/>
          <w:szCs w:val="24"/>
        </w:rPr>
        <w:t>5</w:t>
      </w:r>
      <w:r w:rsidR="002436BD" w:rsidRPr="00B3165F">
        <w:rPr>
          <w:rFonts w:ascii="Times New Roman" w:hAnsi="Times New Roman"/>
          <w:sz w:val="24"/>
          <w:szCs w:val="24"/>
        </w:rPr>
        <w:t>.</w:t>
      </w:r>
      <w:r w:rsidR="002436BD" w:rsidRPr="00B3165F">
        <w:rPr>
          <w:rFonts w:ascii="Times New Roman" w:hAnsi="Times New Roman"/>
          <w:sz w:val="24"/>
          <w:szCs w:val="24"/>
        </w:rPr>
        <w:tab/>
        <w:t>Statement of compatibility prepared in accordance with Part 3 of the Human Rights (Parliamentary Scrutiny) Act 2011</w:t>
      </w:r>
    </w:p>
    <w:p w:rsidR="002436BD" w:rsidRDefault="0030506B" w:rsidP="00DF7DA0">
      <w:pPr>
        <w:pStyle w:val="Heading"/>
        <w:spacing w:after="240"/>
        <w:rPr>
          <w:rFonts w:ascii="Times New Roman" w:hAnsi="Times New Roman"/>
          <w:b w:val="0"/>
          <w:sz w:val="24"/>
          <w:szCs w:val="24"/>
        </w:rPr>
      </w:pPr>
      <w:r w:rsidRPr="0030506B">
        <w:rPr>
          <w:rFonts w:ascii="Times New Roman" w:hAnsi="Times New Roman"/>
          <w:b w:val="0"/>
          <w:sz w:val="24"/>
          <w:szCs w:val="24"/>
        </w:rPr>
        <w:t xml:space="preserve">A Statement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p>
    <w:p w:rsidR="008137C7" w:rsidRDefault="008137C7">
      <w:pPr>
        <w:rPr>
          <w:rFonts w:ascii="Times New Roman" w:hAnsi="Times New Roman"/>
          <w:sz w:val="24"/>
          <w:szCs w:val="24"/>
        </w:rPr>
      </w:pPr>
      <w:r>
        <w:rPr>
          <w:rFonts w:ascii="Times New Roman" w:hAnsi="Times New Roman"/>
          <w:b/>
          <w:sz w:val="24"/>
          <w:szCs w:val="24"/>
        </w:rPr>
        <w:br w:type="page"/>
      </w:r>
    </w:p>
    <w:p w:rsidR="00077D71" w:rsidRPr="008137C7" w:rsidRDefault="008137C7" w:rsidP="00DF7DA0">
      <w:pPr>
        <w:pStyle w:val="Heading"/>
        <w:spacing w:after="240"/>
        <w:rPr>
          <w:rFonts w:ascii="Times New Roman" w:hAnsi="Times New Roman"/>
          <w:sz w:val="24"/>
          <w:szCs w:val="24"/>
        </w:rPr>
      </w:pPr>
      <w:r w:rsidRPr="008137C7">
        <w:rPr>
          <w:rFonts w:ascii="Times New Roman" w:hAnsi="Times New Roman"/>
          <w:sz w:val="24"/>
          <w:szCs w:val="24"/>
        </w:rPr>
        <w:lastRenderedPageBreak/>
        <w:t>Attachment A</w:t>
      </w:r>
    </w:p>
    <w:p w:rsidR="008137C7" w:rsidRPr="008137C7" w:rsidRDefault="008137C7" w:rsidP="008137C7">
      <w:pPr>
        <w:pStyle w:val="Heading"/>
        <w:spacing w:after="240"/>
        <w:jc w:val="center"/>
        <w:rPr>
          <w:rFonts w:ascii="Times New Roman" w:hAnsi="Times New Roman"/>
          <w:sz w:val="24"/>
          <w:szCs w:val="24"/>
        </w:rPr>
      </w:pPr>
      <w:r w:rsidRPr="008137C7">
        <w:rPr>
          <w:rFonts w:ascii="Times New Roman" w:hAnsi="Times New Roman"/>
          <w:sz w:val="24"/>
          <w:szCs w:val="24"/>
        </w:rPr>
        <w:t>Statement of Compatibility with Human Rights</w:t>
      </w:r>
    </w:p>
    <w:p w:rsidR="008137C7" w:rsidRPr="008137C7" w:rsidRDefault="008137C7" w:rsidP="008137C7">
      <w:pPr>
        <w:pStyle w:val="Heading"/>
        <w:spacing w:after="240"/>
        <w:rPr>
          <w:rFonts w:ascii="Times New Roman" w:hAnsi="Times New Roman"/>
          <w:b w:val="0"/>
          <w:i/>
          <w:sz w:val="24"/>
          <w:szCs w:val="24"/>
        </w:rPr>
      </w:pPr>
      <w:r w:rsidRPr="008137C7">
        <w:rPr>
          <w:rFonts w:ascii="Times New Roman" w:hAnsi="Times New Roman"/>
          <w:b w:val="0"/>
          <w:i/>
          <w:sz w:val="24"/>
          <w:szCs w:val="24"/>
        </w:rPr>
        <w:t>Prepared in accordance with Part 3 of the Human Rights (Parliamentary Scrutiny) Act 2011</w:t>
      </w:r>
    </w:p>
    <w:p w:rsidR="00077D71" w:rsidRPr="008137C7" w:rsidRDefault="008137C7" w:rsidP="008137C7">
      <w:pPr>
        <w:pStyle w:val="Heading"/>
        <w:spacing w:after="240"/>
        <w:jc w:val="center"/>
        <w:rPr>
          <w:rFonts w:ascii="Times New Roman" w:hAnsi="Times New Roman"/>
          <w:sz w:val="24"/>
          <w:szCs w:val="24"/>
        </w:rPr>
      </w:pPr>
      <w:r w:rsidRPr="008137C7">
        <w:rPr>
          <w:rFonts w:ascii="Times New Roman" w:hAnsi="Times New Roman"/>
          <w:sz w:val="24"/>
          <w:szCs w:val="24"/>
        </w:rPr>
        <w:t xml:space="preserve">Insurance (prudential standard) determination No. </w:t>
      </w:r>
      <w:r w:rsidR="00BD71BB">
        <w:rPr>
          <w:rFonts w:ascii="Times New Roman" w:hAnsi="Times New Roman"/>
          <w:sz w:val="24"/>
          <w:szCs w:val="24"/>
        </w:rPr>
        <w:t>1</w:t>
      </w:r>
      <w:r w:rsidRPr="008137C7">
        <w:rPr>
          <w:rFonts w:ascii="Times New Roman" w:hAnsi="Times New Roman"/>
          <w:sz w:val="24"/>
          <w:szCs w:val="24"/>
        </w:rPr>
        <w:t xml:space="preserve"> of 2014</w:t>
      </w:r>
    </w:p>
    <w:p w:rsidR="00B04B20" w:rsidRDefault="008137C7" w:rsidP="008137C7">
      <w:pPr>
        <w:spacing w:after="240"/>
        <w:jc w:val="both"/>
        <w:rPr>
          <w:rFonts w:ascii="Times New Roman" w:hAnsi="Times New Roman"/>
          <w:sz w:val="24"/>
          <w:szCs w:val="24"/>
        </w:rPr>
      </w:pPr>
      <w:r w:rsidRPr="008137C7">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CC2F69">
        <w:rPr>
          <w:rFonts w:ascii="Times New Roman" w:hAnsi="Times New Roman"/>
          <w:i/>
          <w:sz w:val="24"/>
          <w:szCs w:val="24"/>
        </w:rPr>
        <w:t>Human Rights (Parliamentary Scrutiny) Act 2011</w:t>
      </w:r>
      <w:r w:rsidRPr="008137C7">
        <w:rPr>
          <w:rFonts w:ascii="Times New Roman" w:hAnsi="Times New Roman"/>
          <w:sz w:val="24"/>
          <w:szCs w:val="24"/>
        </w:rPr>
        <w:t xml:space="preserve"> (HRPS Act).</w:t>
      </w:r>
    </w:p>
    <w:p w:rsidR="008137C7" w:rsidRPr="000C380F" w:rsidRDefault="008137C7" w:rsidP="008137C7">
      <w:pPr>
        <w:spacing w:after="240"/>
        <w:jc w:val="both"/>
        <w:rPr>
          <w:rFonts w:ascii="Times New Roman" w:hAnsi="Times New Roman"/>
          <w:b/>
          <w:sz w:val="24"/>
          <w:szCs w:val="24"/>
        </w:rPr>
      </w:pPr>
      <w:r w:rsidRPr="000C380F">
        <w:rPr>
          <w:rFonts w:ascii="Times New Roman" w:hAnsi="Times New Roman"/>
          <w:b/>
          <w:sz w:val="24"/>
          <w:szCs w:val="24"/>
        </w:rPr>
        <w:t xml:space="preserve">Overview of the Legislative Instrument </w:t>
      </w:r>
    </w:p>
    <w:p w:rsidR="008137C7" w:rsidRPr="00CC2F69" w:rsidRDefault="008137C7" w:rsidP="00CC2F69">
      <w:pPr>
        <w:spacing w:after="240"/>
        <w:jc w:val="both"/>
        <w:rPr>
          <w:rFonts w:ascii="Times New Roman" w:hAnsi="Times New Roman"/>
          <w:sz w:val="24"/>
          <w:szCs w:val="24"/>
        </w:rPr>
      </w:pPr>
      <w:r>
        <w:rPr>
          <w:rFonts w:ascii="Times New Roman" w:hAnsi="Times New Roman"/>
          <w:sz w:val="24"/>
          <w:szCs w:val="24"/>
        </w:rPr>
        <w:t>This Legislative Instrument</w:t>
      </w:r>
      <w:r w:rsidR="00CC2F69">
        <w:rPr>
          <w:rFonts w:ascii="Times New Roman" w:hAnsi="Times New Roman"/>
          <w:sz w:val="24"/>
          <w:szCs w:val="24"/>
        </w:rPr>
        <w:t xml:space="preserve"> m</w:t>
      </w:r>
      <w:r w:rsidR="00CC2F69" w:rsidRPr="00CC2F69">
        <w:rPr>
          <w:rFonts w:ascii="Times New Roman" w:hAnsi="Times New Roman"/>
          <w:sz w:val="24"/>
          <w:szCs w:val="24"/>
        </w:rPr>
        <w:t xml:space="preserve">akes amendments to </w:t>
      </w:r>
      <w:r w:rsidR="00CC2F69" w:rsidRPr="00CC2F69">
        <w:rPr>
          <w:rFonts w:ascii="Times New Roman" w:hAnsi="Times New Roman"/>
          <w:i/>
          <w:sz w:val="24"/>
          <w:szCs w:val="24"/>
        </w:rPr>
        <w:t>Prudential Standard GPS 117 Capital Adequacy: Asset Concentration Risk Charge</w:t>
      </w:r>
      <w:r w:rsidR="00CC2F69" w:rsidRPr="00CC2F69">
        <w:rPr>
          <w:rFonts w:ascii="Times New Roman" w:hAnsi="Times New Roman"/>
          <w:sz w:val="24"/>
          <w:szCs w:val="24"/>
        </w:rPr>
        <w:t xml:space="preserve"> to clarify the treatment of certain non-reinsurance exposures for the purposes of the Asset Concentration Risk Charge.</w:t>
      </w:r>
    </w:p>
    <w:p w:rsidR="008137C7" w:rsidRPr="008137C7" w:rsidRDefault="008137C7" w:rsidP="008137C7">
      <w:pPr>
        <w:spacing w:after="240"/>
        <w:jc w:val="both"/>
        <w:rPr>
          <w:rFonts w:ascii="Times New Roman" w:hAnsi="Times New Roman"/>
          <w:b/>
          <w:sz w:val="24"/>
          <w:szCs w:val="24"/>
        </w:rPr>
      </w:pPr>
      <w:r w:rsidRPr="008137C7">
        <w:rPr>
          <w:rFonts w:ascii="Times New Roman" w:hAnsi="Times New Roman"/>
          <w:b/>
          <w:sz w:val="24"/>
          <w:szCs w:val="24"/>
        </w:rPr>
        <w:t>Human rights implications</w:t>
      </w:r>
    </w:p>
    <w:p w:rsidR="008137C7" w:rsidRDefault="008137C7" w:rsidP="008137C7">
      <w:pPr>
        <w:spacing w:after="240"/>
        <w:jc w:val="both"/>
        <w:rPr>
          <w:rFonts w:ascii="Times New Roman" w:hAnsi="Times New Roman"/>
          <w:sz w:val="24"/>
          <w:szCs w:val="24"/>
        </w:rPr>
      </w:pPr>
      <w:r>
        <w:rPr>
          <w:rFonts w:ascii="Times New Roman" w:hAnsi="Times New Roman"/>
          <w:sz w:val="24"/>
          <w:szCs w:val="24"/>
        </w:rPr>
        <w:t>APRA has assessed this Legislative Instrument and is of the view that it does not engage any of the applicable rights or freedoms recognised or declared in the international instruments listed in section 3 of the HRPS Act. Accordingly, in APRA’s assessment, the instruments are compatible with human rights.</w:t>
      </w:r>
    </w:p>
    <w:p w:rsidR="008137C7" w:rsidRPr="008137C7" w:rsidRDefault="008137C7" w:rsidP="008137C7">
      <w:pPr>
        <w:spacing w:after="240"/>
        <w:jc w:val="both"/>
        <w:rPr>
          <w:rFonts w:ascii="Times New Roman" w:hAnsi="Times New Roman"/>
          <w:b/>
          <w:sz w:val="24"/>
          <w:szCs w:val="24"/>
        </w:rPr>
      </w:pPr>
      <w:r w:rsidRPr="008137C7">
        <w:rPr>
          <w:rFonts w:ascii="Times New Roman" w:hAnsi="Times New Roman"/>
          <w:b/>
          <w:sz w:val="24"/>
          <w:szCs w:val="24"/>
        </w:rPr>
        <w:t>Conclusion</w:t>
      </w:r>
    </w:p>
    <w:p w:rsidR="008137C7" w:rsidRPr="008137C7" w:rsidRDefault="008137C7" w:rsidP="008137C7">
      <w:pPr>
        <w:spacing w:after="240"/>
        <w:jc w:val="both"/>
        <w:rPr>
          <w:rFonts w:ascii="Times New Roman" w:hAnsi="Times New Roman"/>
          <w:sz w:val="24"/>
          <w:szCs w:val="24"/>
        </w:rPr>
      </w:pPr>
      <w:r>
        <w:rPr>
          <w:rFonts w:ascii="Times New Roman" w:hAnsi="Times New Roman"/>
          <w:sz w:val="24"/>
          <w:szCs w:val="24"/>
        </w:rPr>
        <w:t>This Legislative Instrument is compatible with human rights because it does not raise any human rights issues.</w:t>
      </w:r>
    </w:p>
    <w:p w:rsidR="008137C7" w:rsidRPr="008137C7" w:rsidRDefault="008137C7">
      <w:pPr>
        <w:spacing w:after="240"/>
        <w:rPr>
          <w:rFonts w:ascii="Times New Roman" w:hAnsi="Times New Roman"/>
        </w:rPr>
      </w:pPr>
    </w:p>
    <w:sectPr w:rsidR="008137C7" w:rsidRPr="008137C7" w:rsidSect="003D5032">
      <w:footerReference w:type="default" r:id="rId9"/>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17" w:rsidRDefault="00F80D17" w:rsidP="00DF7DA0">
      <w:r>
        <w:separator/>
      </w:r>
    </w:p>
  </w:endnote>
  <w:endnote w:type="continuationSeparator" w:id="0">
    <w:p w:rsidR="00F80D17" w:rsidRDefault="00F80D17" w:rsidP="00DF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rPr>
        <w:rFonts w:ascii="Times New Roman" w:hAnsi="Times New Roman"/>
        <w:sz w:val="24"/>
        <w:szCs w:val="24"/>
      </w:rPr>
    </w:sdtEndPr>
    <w:sdtContent>
      <w:p w:rsidR="00DF7DA0" w:rsidRPr="00DF7DA0" w:rsidRDefault="00DF7DA0" w:rsidP="00DF7DA0">
        <w:pPr>
          <w:pStyle w:val="Footer"/>
          <w:jc w:val="center"/>
          <w:rPr>
            <w:rFonts w:ascii="Times New Roman" w:hAnsi="Times New Roman"/>
            <w:sz w:val="24"/>
            <w:szCs w:val="24"/>
          </w:rPr>
        </w:pPr>
        <w:r w:rsidRPr="00DF7DA0">
          <w:rPr>
            <w:rFonts w:ascii="Times New Roman" w:hAnsi="Times New Roman"/>
            <w:bCs/>
            <w:sz w:val="24"/>
            <w:szCs w:val="24"/>
          </w:rPr>
          <w:fldChar w:fldCharType="begin"/>
        </w:r>
        <w:r w:rsidRPr="00DF7DA0">
          <w:rPr>
            <w:rFonts w:ascii="Times New Roman" w:hAnsi="Times New Roman"/>
            <w:bCs/>
            <w:sz w:val="24"/>
            <w:szCs w:val="24"/>
          </w:rPr>
          <w:instrText xml:space="preserve"> PAGE </w:instrText>
        </w:r>
        <w:r w:rsidRPr="00DF7DA0">
          <w:rPr>
            <w:rFonts w:ascii="Times New Roman" w:hAnsi="Times New Roman"/>
            <w:bCs/>
            <w:sz w:val="24"/>
            <w:szCs w:val="24"/>
          </w:rPr>
          <w:fldChar w:fldCharType="separate"/>
        </w:r>
        <w:r w:rsidR="008A6EF9">
          <w:rPr>
            <w:rFonts w:ascii="Times New Roman" w:hAnsi="Times New Roman"/>
            <w:bCs/>
            <w:noProof/>
            <w:sz w:val="24"/>
            <w:szCs w:val="24"/>
          </w:rPr>
          <w:t>1</w:t>
        </w:r>
        <w:r w:rsidRPr="00DF7DA0">
          <w:rPr>
            <w:rFonts w:ascii="Times New Roman" w:hAnsi="Times New Roman"/>
            <w:bCs/>
            <w:sz w:val="24"/>
            <w:szCs w:val="24"/>
          </w:rPr>
          <w:fldChar w:fldCharType="end"/>
        </w:r>
      </w:p>
    </w:sdtContent>
  </w:sdt>
  <w:p w:rsidR="00DF7DA0" w:rsidRDefault="00DF7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17" w:rsidRDefault="00F80D17" w:rsidP="00DF7DA0">
      <w:r>
        <w:separator/>
      </w:r>
    </w:p>
  </w:footnote>
  <w:footnote w:type="continuationSeparator" w:id="0">
    <w:p w:rsidR="00F80D17" w:rsidRDefault="00F80D17" w:rsidP="00DF7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E24677E"/>
    <w:multiLevelType w:val="hybridMultilevel"/>
    <w:tmpl w:val="2700A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7C6E49"/>
    <w:multiLevelType w:val="hybridMultilevel"/>
    <w:tmpl w:val="F70A06DA"/>
    <w:lvl w:ilvl="0" w:tplc="771E19C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8D4B43"/>
    <w:multiLevelType w:val="hybridMultilevel"/>
    <w:tmpl w:val="0B6A5AD4"/>
    <w:lvl w:ilvl="0" w:tplc="C198587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DA3D61"/>
    <w:multiLevelType w:val="hybridMultilevel"/>
    <w:tmpl w:val="16F87DAA"/>
    <w:lvl w:ilvl="0" w:tplc="7DCEE3A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9519A7"/>
    <w:multiLevelType w:val="hybridMultilevel"/>
    <w:tmpl w:val="2380426C"/>
    <w:lvl w:ilvl="0" w:tplc="CBE464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7AED3A20"/>
    <w:multiLevelType w:val="hybridMultilevel"/>
    <w:tmpl w:val="2380426C"/>
    <w:lvl w:ilvl="0" w:tplc="CBE464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17"/>
    <w:rsid w:val="00003D3A"/>
    <w:rsid w:val="00006FF8"/>
    <w:rsid w:val="000401FC"/>
    <w:rsid w:val="00077D71"/>
    <w:rsid w:val="000C380F"/>
    <w:rsid w:val="000E369C"/>
    <w:rsid w:val="00155C61"/>
    <w:rsid w:val="0016350D"/>
    <w:rsid w:val="00182FA1"/>
    <w:rsid w:val="002436BD"/>
    <w:rsid w:val="00246723"/>
    <w:rsid w:val="002A73BD"/>
    <w:rsid w:val="0030506B"/>
    <w:rsid w:val="00322F04"/>
    <w:rsid w:val="00354CB8"/>
    <w:rsid w:val="00364664"/>
    <w:rsid w:val="0038613D"/>
    <w:rsid w:val="003866AD"/>
    <w:rsid w:val="003C6920"/>
    <w:rsid w:val="003D5032"/>
    <w:rsid w:val="0040175E"/>
    <w:rsid w:val="00422164"/>
    <w:rsid w:val="0042324B"/>
    <w:rsid w:val="00443A02"/>
    <w:rsid w:val="00457C57"/>
    <w:rsid w:val="00470375"/>
    <w:rsid w:val="00493F5B"/>
    <w:rsid w:val="004C3D07"/>
    <w:rsid w:val="004E2008"/>
    <w:rsid w:val="00534A2F"/>
    <w:rsid w:val="00551378"/>
    <w:rsid w:val="0056141D"/>
    <w:rsid w:val="005E5910"/>
    <w:rsid w:val="005E594A"/>
    <w:rsid w:val="005F70C6"/>
    <w:rsid w:val="00613CBF"/>
    <w:rsid w:val="00616A26"/>
    <w:rsid w:val="00622480"/>
    <w:rsid w:val="00647D58"/>
    <w:rsid w:val="00657678"/>
    <w:rsid w:val="0066349A"/>
    <w:rsid w:val="00682865"/>
    <w:rsid w:val="00684F73"/>
    <w:rsid w:val="006956E3"/>
    <w:rsid w:val="006B093F"/>
    <w:rsid w:val="006D6022"/>
    <w:rsid w:val="006E434A"/>
    <w:rsid w:val="007031F4"/>
    <w:rsid w:val="007049CF"/>
    <w:rsid w:val="007368AD"/>
    <w:rsid w:val="007428D4"/>
    <w:rsid w:val="00747AFF"/>
    <w:rsid w:val="00785CDC"/>
    <w:rsid w:val="007E4B2A"/>
    <w:rsid w:val="007E7E72"/>
    <w:rsid w:val="008137C7"/>
    <w:rsid w:val="00830F66"/>
    <w:rsid w:val="00885F41"/>
    <w:rsid w:val="008A6EF9"/>
    <w:rsid w:val="008C0C2E"/>
    <w:rsid w:val="008D786A"/>
    <w:rsid w:val="00932EFA"/>
    <w:rsid w:val="009669EA"/>
    <w:rsid w:val="00967D16"/>
    <w:rsid w:val="00981CF1"/>
    <w:rsid w:val="009927BF"/>
    <w:rsid w:val="009A2C39"/>
    <w:rsid w:val="009C1DC7"/>
    <w:rsid w:val="009C5368"/>
    <w:rsid w:val="009C7C5A"/>
    <w:rsid w:val="00A279AF"/>
    <w:rsid w:val="00A4133B"/>
    <w:rsid w:val="00A573C7"/>
    <w:rsid w:val="00A6325C"/>
    <w:rsid w:val="00A63A2B"/>
    <w:rsid w:val="00A94110"/>
    <w:rsid w:val="00AC2517"/>
    <w:rsid w:val="00AC7A56"/>
    <w:rsid w:val="00AE1AC6"/>
    <w:rsid w:val="00B008E7"/>
    <w:rsid w:val="00B04B20"/>
    <w:rsid w:val="00B05209"/>
    <w:rsid w:val="00B07796"/>
    <w:rsid w:val="00B64B2E"/>
    <w:rsid w:val="00B85B6E"/>
    <w:rsid w:val="00BB1678"/>
    <w:rsid w:val="00BD71BB"/>
    <w:rsid w:val="00BF2953"/>
    <w:rsid w:val="00C302FA"/>
    <w:rsid w:val="00C838BD"/>
    <w:rsid w:val="00C948AA"/>
    <w:rsid w:val="00CA6CB3"/>
    <w:rsid w:val="00CB384A"/>
    <w:rsid w:val="00CC2F69"/>
    <w:rsid w:val="00CD1947"/>
    <w:rsid w:val="00CE1BB4"/>
    <w:rsid w:val="00D053BD"/>
    <w:rsid w:val="00D17ABC"/>
    <w:rsid w:val="00D64906"/>
    <w:rsid w:val="00D81CC2"/>
    <w:rsid w:val="00D87E36"/>
    <w:rsid w:val="00DF4C99"/>
    <w:rsid w:val="00DF524E"/>
    <w:rsid w:val="00DF7DA0"/>
    <w:rsid w:val="00E15497"/>
    <w:rsid w:val="00E16789"/>
    <w:rsid w:val="00E201A8"/>
    <w:rsid w:val="00E52DFE"/>
    <w:rsid w:val="00E758B5"/>
    <w:rsid w:val="00E90C89"/>
    <w:rsid w:val="00EC5653"/>
    <w:rsid w:val="00EF12D3"/>
    <w:rsid w:val="00EF1CBC"/>
    <w:rsid w:val="00F012F4"/>
    <w:rsid w:val="00F30C81"/>
    <w:rsid w:val="00F436BC"/>
    <w:rsid w:val="00F7706D"/>
    <w:rsid w:val="00F80D17"/>
    <w:rsid w:val="00FA5345"/>
    <w:rsid w:val="00FC7A52"/>
    <w:rsid w:val="00FD5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styleId="Header">
    <w:name w:val="header"/>
    <w:basedOn w:val="Normal"/>
    <w:link w:val="HeaderChar"/>
    <w:uiPriority w:val="99"/>
    <w:unhideWhenUsed/>
    <w:rsid w:val="00DF7DA0"/>
    <w:pPr>
      <w:tabs>
        <w:tab w:val="center" w:pos="4513"/>
        <w:tab w:val="right" w:pos="9026"/>
      </w:tabs>
    </w:pPr>
  </w:style>
  <w:style w:type="character" w:customStyle="1" w:styleId="HeaderChar">
    <w:name w:val="Header Char"/>
    <w:basedOn w:val="DefaultParagraphFont"/>
    <w:link w:val="Header"/>
    <w:uiPriority w:val="99"/>
    <w:rsid w:val="00DF7DA0"/>
    <w:rPr>
      <w:rFonts w:ascii="Trebuchet MS" w:eastAsia="Times New Roman" w:hAnsi="Trebuchet MS"/>
      <w:sz w:val="22"/>
    </w:rPr>
  </w:style>
  <w:style w:type="paragraph" w:styleId="Footer">
    <w:name w:val="footer"/>
    <w:basedOn w:val="Normal"/>
    <w:link w:val="FooterChar"/>
    <w:uiPriority w:val="99"/>
    <w:unhideWhenUsed/>
    <w:rsid w:val="00DF7DA0"/>
    <w:pPr>
      <w:tabs>
        <w:tab w:val="center" w:pos="4513"/>
        <w:tab w:val="right" w:pos="9026"/>
      </w:tabs>
    </w:pPr>
  </w:style>
  <w:style w:type="character" w:customStyle="1" w:styleId="FooterChar">
    <w:name w:val="Footer Char"/>
    <w:basedOn w:val="DefaultParagraphFont"/>
    <w:link w:val="Footer"/>
    <w:uiPriority w:val="99"/>
    <w:rsid w:val="00DF7DA0"/>
    <w:rPr>
      <w:rFonts w:ascii="Trebuchet MS" w:eastAsia="Times New Roman" w:hAnsi="Trebuchet MS"/>
      <w:sz w:val="22"/>
    </w:rPr>
  </w:style>
  <w:style w:type="paragraph" w:styleId="FootnoteText">
    <w:name w:val="footnote text"/>
    <w:basedOn w:val="Normal"/>
    <w:link w:val="FootnoteTextChar"/>
    <w:semiHidden/>
    <w:unhideWhenUsed/>
    <w:rsid w:val="000C380F"/>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semiHidden/>
    <w:rsid w:val="000C380F"/>
    <w:rPr>
      <w:rFonts w:asciiTheme="minorHAnsi" w:eastAsiaTheme="minorEastAsia" w:hAnsiTheme="minorHAnsi" w:cstheme="minorBidi"/>
    </w:rPr>
  </w:style>
  <w:style w:type="character" w:styleId="FootnoteReference">
    <w:name w:val="footnote reference"/>
    <w:basedOn w:val="DefaultParagraphFont"/>
    <w:semiHidden/>
    <w:unhideWhenUsed/>
    <w:rsid w:val="000C38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styleId="Header">
    <w:name w:val="header"/>
    <w:basedOn w:val="Normal"/>
    <w:link w:val="HeaderChar"/>
    <w:uiPriority w:val="99"/>
    <w:unhideWhenUsed/>
    <w:rsid w:val="00DF7DA0"/>
    <w:pPr>
      <w:tabs>
        <w:tab w:val="center" w:pos="4513"/>
        <w:tab w:val="right" w:pos="9026"/>
      </w:tabs>
    </w:pPr>
  </w:style>
  <w:style w:type="character" w:customStyle="1" w:styleId="HeaderChar">
    <w:name w:val="Header Char"/>
    <w:basedOn w:val="DefaultParagraphFont"/>
    <w:link w:val="Header"/>
    <w:uiPriority w:val="99"/>
    <w:rsid w:val="00DF7DA0"/>
    <w:rPr>
      <w:rFonts w:ascii="Trebuchet MS" w:eastAsia="Times New Roman" w:hAnsi="Trebuchet MS"/>
      <w:sz w:val="22"/>
    </w:rPr>
  </w:style>
  <w:style w:type="paragraph" w:styleId="Footer">
    <w:name w:val="footer"/>
    <w:basedOn w:val="Normal"/>
    <w:link w:val="FooterChar"/>
    <w:uiPriority w:val="99"/>
    <w:unhideWhenUsed/>
    <w:rsid w:val="00DF7DA0"/>
    <w:pPr>
      <w:tabs>
        <w:tab w:val="center" w:pos="4513"/>
        <w:tab w:val="right" w:pos="9026"/>
      </w:tabs>
    </w:pPr>
  </w:style>
  <w:style w:type="character" w:customStyle="1" w:styleId="FooterChar">
    <w:name w:val="Footer Char"/>
    <w:basedOn w:val="DefaultParagraphFont"/>
    <w:link w:val="Footer"/>
    <w:uiPriority w:val="99"/>
    <w:rsid w:val="00DF7DA0"/>
    <w:rPr>
      <w:rFonts w:ascii="Trebuchet MS" w:eastAsia="Times New Roman" w:hAnsi="Trebuchet MS"/>
      <w:sz w:val="22"/>
    </w:rPr>
  </w:style>
  <w:style w:type="paragraph" w:styleId="FootnoteText">
    <w:name w:val="footnote text"/>
    <w:basedOn w:val="Normal"/>
    <w:link w:val="FootnoteTextChar"/>
    <w:semiHidden/>
    <w:unhideWhenUsed/>
    <w:rsid w:val="000C380F"/>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semiHidden/>
    <w:rsid w:val="000C380F"/>
    <w:rPr>
      <w:rFonts w:asciiTheme="minorHAnsi" w:eastAsiaTheme="minorEastAsia" w:hAnsiTheme="minorHAnsi" w:cstheme="minorBidi"/>
    </w:rPr>
  </w:style>
  <w:style w:type="character" w:styleId="FootnoteReference">
    <w:name w:val="footnote reference"/>
    <w:basedOn w:val="DefaultParagraphFont"/>
    <w:semiHidden/>
    <w:unhideWhenUsed/>
    <w:rsid w:val="000C3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3C5A-B6AA-421D-9A23-BFA6846D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Blaser, Craig</dc:creator>
  <cp:lastModifiedBy>Antonietta Discala</cp:lastModifiedBy>
  <cp:revision>2</cp:revision>
  <cp:lastPrinted>2012-11-13T01:53:00Z</cp:lastPrinted>
  <dcterms:created xsi:type="dcterms:W3CDTF">2014-06-18T23:07:00Z</dcterms:created>
  <dcterms:modified xsi:type="dcterms:W3CDTF">2014-06-18T23:07:00Z</dcterms:modified>
</cp:coreProperties>
</file>