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CD" w:rsidRDefault="00585CCD" w:rsidP="00585CCD">
      <w:pPr>
        <w:autoSpaceDE w:val="0"/>
        <w:autoSpaceDN w:val="0"/>
        <w:adjustRightInd w:val="0"/>
        <w:spacing w:after="0" w:line="240" w:lineRule="auto"/>
        <w:jc w:val="center"/>
        <w:rPr>
          <w:rFonts w:ascii="Arial,Bold" w:hAnsi="Arial,Bold" w:cs="Arial,Bold"/>
          <w:b/>
          <w:bCs/>
          <w:sz w:val="24"/>
          <w:szCs w:val="24"/>
        </w:rPr>
      </w:pPr>
      <w:bookmarkStart w:id="0" w:name="_GoBack"/>
      <w:bookmarkEnd w:id="0"/>
      <w:r>
        <w:rPr>
          <w:rFonts w:ascii="Arial,Bold" w:hAnsi="Arial,Bold" w:cs="Arial,Bold"/>
          <w:b/>
          <w:bCs/>
          <w:sz w:val="24"/>
          <w:szCs w:val="24"/>
        </w:rPr>
        <w:t>EXPLANATORY STATEMENT</w:t>
      </w:r>
    </w:p>
    <w:p w:rsidR="00585CCD" w:rsidRDefault="00585CCD" w:rsidP="00585CCD">
      <w:pPr>
        <w:autoSpaceDE w:val="0"/>
        <w:autoSpaceDN w:val="0"/>
        <w:adjustRightInd w:val="0"/>
        <w:spacing w:after="0" w:line="240" w:lineRule="auto"/>
        <w:rPr>
          <w:rFonts w:ascii="Arial,Bold" w:hAnsi="Arial,Bold" w:cs="Arial,Bold"/>
          <w:b/>
          <w:bCs/>
          <w:sz w:val="24"/>
          <w:szCs w:val="24"/>
        </w:rPr>
      </w:pPr>
    </w:p>
    <w:p w:rsidR="00585CCD" w:rsidRPr="00993923" w:rsidRDefault="00585CCD" w:rsidP="00585CCD">
      <w:pPr>
        <w:autoSpaceDE w:val="0"/>
        <w:autoSpaceDN w:val="0"/>
        <w:adjustRightInd w:val="0"/>
        <w:spacing w:after="0" w:line="240" w:lineRule="auto"/>
        <w:jc w:val="center"/>
        <w:rPr>
          <w:rFonts w:cs="Arial"/>
          <w:b/>
          <w:bCs/>
          <w:sz w:val="24"/>
          <w:szCs w:val="24"/>
        </w:rPr>
      </w:pPr>
      <w:r w:rsidRPr="00993923">
        <w:rPr>
          <w:rFonts w:cs="Arial"/>
          <w:b/>
          <w:bCs/>
          <w:sz w:val="24"/>
          <w:szCs w:val="24"/>
        </w:rPr>
        <w:t>Social Security (</w:t>
      </w:r>
      <w:r w:rsidRPr="00993923">
        <w:rPr>
          <w:rFonts w:cs="Arial"/>
          <w:b/>
          <w:color w:val="000000" w:themeColor="text1"/>
          <w:sz w:val="24"/>
          <w:szCs w:val="24"/>
        </w:rPr>
        <w:t xml:space="preserve">Class of Visas – </w:t>
      </w:r>
      <w:r w:rsidR="00CB58CD">
        <w:rPr>
          <w:rFonts w:cs="Arial"/>
          <w:b/>
          <w:color w:val="000000" w:themeColor="text1"/>
          <w:sz w:val="24"/>
          <w:szCs w:val="24"/>
        </w:rPr>
        <w:t>Newly Arrived Resident’s Waiting Period for Special Benefit</w:t>
      </w:r>
      <w:r w:rsidRPr="00993923">
        <w:rPr>
          <w:rFonts w:cs="Arial"/>
          <w:b/>
          <w:color w:val="000000" w:themeColor="text1"/>
          <w:sz w:val="24"/>
          <w:szCs w:val="24"/>
        </w:rPr>
        <w:t>) Determination 2014</w:t>
      </w:r>
    </w:p>
    <w:p w:rsidR="00585CCD" w:rsidRDefault="00585CCD" w:rsidP="00585CCD">
      <w:pPr>
        <w:autoSpaceDE w:val="0"/>
        <w:autoSpaceDN w:val="0"/>
        <w:adjustRightInd w:val="0"/>
        <w:spacing w:after="0" w:line="240" w:lineRule="auto"/>
        <w:jc w:val="center"/>
        <w:rPr>
          <w:rFonts w:ascii="Arial,Bold" w:hAnsi="Arial,Bold" w:cs="Arial,Bold"/>
          <w:b/>
          <w:bCs/>
          <w:sz w:val="24"/>
          <w:szCs w:val="24"/>
        </w:rPr>
      </w:pPr>
    </w:p>
    <w:p w:rsidR="00585CCD" w:rsidRDefault="00585CCD" w:rsidP="00585CCD">
      <w:pPr>
        <w:rPr>
          <w:rFonts w:ascii="Arial,Bold" w:hAnsi="Arial,Bold" w:cs="Arial,Bold"/>
          <w:b/>
          <w:bCs/>
          <w:sz w:val="24"/>
          <w:szCs w:val="24"/>
        </w:rPr>
      </w:pPr>
      <w:r>
        <w:rPr>
          <w:rFonts w:ascii="Arial,Bold" w:hAnsi="Arial,Bold" w:cs="Arial,Bold"/>
          <w:b/>
          <w:bCs/>
          <w:sz w:val="24"/>
          <w:szCs w:val="24"/>
        </w:rPr>
        <w:t>Purpose</w:t>
      </w:r>
    </w:p>
    <w:p w:rsidR="007B0256" w:rsidRDefault="00CB58CD" w:rsidP="004B54CA">
      <w:pPr>
        <w:rPr>
          <w:sz w:val="24"/>
          <w:szCs w:val="24"/>
        </w:rPr>
      </w:pPr>
      <w:r>
        <w:rPr>
          <w:rStyle w:val="BookTitle"/>
          <w:i w:val="0"/>
          <w:iCs w:val="0"/>
          <w:smallCaps w:val="0"/>
          <w:spacing w:val="0"/>
          <w:sz w:val="24"/>
          <w:szCs w:val="24"/>
        </w:rPr>
        <w:t xml:space="preserve">The purpose of this Determination is to exempt </w:t>
      </w:r>
      <w:r w:rsidR="00F94E62">
        <w:rPr>
          <w:rStyle w:val="BookTitle"/>
          <w:i w:val="0"/>
          <w:iCs w:val="0"/>
          <w:smallCaps w:val="0"/>
          <w:spacing w:val="0"/>
          <w:sz w:val="24"/>
          <w:szCs w:val="24"/>
        </w:rPr>
        <w:t xml:space="preserve">holders of a </w:t>
      </w:r>
      <w:r>
        <w:rPr>
          <w:rStyle w:val="BookTitle"/>
          <w:i w:val="0"/>
          <w:iCs w:val="0"/>
          <w:smallCaps w:val="0"/>
          <w:spacing w:val="0"/>
          <w:sz w:val="24"/>
          <w:szCs w:val="24"/>
        </w:rPr>
        <w:t xml:space="preserve">Subclass 449 </w:t>
      </w:r>
      <w:r>
        <w:rPr>
          <w:sz w:val="24"/>
          <w:szCs w:val="24"/>
        </w:rPr>
        <w:t xml:space="preserve">(Humanitarian Stay (Temporary)) visa from the newly arrived resident’s waiting period for </w:t>
      </w:r>
      <w:r w:rsidR="00F94E62">
        <w:rPr>
          <w:sz w:val="24"/>
          <w:szCs w:val="24"/>
        </w:rPr>
        <w:t>S</w:t>
      </w:r>
      <w:r>
        <w:rPr>
          <w:sz w:val="24"/>
          <w:szCs w:val="24"/>
        </w:rPr>
        <w:t xml:space="preserve">pecial </w:t>
      </w:r>
      <w:r w:rsidR="00F94E62">
        <w:rPr>
          <w:sz w:val="24"/>
          <w:szCs w:val="24"/>
        </w:rPr>
        <w:t>B</w:t>
      </w:r>
      <w:r>
        <w:rPr>
          <w:sz w:val="24"/>
          <w:szCs w:val="24"/>
        </w:rPr>
        <w:t>enefit.</w:t>
      </w:r>
    </w:p>
    <w:p w:rsidR="002B5353" w:rsidRDefault="002B5353" w:rsidP="004B54CA">
      <w:pPr>
        <w:rPr>
          <w:b/>
          <w:sz w:val="24"/>
          <w:szCs w:val="24"/>
        </w:rPr>
      </w:pPr>
      <w:r>
        <w:rPr>
          <w:b/>
          <w:sz w:val="24"/>
          <w:szCs w:val="24"/>
        </w:rPr>
        <w:t>Background</w:t>
      </w:r>
    </w:p>
    <w:p w:rsidR="002B5353" w:rsidRDefault="00646B91" w:rsidP="004B54CA">
      <w:pPr>
        <w:rPr>
          <w:rStyle w:val="BookTitle"/>
          <w:i w:val="0"/>
          <w:iCs w:val="0"/>
          <w:smallCaps w:val="0"/>
          <w:spacing w:val="0"/>
          <w:sz w:val="24"/>
          <w:szCs w:val="24"/>
        </w:rPr>
      </w:pPr>
      <w:r>
        <w:rPr>
          <w:rStyle w:val="BookTitle"/>
          <w:i w:val="0"/>
          <w:iCs w:val="0"/>
          <w:smallCaps w:val="0"/>
          <w:spacing w:val="0"/>
          <w:sz w:val="24"/>
          <w:szCs w:val="24"/>
        </w:rPr>
        <w:t xml:space="preserve">A person may be qualified for special benefit if, among other things, they are an Australian resident or the holder of a visa that is in a class of visas determined by the Minister for the purpose of subparagraph 729(2)(f)(v) of the </w:t>
      </w:r>
      <w:r>
        <w:rPr>
          <w:rStyle w:val="BookTitle"/>
          <w:iCs w:val="0"/>
          <w:smallCaps w:val="0"/>
          <w:spacing w:val="0"/>
          <w:sz w:val="24"/>
          <w:szCs w:val="24"/>
        </w:rPr>
        <w:t xml:space="preserve">Social Security Act 1991 </w:t>
      </w:r>
      <w:r>
        <w:rPr>
          <w:rStyle w:val="BookTitle"/>
          <w:i w:val="0"/>
          <w:iCs w:val="0"/>
          <w:smallCaps w:val="0"/>
          <w:spacing w:val="0"/>
          <w:sz w:val="24"/>
          <w:szCs w:val="24"/>
        </w:rPr>
        <w:t xml:space="preserve">(the Act). The </w:t>
      </w:r>
      <w:r>
        <w:rPr>
          <w:rStyle w:val="BookTitle"/>
          <w:iCs w:val="0"/>
          <w:smallCaps w:val="0"/>
          <w:spacing w:val="0"/>
          <w:sz w:val="24"/>
          <w:szCs w:val="24"/>
        </w:rPr>
        <w:t>Social Security (Class of Visas – Qualification for Special Benefit) Determination 2014</w:t>
      </w:r>
      <w:r>
        <w:rPr>
          <w:rStyle w:val="BookTitle"/>
          <w:i w:val="0"/>
          <w:iCs w:val="0"/>
          <w:smallCaps w:val="0"/>
          <w:spacing w:val="0"/>
          <w:sz w:val="24"/>
          <w:szCs w:val="24"/>
        </w:rPr>
        <w:t xml:space="preserve"> determines Subclass 449 visas as a class of visas for the purpose of subparagraph 729(2)(f)(v).</w:t>
      </w:r>
    </w:p>
    <w:p w:rsidR="00EF0EA9" w:rsidRDefault="00646B91" w:rsidP="004B54CA">
      <w:pPr>
        <w:rPr>
          <w:rStyle w:val="BookTitle"/>
          <w:i w:val="0"/>
          <w:iCs w:val="0"/>
          <w:smallCaps w:val="0"/>
          <w:spacing w:val="0"/>
          <w:sz w:val="24"/>
          <w:szCs w:val="24"/>
        </w:rPr>
      </w:pPr>
      <w:r>
        <w:rPr>
          <w:rStyle w:val="BookTitle"/>
          <w:i w:val="0"/>
          <w:iCs w:val="0"/>
          <w:smallCaps w:val="0"/>
          <w:spacing w:val="0"/>
          <w:sz w:val="24"/>
          <w:szCs w:val="24"/>
        </w:rPr>
        <w:t xml:space="preserve">Subsection </w:t>
      </w:r>
      <w:proofErr w:type="gramStart"/>
      <w:r>
        <w:rPr>
          <w:rStyle w:val="BookTitle"/>
          <w:i w:val="0"/>
          <w:iCs w:val="0"/>
          <w:smallCaps w:val="0"/>
          <w:spacing w:val="0"/>
          <w:sz w:val="24"/>
          <w:szCs w:val="24"/>
        </w:rPr>
        <w:t>739A</w:t>
      </w:r>
      <w:r w:rsidR="003B7D0A">
        <w:rPr>
          <w:rStyle w:val="BookTitle"/>
          <w:i w:val="0"/>
          <w:iCs w:val="0"/>
          <w:smallCaps w:val="0"/>
          <w:spacing w:val="0"/>
          <w:sz w:val="24"/>
          <w:szCs w:val="24"/>
        </w:rPr>
        <w:t>(</w:t>
      </w:r>
      <w:proofErr w:type="gramEnd"/>
      <w:r w:rsidR="003B7D0A">
        <w:rPr>
          <w:rStyle w:val="BookTitle"/>
          <w:i w:val="0"/>
          <w:iCs w:val="0"/>
          <w:smallCaps w:val="0"/>
          <w:spacing w:val="0"/>
          <w:sz w:val="24"/>
          <w:szCs w:val="24"/>
        </w:rPr>
        <w:t>1)</w:t>
      </w:r>
      <w:r>
        <w:rPr>
          <w:rStyle w:val="BookTitle"/>
          <w:i w:val="0"/>
          <w:iCs w:val="0"/>
          <w:smallCaps w:val="0"/>
          <w:spacing w:val="0"/>
          <w:sz w:val="24"/>
          <w:szCs w:val="24"/>
        </w:rPr>
        <w:t xml:space="preserve"> of the Act provides that subject to </w:t>
      </w:r>
      <w:r w:rsidR="003B7D0A">
        <w:rPr>
          <w:rStyle w:val="BookTitle"/>
          <w:i w:val="0"/>
          <w:iCs w:val="0"/>
          <w:smallCaps w:val="0"/>
          <w:spacing w:val="0"/>
          <w:sz w:val="24"/>
          <w:szCs w:val="24"/>
        </w:rPr>
        <w:t>some exceptions</w:t>
      </w:r>
      <w:r>
        <w:rPr>
          <w:rStyle w:val="BookTitle"/>
          <w:i w:val="0"/>
          <w:iCs w:val="0"/>
          <w:smallCaps w:val="0"/>
          <w:spacing w:val="0"/>
          <w:sz w:val="24"/>
          <w:szCs w:val="24"/>
        </w:rPr>
        <w:t xml:space="preserve">, </w:t>
      </w:r>
      <w:r w:rsidR="00F94E62">
        <w:rPr>
          <w:rStyle w:val="BookTitle"/>
          <w:i w:val="0"/>
          <w:iCs w:val="0"/>
          <w:smallCaps w:val="0"/>
          <w:spacing w:val="0"/>
          <w:sz w:val="24"/>
          <w:szCs w:val="24"/>
        </w:rPr>
        <w:t>certain persons are subject to a newly arrived resident’s waiting period. This includes a</w:t>
      </w:r>
      <w:r>
        <w:rPr>
          <w:rStyle w:val="BookTitle"/>
          <w:i w:val="0"/>
          <w:iCs w:val="0"/>
          <w:smallCaps w:val="0"/>
          <w:spacing w:val="0"/>
          <w:sz w:val="24"/>
          <w:szCs w:val="24"/>
        </w:rPr>
        <w:t xml:space="preserve"> person who enters Australia</w:t>
      </w:r>
      <w:r w:rsidR="003B7D0A">
        <w:rPr>
          <w:rStyle w:val="BookTitle"/>
          <w:i w:val="0"/>
          <w:iCs w:val="0"/>
          <w:smallCaps w:val="0"/>
          <w:spacing w:val="0"/>
          <w:sz w:val="24"/>
          <w:szCs w:val="24"/>
        </w:rPr>
        <w:t xml:space="preserve"> (paragraph </w:t>
      </w:r>
      <w:proofErr w:type="gramStart"/>
      <w:r w:rsidR="003B7D0A">
        <w:rPr>
          <w:rStyle w:val="BookTitle"/>
          <w:i w:val="0"/>
          <w:iCs w:val="0"/>
          <w:smallCaps w:val="0"/>
          <w:spacing w:val="0"/>
          <w:sz w:val="24"/>
          <w:szCs w:val="24"/>
        </w:rPr>
        <w:t>739A(</w:t>
      </w:r>
      <w:proofErr w:type="gramEnd"/>
      <w:r w:rsidR="003B7D0A">
        <w:rPr>
          <w:rStyle w:val="BookTitle"/>
          <w:i w:val="0"/>
          <w:iCs w:val="0"/>
          <w:smallCaps w:val="0"/>
          <w:spacing w:val="0"/>
          <w:sz w:val="24"/>
          <w:szCs w:val="24"/>
        </w:rPr>
        <w:t>1)(a))</w:t>
      </w:r>
      <w:r>
        <w:rPr>
          <w:rStyle w:val="BookTitle"/>
          <w:i w:val="0"/>
          <w:iCs w:val="0"/>
          <w:smallCaps w:val="0"/>
          <w:spacing w:val="0"/>
          <w:sz w:val="24"/>
          <w:szCs w:val="24"/>
        </w:rPr>
        <w:t>.</w:t>
      </w:r>
      <w:r w:rsidR="00EF0EA9">
        <w:rPr>
          <w:rStyle w:val="BookTitle"/>
          <w:i w:val="0"/>
          <w:iCs w:val="0"/>
          <w:smallCaps w:val="0"/>
          <w:spacing w:val="0"/>
          <w:sz w:val="24"/>
          <w:szCs w:val="24"/>
        </w:rPr>
        <w:t xml:space="preserve"> </w:t>
      </w:r>
    </w:p>
    <w:p w:rsidR="00EF0EA9" w:rsidRDefault="00EF0EA9" w:rsidP="004B54CA">
      <w:pPr>
        <w:rPr>
          <w:rStyle w:val="BookTitle"/>
          <w:i w:val="0"/>
          <w:iCs w:val="0"/>
          <w:smallCaps w:val="0"/>
          <w:spacing w:val="0"/>
          <w:sz w:val="24"/>
          <w:szCs w:val="24"/>
        </w:rPr>
      </w:pPr>
      <w:r>
        <w:rPr>
          <w:rStyle w:val="BookTitle"/>
          <w:i w:val="0"/>
          <w:iCs w:val="0"/>
          <w:smallCaps w:val="0"/>
          <w:spacing w:val="0"/>
          <w:sz w:val="24"/>
          <w:szCs w:val="24"/>
        </w:rPr>
        <w:t xml:space="preserve">Subsection </w:t>
      </w:r>
      <w:proofErr w:type="gramStart"/>
      <w:r>
        <w:rPr>
          <w:rStyle w:val="BookTitle"/>
          <w:i w:val="0"/>
          <w:iCs w:val="0"/>
          <w:smallCaps w:val="0"/>
          <w:spacing w:val="0"/>
          <w:sz w:val="24"/>
          <w:szCs w:val="24"/>
        </w:rPr>
        <w:t>739A(</w:t>
      </w:r>
      <w:proofErr w:type="gramEnd"/>
      <w:r>
        <w:rPr>
          <w:rStyle w:val="BookTitle"/>
          <w:i w:val="0"/>
          <w:iCs w:val="0"/>
          <w:smallCaps w:val="0"/>
          <w:spacing w:val="0"/>
          <w:sz w:val="24"/>
          <w:szCs w:val="24"/>
        </w:rPr>
        <w:t>5) of the Act provides that if a person is subject to a newly arrived resident’s waiting period and neither subsection 739A(3) nor (4) apply to the person, then the waiting period starts on the day on which the person first entered Australia or becomes the holder of a permanent visa, whichever occurs last, and ends 104 weeks after that day.</w:t>
      </w:r>
    </w:p>
    <w:p w:rsidR="00EF0EA9" w:rsidRDefault="00EF0EA9" w:rsidP="004B54CA">
      <w:pPr>
        <w:rPr>
          <w:rStyle w:val="BookTitle"/>
          <w:i w:val="0"/>
          <w:iCs w:val="0"/>
          <w:smallCaps w:val="0"/>
          <w:spacing w:val="0"/>
          <w:sz w:val="24"/>
          <w:szCs w:val="24"/>
        </w:rPr>
      </w:pPr>
      <w:r>
        <w:rPr>
          <w:rStyle w:val="BookTitle"/>
          <w:i w:val="0"/>
          <w:iCs w:val="0"/>
          <w:smallCaps w:val="0"/>
          <w:spacing w:val="0"/>
          <w:sz w:val="24"/>
          <w:szCs w:val="24"/>
        </w:rPr>
        <w:t xml:space="preserve">Subsections </w:t>
      </w:r>
      <w:proofErr w:type="gramStart"/>
      <w:r>
        <w:rPr>
          <w:rStyle w:val="BookTitle"/>
          <w:i w:val="0"/>
          <w:iCs w:val="0"/>
          <w:smallCaps w:val="0"/>
          <w:spacing w:val="0"/>
          <w:sz w:val="24"/>
          <w:szCs w:val="24"/>
        </w:rPr>
        <w:t>739A(</w:t>
      </w:r>
      <w:proofErr w:type="gramEnd"/>
      <w:r>
        <w:rPr>
          <w:rStyle w:val="BookTitle"/>
          <w:i w:val="0"/>
          <w:iCs w:val="0"/>
          <w:smallCaps w:val="0"/>
          <w:spacing w:val="0"/>
          <w:sz w:val="24"/>
          <w:szCs w:val="24"/>
        </w:rPr>
        <w:t xml:space="preserve">3) and (4) </w:t>
      </w:r>
      <w:r w:rsidR="00F94E62">
        <w:rPr>
          <w:rStyle w:val="BookTitle"/>
          <w:i w:val="0"/>
          <w:iCs w:val="0"/>
          <w:smallCaps w:val="0"/>
          <w:spacing w:val="0"/>
          <w:sz w:val="24"/>
          <w:szCs w:val="24"/>
        </w:rPr>
        <w:t>a</w:t>
      </w:r>
      <w:r>
        <w:rPr>
          <w:rStyle w:val="BookTitle"/>
          <w:i w:val="0"/>
          <w:iCs w:val="0"/>
          <w:smallCaps w:val="0"/>
          <w:spacing w:val="0"/>
          <w:sz w:val="24"/>
          <w:szCs w:val="24"/>
        </w:rPr>
        <w:t xml:space="preserve">pply to persons who have applied for or held certain visas determined by the Minister in a legislative instrument. The Minister has not determined a Subclass 449 visa for the purpose of either subsection </w:t>
      </w:r>
      <w:proofErr w:type="gramStart"/>
      <w:r>
        <w:rPr>
          <w:rStyle w:val="BookTitle"/>
          <w:i w:val="0"/>
          <w:iCs w:val="0"/>
          <w:smallCaps w:val="0"/>
          <w:spacing w:val="0"/>
          <w:sz w:val="24"/>
          <w:szCs w:val="24"/>
        </w:rPr>
        <w:t>739A(</w:t>
      </w:r>
      <w:proofErr w:type="gramEnd"/>
      <w:r>
        <w:rPr>
          <w:rStyle w:val="BookTitle"/>
          <w:i w:val="0"/>
          <w:iCs w:val="0"/>
          <w:smallCaps w:val="0"/>
          <w:spacing w:val="0"/>
          <w:sz w:val="24"/>
          <w:szCs w:val="24"/>
        </w:rPr>
        <w:t xml:space="preserve">3) or (4). </w:t>
      </w:r>
      <w:r w:rsidR="003B7D0A">
        <w:rPr>
          <w:rStyle w:val="BookTitle"/>
          <w:i w:val="0"/>
          <w:iCs w:val="0"/>
          <w:smallCaps w:val="0"/>
          <w:spacing w:val="0"/>
          <w:sz w:val="24"/>
          <w:szCs w:val="24"/>
        </w:rPr>
        <w:t>This means</w:t>
      </w:r>
      <w:r>
        <w:rPr>
          <w:rStyle w:val="BookTitle"/>
          <w:i w:val="0"/>
          <w:iCs w:val="0"/>
          <w:smallCaps w:val="0"/>
          <w:spacing w:val="0"/>
          <w:sz w:val="24"/>
          <w:szCs w:val="24"/>
        </w:rPr>
        <w:t xml:space="preserve"> that unless an exemption applies, the newly arrived resident’s waiting period </w:t>
      </w:r>
      <w:r w:rsidR="009942E5">
        <w:rPr>
          <w:rStyle w:val="BookTitle"/>
          <w:i w:val="0"/>
          <w:iCs w:val="0"/>
          <w:smallCaps w:val="0"/>
          <w:spacing w:val="0"/>
          <w:sz w:val="24"/>
          <w:szCs w:val="24"/>
        </w:rPr>
        <w:t xml:space="preserve">set out </w:t>
      </w:r>
      <w:r>
        <w:rPr>
          <w:rStyle w:val="BookTitle"/>
          <w:i w:val="0"/>
          <w:iCs w:val="0"/>
          <w:smallCaps w:val="0"/>
          <w:spacing w:val="0"/>
          <w:sz w:val="24"/>
          <w:szCs w:val="24"/>
        </w:rPr>
        <w:t xml:space="preserve">in </w:t>
      </w:r>
      <w:r w:rsidR="009942E5">
        <w:rPr>
          <w:rStyle w:val="BookTitle"/>
          <w:i w:val="0"/>
          <w:iCs w:val="0"/>
          <w:smallCaps w:val="0"/>
          <w:spacing w:val="0"/>
          <w:sz w:val="24"/>
          <w:szCs w:val="24"/>
        </w:rPr>
        <w:t xml:space="preserve">subsection </w:t>
      </w:r>
      <w:proofErr w:type="gramStart"/>
      <w:r w:rsidR="009942E5">
        <w:rPr>
          <w:rStyle w:val="BookTitle"/>
          <w:i w:val="0"/>
          <w:iCs w:val="0"/>
          <w:smallCaps w:val="0"/>
          <w:spacing w:val="0"/>
          <w:sz w:val="24"/>
          <w:szCs w:val="24"/>
        </w:rPr>
        <w:t>739A(</w:t>
      </w:r>
      <w:proofErr w:type="gramEnd"/>
      <w:r w:rsidR="009942E5">
        <w:rPr>
          <w:rStyle w:val="BookTitle"/>
          <w:i w:val="0"/>
          <w:iCs w:val="0"/>
          <w:smallCaps w:val="0"/>
          <w:spacing w:val="0"/>
          <w:sz w:val="24"/>
          <w:szCs w:val="24"/>
        </w:rPr>
        <w:t>5) would apply to the holder of a Subclass 449 visa.</w:t>
      </w:r>
    </w:p>
    <w:p w:rsidR="00EF0EA9" w:rsidRDefault="00EF0EA9" w:rsidP="004B54CA">
      <w:pPr>
        <w:rPr>
          <w:rStyle w:val="BookTitle"/>
          <w:i w:val="0"/>
          <w:iCs w:val="0"/>
          <w:smallCaps w:val="0"/>
          <w:spacing w:val="0"/>
          <w:sz w:val="24"/>
          <w:szCs w:val="24"/>
        </w:rPr>
      </w:pPr>
      <w:r>
        <w:rPr>
          <w:rStyle w:val="BookTitle"/>
          <w:i w:val="0"/>
          <w:iCs w:val="0"/>
          <w:smallCaps w:val="0"/>
          <w:spacing w:val="0"/>
          <w:sz w:val="24"/>
          <w:szCs w:val="24"/>
        </w:rPr>
        <w:t xml:space="preserve">Subsection 739A(6) provides that </w:t>
      </w:r>
      <w:r w:rsidR="009942E5">
        <w:rPr>
          <w:rStyle w:val="BookTitle"/>
          <w:i w:val="0"/>
          <w:iCs w:val="0"/>
          <w:smallCaps w:val="0"/>
          <w:spacing w:val="0"/>
          <w:sz w:val="24"/>
          <w:szCs w:val="24"/>
        </w:rPr>
        <w:t>the newly arrived resident’s waiting period in subsection 739A(1) does not apply if the person holds, or was the former holder of, a visa in a class of visas determined by the Minister, by legislative instrument, for the purpose of subsection 739A(6).</w:t>
      </w:r>
    </w:p>
    <w:p w:rsidR="009942E5" w:rsidRDefault="009942E5" w:rsidP="009942E5">
      <w:pPr>
        <w:rPr>
          <w:rStyle w:val="BookTitle"/>
          <w:b/>
          <w:i w:val="0"/>
          <w:iCs w:val="0"/>
          <w:smallCaps w:val="0"/>
          <w:spacing w:val="0"/>
          <w:sz w:val="24"/>
          <w:szCs w:val="24"/>
        </w:rPr>
      </w:pPr>
      <w:r>
        <w:rPr>
          <w:rStyle w:val="BookTitle"/>
          <w:b/>
          <w:i w:val="0"/>
          <w:iCs w:val="0"/>
          <w:smallCaps w:val="0"/>
          <w:spacing w:val="0"/>
          <w:sz w:val="24"/>
          <w:szCs w:val="24"/>
        </w:rPr>
        <w:t>Explanation of the provisions</w:t>
      </w:r>
    </w:p>
    <w:p w:rsidR="009942E5" w:rsidRDefault="009942E5" w:rsidP="009942E5">
      <w:pPr>
        <w:rPr>
          <w:rStyle w:val="BookTitle"/>
          <w:i w:val="0"/>
          <w:iCs w:val="0"/>
          <w:smallCaps w:val="0"/>
          <w:spacing w:val="0"/>
          <w:sz w:val="24"/>
          <w:szCs w:val="24"/>
        </w:rPr>
      </w:pPr>
      <w:r>
        <w:rPr>
          <w:rStyle w:val="BookTitle"/>
          <w:b/>
          <w:i w:val="0"/>
          <w:iCs w:val="0"/>
          <w:smallCaps w:val="0"/>
          <w:spacing w:val="0"/>
          <w:sz w:val="24"/>
          <w:szCs w:val="24"/>
        </w:rPr>
        <w:t xml:space="preserve">Section 1 </w:t>
      </w:r>
      <w:r>
        <w:rPr>
          <w:rStyle w:val="BookTitle"/>
          <w:i w:val="0"/>
          <w:iCs w:val="0"/>
          <w:smallCaps w:val="0"/>
          <w:spacing w:val="0"/>
          <w:sz w:val="24"/>
          <w:szCs w:val="24"/>
        </w:rPr>
        <w:t>sets out the name of the Determination.</w:t>
      </w:r>
    </w:p>
    <w:p w:rsidR="009942E5" w:rsidRDefault="009942E5" w:rsidP="009942E5">
      <w:pPr>
        <w:rPr>
          <w:rStyle w:val="BookTitle"/>
          <w:i w:val="0"/>
          <w:iCs w:val="0"/>
          <w:smallCaps w:val="0"/>
          <w:spacing w:val="0"/>
          <w:sz w:val="24"/>
          <w:szCs w:val="24"/>
        </w:rPr>
      </w:pPr>
      <w:r>
        <w:rPr>
          <w:rStyle w:val="BookTitle"/>
          <w:b/>
          <w:i w:val="0"/>
          <w:iCs w:val="0"/>
          <w:smallCaps w:val="0"/>
          <w:spacing w:val="0"/>
          <w:sz w:val="24"/>
          <w:szCs w:val="24"/>
        </w:rPr>
        <w:t xml:space="preserve">Section 2 </w:t>
      </w:r>
      <w:r>
        <w:rPr>
          <w:rStyle w:val="BookTitle"/>
          <w:i w:val="0"/>
          <w:iCs w:val="0"/>
          <w:smallCaps w:val="0"/>
          <w:spacing w:val="0"/>
          <w:sz w:val="24"/>
          <w:szCs w:val="24"/>
        </w:rPr>
        <w:t>provides that the Determination commences on the day after it is registered.</w:t>
      </w:r>
    </w:p>
    <w:p w:rsidR="00D05BC8" w:rsidRDefault="009942E5" w:rsidP="009942E5">
      <w:pPr>
        <w:rPr>
          <w:sz w:val="24"/>
          <w:szCs w:val="24"/>
        </w:rPr>
      </w:pPr>
      <w:r>
        <w:rPr>
          <w:rStyle w:val="BookTitle"/>
          <w:b/>
          <w:i w:val="0"/>
          <w:iCs w:val="0"/>
          <w:smallCaps w:val="0"/>
          <w:spacing w:val="0"/>
          <w:sz w:val="24"/>
          <w:szCs w:val="24"/>
        </w:rPr>
        <w:lastRenderedPageBreak/>
        <w:t xml:space="preserve">Section 3 </w:t>
      </w:r>
      <w:r>
        <w:rPr>
          <w:rStyle w:val="BookTitle"/>
          <w:i w:val="0"/>
          <w:iCs w:val="0"/>
          <w:smallCaps w:val="0"/>
          <w:spacing w:val="0"/>
          <w:sz w:val="24"/>
          <w:szCs w:val="24"/>
        </w:rPr>
        <w:t xml:space="preserve">provides that </w:t>
      </w:r>
      <w:r>
        <w:rPr>
          <w:sz w:val="24"/>
          <w:szCs w:val="24"/>
        </w:rPr>
        <w:t xml:space="preserve">Subclass 449 (Humanitarian Stay (Temporary)) is a class of visa for the purpose of subsection </w:t>
      </w:r>
      <w:proofErr w:type="gramStart"/>
      <w:r>
        <w:rPr>
          <w:sz w:val="24"/>
          <w:szCs w:val="24"/>
        </w:rPr>
        <w:t>739A(</w:t>
      </w:r>
      <w:proofErr w:type="gramEnd"/>
      <w:r>
        <w:rPr>
          <w:sz w:val="24"/>
          <w:szCs w:val="24"/>
        </w:rPr>
        <w:t>6) of the Act. The effect of this is to exempt Subclass 449 visa holders from the newly arrived</w:t>
      </w:r>
      <w:r w:rsidR="00D05BC8">
        <w:rPr>
          <w:sz w:val="24"/>
          <w:szCs w:val="24"/>
        </w:rPr>
        <w:t xml:space="preserve"> resident’s waiting period for S</w:t>
      </w:r>
      <w:r>
        <w:rPr>
          <w:sz w:val="24"/>
          <w:szCs w:val="24"/>
        </w:rPr>
        <w:t xml:space="preserve">pecial </w:t>
      </w:r>
      <w:r w:rsidR="00D05BC8">
        <w:rPr>
          <w:sz w:val="24"/>
          <w:szCs w:val="24"/>
        </w:rPr>
        <w:t>B</w:t>
      </w:r>
      <w:r>
        <w:rPr>
          <w:sz w:val="24"/>
          <w:szCs w:val="24"/>
        </w:rPr>
        <w:t>enefit.</w:t>
      </w:r>
      <w:r w:rsidR="00D05BC8">
        <w:rPr>
          <w:sz w:val="24"/>
          <w:szCs w:val="24"/>
        </w:rPr>
        <w:t xml:space="preserve"> This means that if a Subclass 449 visa holder meets the other criteria for the grant of Special Benefit, they will be eligible to be paid Special Benefit immediately.</w:t>
      </w:r>
    </w:p>
    <w:p w:rsidR="009021CF" w:rsidRDefault="009021CF" w:rsidP="009942E5">
      <w:pPr>
        <w:rPr>
          <w:sz w:val="24"/>
          <w:szCs w:val="24"/>
        </w:rPr>
      </w:pPr>
      <w:r>
        <w:rPr>
          <w:sz w:val="24"/>
          <w:szCs w:val="24"/>
        </w:rPr>
        <w:t xml:space="preserve">Other legislative instruments made for the purpose of subsection </w:t>
      </w:r>
      <w:proofErr w:type="gramStart"/>
      <w:r>
        <w:rPr>
          <w:sz w:val="24"/>
          <w:szCs w:val="24"/>
        </w:rPr>
        <w:t>739A(</w:t>
      </w:r>
      <w:proofErr w:type="gramEnd"/>
      <w:r>
        <w:rPr>
          <w:sz w:val="24"/>
          <w:szCs w:val="24"/>
        </w:rPr>
        <w:t xml:space="preserve">6) determine visa classes that are granted for humanitarian reasons. As Subclass 449 visas are also granted for humanitarian reasons, it is appropriate to also exempt the holders of those visas from the newly arrived resident’s waiting period for </w:t>
      </w:r>
      <w:r w:rsidR="00D05BC8">
        <w:rPr>
          <w:sz w:val="24"/>
          <w:szCs w:val="24"/>
        </w:rPr>
        <w:t>S</w:t>
      </w:r>
      <w:r>
        <w:rPr>
          <w:sz w:val="24"/>
          <w:szCs w:val="24"/>
        </w:rPr>
        <w:t xml:space="preserve">pecial </w:t>
      </w:r>
      <w:r w:rsidR="00D05BC8">
        <w:rPr>
          <w:sz w:val="24"/>
          <w:szCs w:val="24"/>
        </w:rPr>
        <w:t>B</w:t>
      </w:r>
      <w:r>
        <w:rPr>
          <w:sz w:val="24"/>
          <w:szCs w:val="24"/>
        </w:rPr>
        <w:t xml:space="preserve">enefit. </w:t>
      </w:r>
    </w:p>
    <w:p w:rsidR="009942E5" w:rsidRDefault="009942E5" w:rsidP="009942E5">
      <w:pPr>
        <w:rPr>
          <w:b/>
          <w:sz w:val="24"/>
          <w:szCs w:val="24"/>
        </w:rPr>
      </w:pPr>
      <w:r>
        <w:rPr>
          <w:b/>
          <w:sz w:val="24"/>
          <w:szCs w:val="24"/>
        </w:rPr>
        <w:t>Consultation</w:t>
      </w:r>
    </w:p>
    <w:p w:rsidR="009942E5" w:rsidRDefault="009942E5" w:rsidP="009942E5">
      <w:pPr>
        <w:rPr>
          <w:sz w:val="24"/>
          <w:szCs w:val="24"/>
        </w:rPr>
      </w:pPr>
      <w:r>
        <w:rPr>
          <w:sz w:val="24"/>
          <w:szCs w:val="24"/>
        </w:rPr>
        <w:t>No consultation was considered necessary for the purpose of this Determination.</w:t>
      </w:r>
    </w:p>
    <w:p w:rsidR="009942E5" w:rsidRDefault="009942E5" w:rsidP="009942E5">
      <w:pPr>
        <w:rPr>
          <w:b/>
          <w:sz w:val="24"/>
          <w:szCs w:val="24"/>
        </w:rPr>
      </w:pPr>
      <w:r>
        <w:rPr>
          <w:b/>
          <w:sz w:val="24"/>
          <w:szCs w:val="24"/>
        </w:rPr>
        <w:t>Regulation Impact Analysis</w:t>
      </w:r>
    </w:p>
    <w:p w:rsidR="009942E5" w:rsidRDefault="009942E5" w:rsidP="009942E5">
      <w:pPr>
        <w:rPr>
          <w:sz w:val="24"/>
          <w:szCs w:val="24"/>
        </w:rPr>
      </w:pPr>
      <w:r>
        <w:rPr>
          <w:sz w:val="24"/>
          <w:szCs w:val="24"/>
        </w:rPr>
        <w:t xml:space="preserve">The Determination does not require a Regulation Impact Statement because the Determination is not regulatory in nature, will not impact on business activity and will have no or minimal compliance costs or competition impact. </w:t>
      </w:r>
    </w:p>
    <w:p w:rsidR="00F94E62" w:rsidRDefault="00F94E62">
      <w:pPr>
        <w:rPr>
          <w:sz w:val="24"/>
          <w:szCs w:val="24"/>
        </w:rPr>
      </w:pPr>
      <w:r>
        <w:rPr>
          <w:sz w:val="24"/>
          <w:szCs w:val="24"/>
        </w:rPr>
        <w:br w:type="page"/>
      </w:r>
    </w:p>
    <w:p w:rsidR="00F94E62" w:rsidRPr="00A248C9" w:rsidRDefault="00F94E62" w:rsidP="00F94E62">
      <w:pPr>
        <w:spacing w:before="360" w:after="120"/>
        <w:jc w:val="center"/>
        <w:rPr>
          <w:rFonts w:cs="Arial"/>
          <w:b/>
          <w:sz w:val="28"/>
          <w:szCs w:val="28"/>
        </w:rPr>
      </w:pPr>
      <w:r w:rsidRPr="00A248C9">
        <w:rPr>
          <w:rFonts w:cs="Arial"/>
          <w:b/>
          <w:sz w:val="28"/>
          <w:szCs w:val="28"/>
        </w:rPr>
        <w:lastRenderedPageBreak/>
        <w:t>Statement of Compatibility with Human Rights</w:t>
      </w:r>
    </w:p>
    <w:p w:rsidR="00F94E62" w:rsidRPr="00A248C9" w:rsidRDefault="00F94E62" w:rsidP="00F94E62">
      <w:pPr>
        <w:spacing w:before="120" w:after="120"/>
        <w:jc w:val="center"/>
        <w:rPr>
          <w:rFonts w:cs="Arial"/>
          <w:sz w:val="24"/>
          <w:szCs w:val="24"/>
        </w:rPr>
      </w:pPr>
      <w:r w:rsidRPr="00A248C9">
        <w:rPr>
          <w:rFonts w:cs="Arial"/>
          <w:i/>
          <w:sz w:val="24"/>
          <w:szCs w:val="24"/>
        </w:rPr>
        <w:t>Prepared in accordance with Part 3 of the Human Rights (Parliamentary Scrutiny) Act 2011</w:t>
      </w:r>
    </w:p>
    <w:p w:rsidR="00F94E62" w:rsidRPr="00A248C9" w:rsidRDefault="00F94E62" w:rsidP="00F94E62">
      <w:pPr>
        <w:spacing w:before="120" w:after="120"/>
        <w:jc w:val="center"/>
        <w:rPr>
          <w:rFonts w:cs="Arial"/>
          <w:sz w:val="24"/>
          <w:szCs w:val="24"/>
        </w:rPr>
      </w:pPr>
    </w:p>
    <w:p w:rsidR="00F94E62" w:rsidRPr="00A248C9" w:rsidRDefault="00F94E62" w:rsidP="00F94E62">
      <w:pPr>
        <w:spacing w:before="120" w:after="120"/>
        <w:jc w:val="center"/>
        <w:rPr>
          <w:rFonts w:cs="Arial"/>
          <w:b/>
          <w:i/>
          <w:sz w:val="24"/>
          <w:szCs w:val="24"/>
        </w:rPr>
      </w:pPr>
      <w:r w:rsidRPr="00A248C9">
        <w:rPr>
          <w:rFonts w:cs="Arial"/>
          <w:b/>
          <w:i/>
          <w:sz w:val="24"/>
          <w:szCs w:val="24"/>
        </w:rPr>
        <w:t>Social Security (Class of Visas – Newly Arrived Resident’s Waiting Period for Special Benefit) Determination 2014</w:t>
      </w:r>
    </w:p>
    <w:p w:rsidR="00F94E62" w:rsidRPr="00A248C9" w:rsidRDefault="00F94E62" w:rsidP="00F94E62">
      <w:pPr>
        <w:spacing w:before="120" w:after="120"/>
        <w:jc w:val="center"/>
        <w:rPr>
          <w:rFonts w:cs="Arial"/>
          <w:sz w:val="24"/>
          <w:szCs w:val="24"/>
        </w:rPr>
      </w:pPr>
    </w:p>
    <w:p w:rsidR="00F94E62" w:rsidRPr="00A248C9" w:rsidRDefault="00F94E62" w:rsidP="00F94E62">
      <w:pPr>
        <w:spacing w:before="120" w:after="120"/>
        <w:jc w:val="center"/>
        <w:rPr>
          <w:rFonts w:cs="Arial"/>
          <w:sz w:val="24"/>
          <w:szCs w:val="24"/>
        </w:rPr>
      </w:pPr>
      <w:r w:rsidRPr="00A248C9">
        <w:rPr>
          <w:rFonts w:cs="Arial"/>
          <w:sz w:val="24"/>
          <w:szCs w:val="24"/>
        </w:rPr>
        <w:t xml:space="preserve">The </w:t>
      </w:r>
      <w:r w:rsidRPr="00A248C9">
        <w:rPr>
          <w:rFonts w:cs="Arial"/>
          <w:i/>
          <w:sz w:val="24"/>
          <w:szCs w:val="24"/>
        </w:rPr>
        <w:t>Social Security (Class of Visas – Newly Arrived Resident’s Waiting Period for Special Benefit) Determination 2014</w:t>
      </w:r>
      <w:r w:rsidRPr="00A248C9">
        <w:rPr>
          <w:rFonts w:cs="Arial"/>
          <w:sz w:val="24"/>
          <w:szCs w:val="24"/>
        </w:rPr>
        <w:t xml:space="preserve"> is compatible with the human rights and freedoms recognised or declared in the international instruments listed in section 3 of the </w:t>
      </w:r>
      <w:r w:rsidRPr="00A248C9">
        <w:rPr>
          <w:rFonts w:cs="Arial"/>
          <w:i/>
          <w:sz w:val="24"/>
          <w:szCs w:val="24"/>
        </w:rPr>
        <w:t>Human Rights (Parliamentary Scrutiny) Act 2011</w:t>
      </w:r>
      <w:r w:rsidRPr="00A248C9">
        <w:rPr>
          <w:rFonts w:cs="Arial"/>
          <w:sz w:val="24"/>
          <w:szCs w:val="24"/>
        </w:rPr>
        <w:t>.</w:t>
      </w:r>
    </w:p>
    <w:p w:rsidR="00F94E62" w:rsidRPr="00A248C9" w:rsidRDefault="00F94E62" w:rsidP="00F94E62">
      <w:pPr>
        <w:spacing w:before="120" w:after="120"/>
        <w:jc w:val="both"/>
        <w:rPr>
          <w:rFonts w:cs="Arial"/>
          <w:b/>
          <w:sz w:val="24"/>
          <w:szCs w:val="24"/>
        </w:rPr>
      </w:pPr>
      <w:r w:rsidRPr="00A248C9">
        <w:rPr>
          <w:rFonts w:cs="Arial"/>
          <w:b/>
          <w:sz w:val="24"/>
          <w:szCs w:val="24"/>
        </w:rPr>
        <w:t>Overview of the Legislative Instrument</w:t>
      </w:r>
    </w:p>
    <w:p w:rsidR="00F94E62" w:rsidRPr="00A248C9" w:rsidRDefault="00F94E62" w:rsidP="00F94E62">
      <w:pPr>
        <w:spacing w:before="120" w:after="120"/>
        <w:rPr>
          <w:rFonts w:cs="Arial"/>
          <w:sz w:val="24"/>
          <w:szCs w:val="24"/>
        </w:rPr>
      </w:pPr>
      <w:r w:rsidRPr="00A248C9">
        <w:rPr>
          <w:rFonts w:cs="Arial"/>
          <w:sz w:val="24"/>
          <w:szCs w:val="24"/>
        </w:rPr>
        <w:t xml:space="preserve">The </w:t>
      </w:r>
      <w:r w:rsidR="00CA2DBC" w:rsidRPr="00A248C9">
        <w:rPr>
          <w:rFonts w:cs="Arial"/>
          <w:i/>
          <w:sz w:val="24"/>
          <w:szCs w:val="24"/>
        </w:rPr>
        <w:t xml:space="preserve">Social Security (Class of Visas – Newly Arrived Resident’s Waiting Period for Special Benefit) Determination 2014 </w:t>
      </w:r>
      <w:r w:rsidR="00CA2DBC" w:rsidRPr="00A248C9">
        <w:rPr>
          <w:rFonts w:cs="Arial"/>
          <w:sz w:val="24"/>
          <w:szCs w:val="24"/>
        </w:rPr>
        <w:t>(the</w:t>
      </w:r>
      <w:r w:rsidR="00CA2DBC" w:rsidRPr="00A248C9">
        <w:rPr>
          <w:rFonts w:cs="Arial"/>
          <w:i/>
          <w:sz w:val="24"/>
          <w:szCs w:val="24"/>
        </w:rPr>
        <w:t xml:space="preserve"> </w:t>
      </w:r>
      <w:r w:rsidRPr="00A248C9">
        <w:rPr>
          <w:rFonts w:cs="Arial"/>
          <w:sz w:val="24"/>
          <w:szCs w:val="24"/>
        </w:rPr>
        <w:t>Determination</w:t>
      </w:r>
      <w:r w:rsidR="00CA2DBC" w:rsidRPr="00A248C9">
        <w:rPr>
          <w:rFonts w:cs="Arial"/>
          <w:sz w:val="24"/>
          <w:szCs w:val="24"/>
        </w:rPr>
        <w:t>)</w:t>
      </w:r>
      <w:r w:rsidRPr="00A248C9">
        <w:rPr>
          <w:rFonts w:cs="Arial"/>
          <w:sz w:val="24"/>
          <w:szCs w:val="24"/>
        </w:rPr>
        <w:t xml:space="preserve"> is made under subsection 739A(6) of the </w:t>
      </w:r>
      <w:r w:rsidRPr="00A248C9">
        <w:rPr>
          <w:rFonts w:cs="Arial"/>
          <w:i/>
          <w:sz w:val="24"/>
          <w:szCs w:val="24"/>
        </w:rPr>
        <w:t>Social Security Act 1991</w:t>
      </w:r>
      <w:r w:rsidRPr="00A248C9">
        <w:rPr>
          <w:rFonts w:cs="Arial"/>
          <w:sz w:val="24"/>
          <w:szCs w:val="24"/>
        </w:rPr>
        <w:t xml:space="preserve">.  </w:t>
      </w:r>
    </w:p>
    <w:p w:rsidR="00F94E62" w:rsidRDefault="00F94E62" w:rsidP="00F94E62">
      <w:pPr>
        <w:spacing w:before="120" w:after="120"/>
        <w:rPr>
          <w:rFonts w:cs="Arial"/>
          <w:sz w:val="24"/>
          <w:szCs w:val="24"/>
        </w:rPr>
      </w:pPr>
      <w:r w:rsidRPr="00A248C9">
        <w:rPr>
          <w:rFonts w:cs="Arial"/>
          <w:sz w:val="24"/>
          <w:szCs w:val="24"/>
        </w:rPr>
        <w:t xml:space="preserve">The purpose of the Determination is to exempt the holders of a Subclass </w:t>
      </w:r>
      <w:proofErr w:type="gramStart"/>
      <w:r w:rsidRPr="00A248C9">
        <w:rPr>
          <w:rFonts w:cs="Arial"/>
          <w:sz w:val="24"/>
          <w:szCs w:val="24"/>
        </w:rPr>
        <w:t>449  (</w:t>
      </w:r>
      <w:proofErr w:type="gramEnd"/>
      <w:r w:rsidRPr="00A248C9">
        <w:rPr>
          <w:rFonts w:cs="Arial"/>
          <w:sz w:val="24"/>
          <w:szCs w:val="24"/>
        </w:rPr>
        <w:t xml:space="preserve">Humanitarian Stay (Temporary)) visa from the two year newly arrived resident’s waiting period for Special Benefit. This will ensure that a Subclass 449 visa holder who meets the payment eligibility criteria </w:t>
      </w:r>
      <w:r w:rsidR="003B7D0A">
        <w:rPr>
          <w:rFonts w:cs="Arial"/>
          <w:sz w:val="24"/>
          <w:szCs w:val="24"/>
        </w:rPr>
        <w:t>for</w:t>
      </w:r>
      <w:r w:rsidRPr="00A248C9">
        <w:rPr>
          <w:rFonts w:cs="Arial"/>
          <w:sz w:val="24"/>
          <w:szCs w:val="24"/>
        </w:rPr>
        <w:t xml:space="preserve"> Special Benefit</w:t>
      </w:r>
      <w:r w:rsidR="003B7D0A">
        <w:rPr>
          <w:rFonts w:cs="Arial"/>
          <w:sz w:val="24"/>
          <w:szCs w:val="24"/>
        </w:rPr>
        <w:t xml:space="preserve"> may be paid</w:t>
      </w:r>
      <w:r w:rsidRPr="00A248C9">
        <w:rPr>
          <w:rFonts w:cs="Arial"/>
          <w:sz w:val="24"/>
          <w:szCs w:val="24"/>
        </w:rPr>
        <w:t xml:space="preserve"> immediately subsequent to the grant of a Subclass 449 visa.</w:t>
      </w:r>
    </w:p>
    <w:p w:rsidR="000343AF" w:rsidRPr="00A248C9" w:rsidRDefault="000343AF" w:rsidP="000343AF">
      <w:pPr>
        <w:pStyle w:val="CABNETParagraph"/>
        <w:spacing w:before="0"/>
        <w:rPr>
          <w:rFonts w:ascii="Arial" w:eastAsiaTheme="minorHAnsi" w:hAnsi="Arial" w:cs="Arial"/>
          <w:sz w:val="24"/>
          <w:szCs w:val="24"/>
        </w:rPr>
      </w:pPr>
      <w:r w:rsidRPr="00E2174F">
        <w:rPr>
          <w:rFonts w:ascii="Arial" w:eastAsiaTheme="minorHAnsi" w:hAnsi="Arial" w:cs="Arial"/>
          <w:sz w:val="24"/>
          <w:szCs w:val="24"/>
        </w:rPr>
        <w:t>Australia is obliged under Article 24 of the 1951 Convention Relating to the St</w:t>
      </w:r>
      <w:r>
        <w:rPr>
          <w:rFonts w:ascii="Arial" w:eastAsiaTheme="minorHAnsi" w:hAnsi="Arial" w:cs="Arial"/>
          <w:sz w:val="24"/>
          <w:szCs w:val="24"/>
        </w:rPr>
        <w:t xml:space="preserve">atus of Refugees </w:t>
      </w:r>
      <w:r w:rsidR="001C3171">
        <w:rPr>
          <w:rFonts w:ascii="Arial" w:eastAsiaTheme="minorHAnsi" w:hAnsi="Arial" w:cs="Arial"/>
          <w:sz w:val="24"/>
          <w:szCs w:val="24"/>
        </w:rPr>
        <w:t xml:space="preserve">(the Refugees Convention) </w:t>
      </w:r>
      <w:r>
        <w:rPr>
          <w:rFonts w:ascii="Arial" w:eastAsiaTheme="minorHAnsi" w:hAnsi="Arial" w:cs="Arial"/>
          <w:sz w:val="24"/>
          <w:szCs w:val="24"/>
        </w:rPr>
        <w:t xml:space="preserve">to accord those </w:t>
      </w:r>
      <w:r w:rsidRPr="00E2174F">
        <w:rPr>
          <w:rFonts w:ascii="Arial" w:eastAsiaTheme="minorHAnsi" w:hAnsi="Arial" w:cs="Arial"/>
          <w:sz w:val="24"/>
          <w:szCs w:val="24"/>
        </w:rPr>
        <w:t xml:space="preserve">found to have engaged Australia’s protection obligations the same or similar treatment in relation to social security as is afforded to Australian permanent residents and citizens. </w:t>
      </w:r>
      <w:r w:rsidR="001C3171">
        <w:rPr>
          <w:rFonts w:ascii="Arial" w:eastAsiaTheme="minorHAnsi" w:hAnsi="Arial" w:cs="Arial"/>
          <w:sz w:val="24"/>
          <w:szCs w:val="24"/>
        </w:rPr>
        <w:t>Providing that</w:t>
      </w:r>
      <w:r>
        <w:rPr>
          <w:rFonts w:ascii="Arial" w:eastAsiaTheme="minorHAnsi" w:hAnsi="Arial" w:cs="Arial"/>
          <w:sz w:val="24"/>
          <w:szCs w:val="24"/>
        </w:rPr>
        <w:t xml:space="preserve"> Subclass 449 visa holders </w:t>
      </w:r>
      <w:r w:rsidR="001C3171">
        <w:rPr>
          <w:rFonts w:ascii="Arial" w:eastAsiaTheme="minorHAnsi" w:hAnsi="Arial" w:cs="Arial"/>
          <w:sz w:val="24"/>
          <w:szCs w:val="24"/>
        </w:rPr>
        <w:t xml:space="preserve">have </w:t>
      </w:r>
      <w:r>
        <w:rPr>
          <w:rFonts w:ascii="Arial" w:eastAsiaTheme="minorHAnsi" w:hAnsi="Arial" w:cs="Arial"/>
          <w:sz w:val="24"/>
          <w:szCs w:val="24"/>
        </w:rPr>
        <w:t xml:space="preserve">an exemption </w:t>
      </w:r>
      <w:r w:rsidR="001C3171">
        <w:rPr>
          <w:rFonts w:ascii="Arial" w:eastAsiaTheme="minorHAnsi" w:hAnsi="Arial" w:cs="Arial"/>
          <w:sz w:val="24"/>
          <w:szCs w:val="24"/>
        </w:rPr>
        <w:t xml:space="preserve">from </w:t>
      </w:r>
      <w:r>
        <w:rPr>
          <w:rFonts w:ascii="Arial" w:eastAsiaTheme="minorHAnsi" w:hAnsi="Arial" w:cs="Arial"/>
          <w:sz w:val="24"/>
          <w:szCs w:val="24"/>
        </w:rPr>
        <w:t xml:space="preserve">the Special Benefit Newly Arrived Residents Waiting Period </w:t>
      </w:r>
      <w:r w:rsidR="001C3171">
        <w:rPr>
          <w:rFonts w:ascii="Arial" w:eastAsiaTheme="minorHAnsi" w:hAnsi="Arial" w:cs="Arial"/>
          <w:sz w:val="24"/>
          <w:szCs w:val="24"/>
        </w:rPr>
        <w:t xml:space="preserve">will </w:t>
      </w:r>
      <w:r>
        <w:rPr>
          <w:rFonts w:ascii="Arial" w:eastAsiaTheme="minorHAnsi" w:hAnsi="Arial" w:cs="Arial"/>
          <w:sz w:val="24"/>
          <w:szCs w:val="24"/>
        </w:rPr>
        <w:t>assist in meeting those obligations.</w:t>
      </w:r>
    </w:p>
    <w:p w:rsidR="00F94E62" w:rsidRPr="00A248C9" w:rsidRDefault="00F94E62" w:rsidP="00F94E62">
      <w:pPr>
        <w:spacing w:before="120" w:after="120"/>
        <w:rPr>
          <w:rFonts w:cs="Arial"/>
          <w:b/>
          <w:sz w:val="24"/>
          <w:szCs w:val="24"/>
        </w:rPr>
      </w:pPr>
      <w:r w:rsidRPr="00A248C9">
        <w:rPr>
          <w:rFonts w:cs="Arial"/>
          <w:b/>
          <w:sz w:val="24"/>
          <w:szCs w:val="24"/>
        </w:rPr>
        <w:t>Human rights implications</w:t>
      </w:r>
    </w:p>
    <w:p w:rsidR="00F94E62" w:rsidRPr="00A248C9" w:rsidRDefault="00F94E62" w:rsidP="00F94E62">
      <w:pPr>
        <w:autoSpaceDE w:val="0"/>
        <w:autoSpaceDN w:val="0"/>
        <w:adjustRightInd w:val="0"/>
        <w:spacing w:after="0" w:line="240" w:lineRule="auto"/>
        <w:rPr>
          <w:rFonts w:cs="Arial"/>
          <w:sz w:val="24"/>
          <w:szCs w:val="24"/>
        </w:rPr>
      </w:pPr>
      <w:r w:rsidRPr="00A248C9">
        <w:rPr>
          <w:rFonts w:cs="Arial"/>
          <w:sz w:val="24"/>
          <w:szCs w:val="24"/>
        </w:rPr>
        <w:t>The Determination engages or gives effect to the following human rights:</w:t>
      </w:r>
    </w:p>
    <w:p w:rsidR="00F94E62" w:rsidRPr="00A248C9" w:rsidRDefault="00F94E62" w:rsidP="00F94E62">
      <w:pPr>
        <w:autoSpaceDE w:val="0"/>
        <w:autoSpaceDN w:val="0"/>
        <w:adjustRightInd w:val="0"/>
        <w:spacing w:after="0" w:line="240" w:lineRule="auto"/>
        <w:rPr>
          <w:rFonts w:cs="Arial"/>
          <w:sz w:val="24"/>
          <w:szCs w:val="24"/>
        </w:rPr>
      </w:pPr>
    </w:p>
    <w:p w:rsidR="00D05BC8" w:rsidRPr="00A248C9" w:rsidRDefault="00D05BC8">
      <w:pPr>
        <w:numPr>
          <w:ilvl w:val="0"/>
          <w:numId w:val="1"/>
        </w:numPr>
        <w:autoSpaceDE w:val="0"/>
        <w:autoSpaceDN w:val="0"/>
        <w:adjustRightInd w:val="0"/>
        <w:spacing w:after="0" w:line="240" w:lineRule="auto"/>
        <w:rPr>
          <w:rFonts w:cs="Arial"/>
          <w:sz w:val="24"/>
          <w:szCs w:val="24"/>
        </w:rPr>
      </w:pPr>
      <w:r w:rsidRPr="00A248C9">
        <w:rPr>
          <w:rFonts w:cs="Arial"/>
          <w:sz w:val="24"/>
          <w:szCs w:val="24"/>
        </w:rPr>
        <w:t xml:space="preserve">the right to social security as recognised in </w:t>
      </w:r>
      <w:r w:rsidR="00F94E62" w:rsidRPr="00A248C9">
        <w:rPr>
          <w:rFonts w:cs="Arial"/>
          <w:sz w:val="24"/>
          <w:szCs w:val="24"/>
        </w:rPr>
        <w:t xml:space="preserve">Article 24 of the </w:t>
      </w:r>
      <w:r w:rsidR="001C3171">
        <w:rPr>
          <w:rFonts w:cs="Arial"/>
          <w:sz w:val="24"/>
          <w:szCs w:val="24"/>
        </w:rPr>
        <w:t>Refugees</w:t>
      </w:r>
      <w:r w:rsidR="00F94E62" w:rsidRPr="00A248C9">
        <w:rPr>
          <w:rFonts w:cs="Arial"/>
          <w:sz w:val="24"/>
          <w:szCs w:val="24"/>
        </w:rPr>
        <w:t xml:space="preserve"> Convention and 1967 Protocol Relating to the Status of Refugees</w:t>
      </w:r>
      <w:r w:rsidR="001C3171">
        <w:rPr>
          <w:rFonts w:cs="Arial"/>
          <w:sz w:val="24"/>
          <w:szCs w:val="24"/>
        </w:rPr>
        <w:t xml:space="preserve"> (the Protocol);</w:t>
      </w:r>
      <w:r w:rsidR="00F94E62" w:rsidRPr="00A248C9">
        <w:rPr>
          <w:rFonts w:cs="Arial"/>
          <w:sz w:val="24"/>
          <w:szCs w:val="24"/>
        </w:rPr>
        <w:t xml:space="preserve"> </w:t>
      </w:r>
      <w:r w:rsidR="003B7D0A">
        <w:rPr>
          <w:rFonts w:cs="Arial"/>
          <w:sz w:val="24"/>
          <w:szCs w:val="24"/>
        </w:rPr>
        <w:t xml:space="preserve"> </w:t>
      </w:r>
      <w:r w:rsidR="00F94E62" w:rsidRPr="00A248C9">
        <w:rPr>
          <w:rFonts w:cs="Arial"/>
          <w:sz w:val="24"/>
          <w:szCs w:val="24"/>
        </w:rPr>
        <w:t>Article 9 of the International Covenant on Economic, Social and Cultural Rights (ICESCR)</w:t>
      </w:r>
      <w:r w:rsidRPr="00A248C9">
        <w:rPr>
          <w:rFonts w:cs="Arial"/>
          <w:sz w:val="24"/>
          <w:szCs w:val="24"/>
        </w:rPr>
        <w:t>; and</w:t>
      </w:r>
    </w:p>
    <w:p w:rsidR="00F94E62" w:rsidRPr="00A248C9" w:rsidRDefault="00D05BC8" w:rsidP="00A248C9">
      <w:pPr>
        <w:pStyle w:val="ListParagraph"/>
        <w:numPr>
          <w:ilvl w:val="0"/>
          <w:numId w:val="1"/>
        </w:numPr>
        <w:autoSpaceDE w:val="0"/>
        <w:autoSpaceDN w:val="0"/>
        <w:adjustRightInd w:val="0"/>
        <w:spacing w:after="0" w:line="240" w:lineRule="auto"/>
        <w:rPr>
          <w:rFonts w:cs="Arial"/>
          <w:sz w:val="24"/>
          <w:szCs w:val="24"/>
        </w:rPr>
      </w:pPr>
      <w:r w:rsidRPr="00A248C9">
        <w:rPr>
          <w:rFonts w:cs="Arial"/>
          <w:sz w:val="24"/>
          <w:szCs w:val="24"/>
        </w:rPr>
        <w:t>the right to an adequate standard of living in Article 11 of the ICESCR</w:t>
      </w:r>
      <w:r w:rsidR="00B47DAE" w:rsidRPr="00A248C9">
        <w:rPr>
          <w:rFonts w:cs="Arial"/>
          <w:sz w:val="24"/>
          <w:szCs w:val="24"/>
        </w:rPr>
        <w:t xml:space="preserve"> and Article 28 of the Convention on the Rights of Persons with Disabilities (CRPD)</w:t>
      </w:r>
      <w:r w:rsidRPr="00A248C9">
        <w:rPr>
          <w:rFonts w:cs="Arial"/>
          <w:sz w:val="24"/>
          <w:szCs w:val="24"/>
        </w:rPr>
        <w:t>.</w:t>
      </w:r>
    </w:p>
    <w:p w:rsidR="00F94E62" w:rsidRPr="00A248C9" w:rsidRDefault="00F94E62" w:rsidP="00F94E62">
      <w:pPr>
        <w:autoSpaceDE w:val="0"/>
        <w:autoSpaceDN w:val="0"/>
        <w:adjustRightInd w:val="0"/>
        <w:spacing w:after="0" w:line="240" w:lineRule="auto"/>
        <w:rPr>
          <w:rFonts w:cs="Arial"/>
          <w:sz w:val="24"/>
          <w:szCs w:val="24"/>
        </w:rPr>
      </w:pPr>
    </w:p>
    <w:p w:rsidR="00F94E62" w:rsidRPr="00A248C9" w:rsidRDefault="00F94E62" w:rsidP="00F94E62">
      <w:pPr>
        <w:autoSpaceDE w:val="0"/>
        <w:autoSpaceDN w:val="0"/>
        <w:adjustRightInd w:val="0"/>
        <w:spacing w:after="0" w:line="240" w:lineRule="auto"/>
        <w:rPr>
          <w:rFonts w:cs="Arial"/>
          <w:sz w:val="24"/>
          <w:szCs w:val="24"/>
        </w:rPr>
      </w:pPr>
      <w:r w:rsidRPr="00A248C9">
        <w:rPr>
          <w:rFonts w:cs="Arial"/>
          <w:sz w:val="24"/>
          <w:szCs w:val="24"/>
        </w:rPr>
        <w:t xml:space="preserve">The Determination will assist Australia to meet its international obligations under </w:t>
      </w:r>
      <w:proofErr w:type="gramStart"/>
      <w:r w:rsidRPr="00A248C9">
        <w:rPr>
          <w:rFonts w:cs="Arial"/>
          <w:sz w:val="24"/>
          <w:szCs w:val="24"/>
        </w:rPr>
        <w:t>the  Refugee</w:t>
      </w:r>
      <w:r w:rsidR="00D05BC8" w:rsidRPr="00A248C9">
        <w:rPr>
          <w:rFonts w:cs="Arial"/>
          <w:sz w:val="24"/>
          <w:szCs w:val="24"/>
        </w:rPr>
        <w:t>s</w:t>
      </w:r>
      <w:proofErr w:type="gramEnd"/>
      <w:r w:rsidRPr="00A248C9">
        <w:rPr>
          <w:rFonts w:cs="Arial"/>
          <w:sz w:val="24"/>
          <w:szCs w:val="24"/>
        </w:rPr>
        <w:t xml:space="preserve"> Convention and </w:t>
      </w:r>
      <w:r w:rsidR="001C3171">
        <w:rPr>
          <w:rFonts w:cs="Arial"/>
          <w:sz w:val="24"/>
          <w:szCs w:val="24"/>
        </w:rPr>
        <w:t xml:space="preserve">the </w:t>
      </w:r>
      <w:r w:rsidRPr="00A248C9">
        <w:rPr>
          <w:rFonts w:cs="Arial"/>
          <w:sz w:val="24"/>
          <w:szCs w:val="24"/>
        </w:rPr>
        <w:t>Protocol</w:t>
      </w:r>
      <w:r w:rsidR="00CA2DBC" w:rsidRPr="00A248C9">
        <w:rPr>
          <w:rFonts w:cs="Arial"/>
          <w:sz w:val="24"/>
          <w:szCs w:val="24"/>
        </w:rPr>
        <w:t>,</w:t>
      </w:r>
      <w:r w:rsidRPr="00A248C9">
        <w:rPr>
          <w:rFonts w:cs="Arial"/>
          <w:sz w:val="24"/>
          <w:szCs w:val="24"/>
        </w:rPr>
        <w:t xml:space="preserve"> </w:t>
      </w:r>
      <w:r w:rsidR="00CA2DBC" w:rsidRPr="00A248C9">
        <w:rPr>
          <w:rFonts w:cs="Arial"/>
          <w:sz w:val="24"/>
          <w:szCs w:val="24"/>
        </w:rPr>
        <w:t xml:space="preserve">the </w:t>
      </w:r>
      <w:r w:rsidRPr="00A248C9">
        <w:rPr>
          <w:rFonts w:cs="Arial"/>
          <w:sz w:val="24"/>
          <w:szCs w:val="24"/>
        </w:rPr>
        <w:t>ICESCR</w:t>
      </w:r>
      <w:r w:rsidR="00CA2DBC" w:rsidRPr="00A248C9">
        <w:rPr>
          <w:rFonts w:cs="Arial"/>
          <w:sz w:val="24"/>
          <w:szCs w:val="24"/>
        </w:rPr>
        <w:t xml:space="preserve"> and the CRPD</w:t>
      </w:r>
      <w:r w:rsidR="00CC7911" w:rsidRPr="00A248C9">
        <w:rPr>
          <w:rFonts w:cs="Arial"/>
          <w:sz w:val="24"/>
          <w:szCs w:val="24"/>
        </w:rPr>
        <w:t xml:space="preserve"> by providing an exemption to the waiting period in which a Subclass 449 visa holder will be qualified for Special Benefit. The Determination will also</w:t>
      </w:r>
      <w:r w:rsidRPr="00A248C9">
        <w:rPr>
          <w:rFonts w:cs="Arial"/>
          <w:sz w:val="24"/>
          <w:szCs w:val="24"/>
        </w:rPr>
        <w:t xml:space="preserve"> ensure an adequate standard of living for those illegal maritime arrivals whose claims for protection are found to be </w:t>
      </w:r>
      <w:r w:rsidRPr="00A248C9">
        <w:rPr>
          <w:rFonts w:cs="Arial"/>
          <w:sz w:val="24"/>
          <w:szCs w:val="24"/>
        </w:rPr>
        <w:lastRenderedPageBreak/>
        <w:t>valid and who require financial assistance</w:t>
      </w:r>
      <w:r w:rsidR="00CC7911" w:rsidRPr="00A248C9">
        <w:rPr>
          <w:rFonts w:cs="Arial"/>
          <w:sz w:val="24"/>
          <w:szCs w:val="24"/>
        </w:rPr>
        <w:t xml:space="preserve"> by providing more immediate access to social security payments</w:t>
      </w:r>
      <w:r w:rsidRPr="00A248C9">
        <w:rPr>
          <w:rFonts w:cs="Arial"/>
          <w:sz w:val="24"/>
          <w:szCs w:val="24"/>
        </w:rPr>
        <w:t>.</w:t>
      </w:r>
    </w:p>
    <w:p w:rsidR="00F94E62" w:rsidRPr="00A248C9" w:rsidRDefault="00F94E62" w:rsidP="00F94E62">
      <w:pPr>
        <w:spacing w:before="120" w:after="120"/>
        <w:rPr>
          <w:rFonts w:cs="Arial"/>
          <w:b/>
          <w:sz w:val="24"/>
          <w:szCs w:val="24"/>
        </w:rPr>
      </w:pPr>
      <w:r w:rsidRPr="00A248C9">
        <w:rPr>
          <w:rFonts w:cs="Arial"/>
          <w:b/>
          <w:sz w:val="24"/>
          <w:szCs w:val="24"/>
        </w:rPr>
        <w:t>Conclusion</w:t>
      </w:r>
    </w:p>
    <w:p w:rsidR="00F94E62" w:rsidRPr="00A248C9" w:rsidRDefault="00F94E62" w:rsidP="00F94E62">
      <w:pPr>
        <w:spacing w:before="120" w:after="120"/>
        <w:rPr>
          <w:rFonts w:cs="Arial"/>
          <w:sz w:val="24"/>
          <w:szCs w:val="24"/>
        </w:rPr>
      </w:pPr>
      <w:r w:rsidRPr="00A248C9">
        <w:rPr>
          <w:rFonts w:cs="Arial"/>
          <w:sz w:val="24"/>
          <w:szCs w:val="24"/>
        </w:rPr>
        <w:t xml:space="preserve">This Determination is compatible with human rights as it </w:t>
      </w:r>
      <w:r w:rsidR="00CA2DBC" w:rsidRPr="00A248C9">
        <w:rPr>
          <w:rFonts w:cs="Arial"/>
          <w:sz w:val="24"/>
          <w:szCs w:val="24"/>
        </w:rPr>
        <w:t>promotes the right to social security and an adequate standard of living</w:t>
      </w:r>
      <w:r w:rsidRPr="00A248C9">
        <w:rPr>
          <w:rFonts w:cs="Arial"/>
          <w:sz w:val="24"/>
          <w:szCs w:val="24"/>
        </w:rPr>
        <w:t xml:space="preserve"> for Subclass 449 visa holders.</w:t>
      </w:r>
    </w:p>
    <w:p w:rsidR="009942E5" w:rsidRPr="003B7D0A" w:rsidRDefault="00F94E62" w:rsidP="00F94E62">
      <w:pPr>
        <w:rPr>
          <w:rFonts w:cs="Arial"/>
          <w:sz w:val="24"/>
          <w:szCs w:val="24"/>
        </w:rPr>
      </w:pPr>
      <w:r w:rsidRPr="00A248C9">
        <w:rPr>
          <w:rFonts w:cs="Arial"/>
          <w:b/>
          <w:bCs/>
          <w:lang w:eastAsia="en-AU"/>
        </w:rPr>
        <w:t>Kevin Andrews, Minister for Social Services</w:t>
      </w:r>
    </w:p>
    <w:p w:rsidR="009942E5" w:rsidRPr="00DD775B" w:rsidRDefault="009942E5" w:rsidP="009942E5">
      <w:pPr>
        <w:rPr>
          <w:rStyle w:val="BookTitle"/>
          <w:rFonts w:cs="Arial"/>
          <w:i w:val="0"/>
          <w:iCs w:val="0"/>
          <w:smallCaps w:val="0"/>
          <w:spacing w:val="0"/>
          <w:sz w:val="24"/>
          <w:szCs w:val="24"/>
        </w:rPr>
      </w:pPr>
    </w:p>
    <w:p w:rsidR="009942E5" w:rsidRPr="008766BC" w:rsidRDefault="009942E5" w:rsidP="009942E5">
      <w:pPr>
        <w:rPr>
          <w:rStyle w:val="BookTitle"/>
          <w:rFonts w:cs="Arial"/>
          <w:i w:val="0"/>
          <w:iCs w:val="0"/>
          <w:smallCaps w:val="0"/>
          <w:spacing w:val="0"/>
          <w:sz w:val="24"/>
          <w:szCs w:val="24"/>
        </w:rPr>
      </w:pPr>
    </w:p>
    <w:p w:rsidR="009942E5" w:rsidRPr="00B50C6B" w:rsidRDefault="009942E5" w:rsidP="004B54CA">
      <w:pPr>
        <w:rPr>
          <w:rStyle w:val="BookTitle"/>
          <w:rFonts w:cs="Arial"/>
          <w:i w:val="0"/>
          <w:iCs w:val="0"/>
          <w:smallCaps w:val="0"/>
          <w:spacing w:val="0"/>
          <w:sz w:val="24"/>
          <w:szCs w:val="24"/>
        </w:rPr>
      </w:pPr>
    </w:p>
    <w:sectPr w:rsidR="009942E5" w:rsidRPr="00B50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14263"/>
    <w:multiLevelType w:val="hybridMultilevel"/>
    <w:tmpl w:val="F5D6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CD"/>
    <w:rsid w:val="000343AF"/>
    <w:rsid w:val="00034498"/>
    <w:rsid w:val="001C3171"/>
    <w:rsid w:val="001E630D"/>
    <w:rsid w:val="002B5353"/>
    <w:rsid w:val="003B2BB8"/>
    <w:rsid w:val="003B7D0A"/>
    <w:rsid w:val="003D34FF"/>
    <w:rsid w:val="004B54CA"/>
    <w:rsid w:val="004E5CBF"/>
    <w:rsid w:val="00585CCD"/>
    <w:rsid w:val="005C3AA9"/>
    <w:rsid w:val="00646B91"/>
    <w:rsid w:val="006A4CE7"/>
    <w:rsid w:val="00785261"/>
    <w:rsid w:val="007B0256"/>
    <w:rsid w:val="008766BC"/>
    <w:rsid w:val="009021CF"/>
    <w:rsid w:val="009225F0"/>
    <w:rsid w:val="009777AB"/>
    <w:rsid w:val="009942E5"/>
    <w:rsid w:val="00A248C9"/>
    <w:rsid w:val="00B47DAE"/>
    <w:rsid w:val="00B50C6B"/>
    <w:rsid w:val="00BA2DB9"/>
    <w:rsid w:val="00BE7148"/>
    <w:rsid w:val="00C04D65"/>
    <w:rsid w:val="00C875A6"/>
    <w:rsid w:val="00CA2DBC"/>
    <w:rsid w:val="00CB58CD"/>
    <w:rsid w:val="00CC7911"/>
    <w:rsid w:val="00CD08DA"/>
    <w:rsid w:val="00D05BC8"/>
    <w:rsid w:val="00DD775B"/>
    <w:rsid w:val="00EF0EA9"/>
    <w:rsid w:val="00F94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C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9942E5"/>
    <w:rPr>
      <w:sz w:val="16"/>
      <w:szCs w:val="16"/>
    </w:rPr>
  </w:style>
  <w:style w:type="paragraph" w:styleId="CommentText">
    <w:name w:val="annotation text"/>
    <w:basedOn w:val="Normal"/>
    <w:link w:val="CommentTextChar"/>
    <w:uiPriority w:val="99"/>
    <w:semiHidden/>
    <w:unhideWhenUsed/>
    <w:rsid w:val="009942E5"/>
    <w:pPr>
      <w:spacing w:line="240" w:lineRule="auto"/>
    </w:pPr>
    <w:rPr>
      <w:sz w:val="20"/>
      <w:szCs w:val="20"/>
    </w:rPr>
  </w:style>
  <w:style w:type="character" w:customStyle="1" w:styleId="CommentTextChar">
    <w:name w:val="Comment Text Char"/>
    <w:basedOn w:val="DefaultParagraphFont"/>
    <w:link w:val="CommentText"/>
    <w:uiPriority w:val="99"/>
    <w:semiHidden/>
    <w:rsid w:val="009942E5"/>
    <w:rPr>
      <w:rFonts w:ascii="Arial" w:hAnsi="Arial"/>
      <w:sz w:val="20"/>
      <w:szCs w:val="20"/>
    </w:rPr>
  </w:style>
  <w:style w:type="paragraph" w:styleId="BalloonText">
    <w:name w:val="Balloon Text"/>
    <w:basedOn w:val="Normal"/>
    <w:link w:val="BalloonTextChar"/>
    <w:uiPriority w:val="99"/>
    <w:semiHidden/>
    <w:unhideWhenUsed/>
    <w:rsid w:val="0099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E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7911"/>
    <w:rPr>
      <w:b/>
      <w:bCs/>
    </w:rPr>
  </w:style>
  <w:style w:type="character" w:customStyle="1" w:styleId="CommentSubjectChar">
    <w:name w:val="Comment Subject Char"/>
    <w:basedOn w:val="CommentTextChar"/>
    <w:link w:val="CommentSubject"/>
    <w:uiPriority w:val="99"/>
    <w:semiHidden/>
    <w:rsid w:val="00CC7911"/>
    <w:rPr>
      <w:rFonts w:ascii="Arial" w:hAnsi="Arial"/>
      <w:b/>
      <w:bCs/>
      <w:sz w:val="20"/>
      <w:szCs w:val="20"/>
    </w:rPr>
  </w:style>
  <w:style w:type="character" w:customStyle="1" w:styleId="CABNETParagraphChar">
    <w:name w:val="CABNET Paragraph Char"/>
    <w:link w:val="CABNETParagraph"/>
    <w:locked/>
    <w:rsid w:val="000343AF"/>
    <w:rPr>
      <w:rFonts w:ascii="Verdana" w:eastAsia="Verdana" w:hAnsi="Verdana" w:cs="Times New Roman"/>
    </w:rPr>
  </w:style>
  <w:style w:type="paragraph" w:customStyle="1" w:styleId="CABNETParagraph">
    <w:name w:val="CABNET Paragraph"/>
    <w:basedOn w:val="Normal"/>
    <w:link w:val="CABNETParagraphChar"/>
    <w:qFormat/>
    <w:rsid w:val="000343AF"/>
    <w:pPr>
      <w:spacing w:before="120" w:after="120" w:line="240" w:lineRule="auto"/>
    </w:pPr>
    <w:rPr>
      <w:rFonts w:ascii="Verdana" w:eastAsia="Verdana"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C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9942E5"/>
    <w:rPr>
      <w:sz w:val="16"/>
      <w:szCs w:val="16"/>
    </w:rPr>
  </w:style>
  <w:style w:type="paragraph" w:styleId="CommentText">
    <w:name w:val="annotation text"/>
    <w:basedOn w:val="Normal"/>
    <w:link w:val="CommentTextChar"/>
    <w:uiPriority w:val="99"/>
    <w:semiHidden/>
    <w:unhideWhenUsed/>
    <w:rsid w:val="009942E5"/>
    <w:pPr>
      <w:spacing w:line="240" w:lineRule="auto"/>
    </w:pPr>
    <w:rPr>
      <w:sz w:val="20"/>
      <w:szCs w:val="20"/>
    </w:rPr>
  </w:style>
  <w:style w:type="character" w:customStyle="1" w:styleId="CommentTextChar">
    <w:name w:val="Comment Text Char"/>
    <w:basedOn w:val="DefaultParagraphFont"/>
    <w:link w:val="CommentText"/>
    <w:uiPriority w:val="99"/>
    <w:semiHidden/>
    <w:rsid w:val="009942E5"/>
    <w:rPr>
      <w:rFonts w:ascii="Arial" w:hAnsi="Arial"/>
      <w:sz w:val="20"/>
      <w:szCs w:val="20"/>
    </w:rPr>
  </w:style>
  <w:style w:type="paragraph" w:styleId="BalloonText">
    <w:name w:val="Balloon Text"/>
    <w:basedOn w:val="Normal"/>
    <w:link w:val="BalloonTextChar"/>
    <w:uiPriority w:val="99"/>
    <w:semiHidden/>
    <w:unhideWhenUsed/>
    <w:rsid w:val="0099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E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7911"/>
    <w:rPr>
      <w:b/>
      <w:bCs/>
    </w:rPr>
  </w:style>
  <w:style w:type="character" w:customStyle="1" w:styleId="CommentSubjectChar">
    <w:name w:val="Comment Subject Char"/>
    <w:basedOn w:val="CommentTextChar"/>
    <w:link w:val="CommentSubject"/>
    <w:uiPriority w:val="99"/>
    <w:semiHidden/>
    <w:rsid w:val="00CC7911"/>
    <w:rPr>
      <w:rFonts w:ascii="Arial" w:hAnsi="Arial"/>
      <w:b/>
      <w:bCs/>
      <w:sz w:val="20"/>
      <w:szCs w:val="20"/>
    </w:rPr>
  </w:style>
  <w:style w:type="character" w:customStyle="1" w:styleId="CABNETParagraphChar">
    <w:name w:val="CABNET Paragraph Char"/>
    <w:link w:val="CABNETParagraph"/>
    <w:locked/>
    <w:rsid w:val="000343AF"/>
    <w:rPr>
      <w:rFonts w:ascii="Verdana" w:eastAsia="Verdana" w:hAnsi="Verdana" w:cs="Times New Roman"/>
    </w:rPr>
  </w:style>
  <w:style w:type="paragraph" w:customStyle="1" w:styleId="CABNETParagraph">
    <w:name w:val="CABNET Paragraph"/>
    <w:basedOn w:val="Normal"/>
    <w:link w:val="CABNETParagraphChar"/>
    <w:qFormat/>
    <w:rsid w:val="000343AF"/>
    <w:pPr>
      <w:spacing w:before="120" w:after="120" w:line="240" w:lineRule="auto"/>
    </w:pPr>
    <w:rPr>
      <w:rFonts w:ascii="Verdana" w:eastAsia="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B912-5F22-40E9-8FB4-44D1D36F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Simon - Secure</dc:creator>
  <cp:lastModifiedBy>Burrowes, Megan</cp:lastModifiedBy>
  <cp:revision>2</cp:revision>
  <dcterms:created xsi:type="dcterms:W3CDTF">2014-06-20T02:20:00Z</dcterms:created>
  <dcterms:modified xsi:type="dcterms:W3CDTF">2014-06-20T02:20:00Z</dcterms:modified>
</cp:coreProperties>
</file>