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DB" w:rsidRDefault="003811DB" w:rsidP="003811DB">
      <w:pPr>
        <w:spacing w:after="0" w:line="240" w:lineRule="auto"/>
        <w:rPr>
          <w:b/>
          <w:color w:val="auto"/>
          <w:sz w:val="24"/>
          <w:szCs w:val="24"/>
        </w:rPr>
      </w:pPr>
    </w:p>
    <w:p w:rsidR="003811DB" w:rsidRPr="003811DB" w:rsidRDefault="003811DB" w:rsidP="003811DB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3811D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 wp14:anchorId="12099DDE" wp14:editId="15FA12E3">
            <wp:extent cx="4073525" cy="1191260"/>
            <wp:effectExtent l="0" t="0" r="3175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1DB" w:rsidRPr="003811DB" w:rsidRDefault="003811DB" w:rsidP="003811DB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3811DB" w:rsidRPr="003B7579" w:rsidRDefault="003811DB" w:rsidP="003811DB">
      <w:pPr>
        <w:spacing w:after="200" w:line="276" w:lineRule="auto"/>
        <w:jc w:val="center"/>
        <w:rPr>
          <w:rFonts w:eastAsiaTheme="minorHAnsi" w:cstheme="minorBidi"/>
          <w:b/>
          <w:i/>
          <w:color w:val="auto"/>
          <w:sz w:val="24"/>
          <w:szCs w:val="24"/>
          <w:lang w:eastAsia="en-US"/>
        </w:rPr>
      </w:pPr>
      <w:r w:rsidRPr="003B7579">
        <w:rPr>
          <w:rFonts w:eastAsiaTheme="minorHAnsi" w:cstheme="minorBidi"/>
          <w:b/>
          <w:i/>
          <w:color w:val="auto"/>
          <w:sz w:val="24"/>
          <w:szCs w:val="24"/>
          <w:lang w:eastAsia="en-US"/>
        </w:rPr>
        <w:t>Work Health and Safety Regulations 2011</w:t>
      </w:r>
    </w:p>
    <w:p w:rsidR="003811DB" w:rsidRPr="003B7579" w:rsidRDefault="003811DB" w:rsidP="003811DB">
      <w:pPr>
        <w:spacing w:after="200" w:line="276" w:lineRule="auto"/>
        <w:jc w:val="center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3B7579">
        <w:rPr>
          <w:rFonts w:eastAsiaTheme="minorHAnsi" w:cstheme="minorBidi"/>
          <w:color w:val="auto"/>
          <w:sz w:val="24"/>
          <w:szCs w:val="24"/>
          <w:lang w:eastAsia="en-US"/>
        </w:rPr>
        <w:t>Regulation 68</w:t>
      </w:r>
      <w:r w:rsidR="00A0723C">
        <w:rPr>
          <w:rFonts w:eastAsiaTheme="minorHAnsi" w:cstheme="minorBidi"/>
          <w:color w:val="auto"/>
          <w:sz w:val="24"/>
          <w:szCs w:val="24"/>
          <w:lang w:eastAsia="en-US"/>
        </w:rPr>
        <w:t>6</w:t>
      </w:r>
    </w:p>
    <w:p w:rsidR="003811DB" w:rsidRPr="003811DB" w:rsidRDefault="003811DB" w:rsidP="003811DB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A0723C" w:rsidRDefault="003811DB" w:rsidP="003811DB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3811DB">
        <w:rPr>
          <w:b/>
          <w:color w:val="auto"/>
          <w:sz w:val="28"/>
          <w:szCs w:val="28"/>
        </w:rPr>
        <w:t>Wo</w:t>
      </w:r>
      <w:r w:rsidRPr="00227CD5">
        <w:rPr>
          <w:b/>
          <w:color w:val="auto"/>
          <w:sz w:val="28"/>
          <w:szCs w:val="28"/>
        </w:rPr>
        <w:t>rk Health and Safety Exemption to</w:t>
      </w:r>
      <w:r w:rsidRPr="003811DB">
        <w:rPr>
          <w:b/>
          <w:color w:val="auto"/>
          <w:sz w:val="28"/>
          <w:szCs w:val="28"/>
        </w:rPr>
        <w:t xml:space="preserve"> </w:t>
      </w:r>
    </w:p>
    <w:p w:rsidR="003811DB" w:rsidRPr="003811DB" w:rsidRDefault="003811DB" w:rsidP="003811DB">
      <w:pPr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3811DB">
        <w:rPr>
          <w:b/>
          <w:color w:val="auto"/>
          <w:sz w:val="28"/>
          <w:szCs w:val="28"/>
        </w:rPr>
        <w:t xml:space="preserve">Regulation </w:t>
      </w:r>
      <w:r w:rsidR="00587C54">
        <w:rPr>
          <w:b/>
          <w:color w:val="auto"/>
          <w:sz w:val="28"/>
          <w:szCs w:val="28"/>
        </w:rPr>
        <w:t>8</w:t>
      </w:r>
      <w:r w:rsidR="00A0723C">
        <w:rPr>
          <w:b/>
          <w:color w:val="auto"/>
          <w:sz w:val="28"/>
          <w:szCs w:val="28"/>
        </w:rPr>
        <w:t>1</w:t>
      </w:r>
      <w:r w:rsidR="0003464C">
        <w:rPr>
          <w:b/>
          <w:color w:val="auto"/>
          <w:sz w:val="28"/>
          <w:szCs w:val="28"/>
        </w:rPr>
        <w:t>(</w:t>
      </w:r>
      <w:r w:rsidR="0004720A">
        <w:rPr>
          <w:b/>
          <w:color w:val="auto"/>
          <w:sz w:val="28"/>
          <w:szCs w:val="28"/>
        </w:rPr>
        <w:t>June</w:t>
      </w:r>
      <w:r w:rsidR="00DA1D4B">
        <w:rPr>
          <w:b/>
          <w:color w:val="auto"/>
          <w:sz w:val="28"/>
          <w:szCs w:val="28"/>
        </w:rPr>
        <w:t xml:space="preserve"> </w:t>
      </w:r>
      <w:r w:rsidR="0003464C">
        <w:rPr>
          <w:b/>
          <w:color w:val="auto"/>
          <w:sz w:val="28"/>
          <w:szCs w:val="28"/>
        </w:rPr>
        <w:t>2014)</w:t>
      </w:r>
    </w:p>
    <w:p w:rsidR="003811DB" w:rsidRPr="003811DB" w:rsidRDefault="003811DB" w:rsidP="003811DB">
      <w:pPr>
        <w:spacing w:after="0" w:line="240" w:lineRule="auto"/>
        <w:jc w:val="both"/>
        <w:rPr>
          <w:color w:val="auto"/>
          <w:sz w:val="28"/>
          <w:szCs w:val="28"/>
        </w:rPr>
      </w:pPr>
    </w:p>
    <w:p w:rsidR="003811DB" w:rsidRPr="003B7579" w:rsidRDefault="003811DB" w:rsidP="003811DB">
      <w:pPr>
        <w:spacing w:after="0" w:line="240" w:lineRule="auto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3811DB" w:rsidRPr="00071E25" w:rsidRDefault="003811DB" w:rsidP="003811DB">
      <w:pPr>
        <w:spacing w:after="0" w:line="240" w:lineRule="auto"/>
        <w:jc w:val="both"/>
        <w:rPr>
          <w:rFonts w:cs="Helvetica"/>
          <w:color w:val="auto"/>
          <w:sz w:val="24"/>
          <w:szCs w:val="24"/>
        </w:rPr>
      </w:pP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Comcare, </w:t>
      </w:r>
      <w:r w:rsidR="009E46BB">
        <w:rPr>
          <w:rFonts w:eastAsiaTheme="minorHAnsi" w:cs="Helvetica"/>
          <w:color w:val="auto"/>
          <w:sz w:val="24"/>
          <w:szCs w:val="24"/>
          <w:lang w:eastAsia="en-US"/>
        </w:rPr>
        <w:t>acting under regulation 68</w:t>
      </w:r>
      <w:r w:rsidR="00A0723C">
        <w:rPr>
          <w:rFonts w:eastAsiaTheme="minorHAnsi" w:cs="Helvetica"/>
          <w:color w:val="auto"/>
          <w:sz w:val="24"/>
          <w:szCs w:val="24"/>
          <w:lang w:eastAsia="en-US"/>
        </w:rPr>
        <w:t>6</w:t>
      </w:r>
      <w:r w:rsidR="009E46BB">
        <w:rPr>
          <w:rFonts w:eastAsiaTheme="minorHAnsi" w:cs="Helvetica"/>
          <w:color w:val="auto"/>
          <w:sz w:val="24"/>
          <w:szCs w:val="24"/>
          <w:lang w:eastAsia="en-US"/>
        </w:rPr>
        <w:t xml:space="preserve"> </w:t>
      </w:r>
      <w:r w:rsidR="003B7579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of the </w:t>
      </w:r>
      <w:r w:rsidR="003B7579" w:rsidRPr="00071E25">
        <w:rPr>
          <w:rFonts w:eastAsiaTheme="minorHAnsi" w:cs="Helvetica"/>
          <w:i/>
          <w:color w:val="auto"/>
          <w:sz w:val="24"/>
          <w:szCs w:val="24"/>
          <w:lang w:eastAsia="en-US"/>
        </w:rPr>
        <w:t>Work Health and Safety Regulations 2011</w:t>
      </w:r>
      <w:r w:rsidR="003B7579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(WHS Regulations)</w:t>
      </w:r>
      <w:r w:rsidR="00891010" w:rsidRPr="00071E25">
        <w:rPr>
          <w:rFonts w:eastAsiaTheme="minorHAnsi" w:cs="Helvetica"/>
          <w:color w:val="auto"/>
          <w:sz w:val="24"/>
          <w:szCs w:val="24"/>
          <w:lang w:eastAsia="en-US"/>
        </w:rPr>
        <w:t>,</w:t>
      </w:r>
      <w:r w:rsidR="003B7579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</w:t>
      </w: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>having taken into account all relevant matters, grants an exemption from</w:t>
      </w:r>
      <w:r w:rsidR="00C9390D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compliance with</w:t>
      </w: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</w:t>
      </w:r>
      <w:r w:rsidR="002A7FF2">
        <w:rPr>
          <w:rFonts w:eastAsiaTheme="minorHAnsi" w:cs="Helvetica"/>
          <w:color w:val="auto"/>
          <w:sz w:val="24"/>
          <w:szCs w:val="24"/>
          <w:lang w:eastAsia="en-US"/>
        </w:rPr>
        <w:t>r</w:t>
      </w: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egulation </w:t>
      </w:r>
      <w:r w:rsidR="00587C54">
        <w:rPr>
          <w:rFonts w:eastAsiaTheme="minorHAnsi" w:cs="Helvetica"/>
          <w:color w:val="auto"/>
          <w:sz w:val="24"/>
          <w:szCs w:val="24"/>
          <w:lang w:eastAsia="en-US"/>
        </w:rPr>
        <w:t>8</w:t>
      </w:r>
      <w:r w:rsidR="00A0723C">
        <w:rPr>
          <w:rFonts w:eastAsiaTheme="minorHAnsi" w:cs="Helvetica"/>
          <w:color w:val="auto"/>
          <w:sz w:val="24"/>
          <w:szCs w:val="24"/>
          <w:lang w:eastAsia="en-US"/>
        </w:rPr>
        <w:t>1</w:t>
      </w:r>
      <w:r w:rsidR="00891010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of the WHS Regulations</w:t>
      </w: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on the terms prescribed in the</w:t>
      </w:r>
      <w:r w:rsidR="00227CD5"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attached</w:t>
      </w:r>
      <w:r w:rsidRPr="00071E25">
        <w:rPr>
          <w:rFonts w:eastAsiaTheme="minorHAnsi" w:cs="Helvetica"/>
          <w:color w:val="auto"/>
          <w:sz w:val="24"/>
          <w:szCs w:val="24"/>
          <w:lang w:eastAsia="en-US"/>
        </w:rPr>
        <w:t xml:space="preserve"> Exemption Document.</w:t>
      </w: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071E25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 w:rsidRPr="00071E25">
        <w:rPr>
          <w:color w:val="auto"/>
          <w:sz w:val="24"/>
          <w:szCs w:val="24"/>
        </w:rPr>
        <w:t>Dated</w:t>
      </w: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891010" w:rsidRPr="00071E25" w:rsidRDefault="007F533A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20-6-14</w:t>
      </w:r>
    </w:p>
    <w:p w:rsidR="00891010" w:rsidRDefault="00891010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5E4378" w:rsidRPr="00071E25" w:rsidRDefault="005E4378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 w:rsidRPr="00071E25">
        <w:rPr>
          <w:color w:val="auto"/>
          <w:sz w:val="24"/>
          <w:szCs w:val="24"/>
        </w:rPr>
        <w:t>Signed</w:t>
      </w:r>
    </w:p>
    <w:p w:rsidR="003811DB" w:rsidRPr="00071E25" w:rsidRDefault="003811DB" w:rsidP="003811DB">
      <w:pPr>
        <w:spacing w:after="0" w:line="240" w:lineRule="auto"/>
        <w:ind w:left="720"/>
        <w:jc w:val="both"/>
        <w:rPr>
          <w:color w:val="auto"/>
          <w:sz w:val="24"/>
          <w:szCs w:val="24"/>
        </w:rPr>
      </w:pPr>
    </w:p>
    <w:p w:rsidR="00891010" w:rsidRPr="00071E25" w:rsidRDefault="007F533A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 Skippington</w:t>
      </w:r>
      <w:bookmarkStart w:id="0" w:name="_GoBack"/>
      <w:bookmarkEnd w:id="0"/>
    </w:p>
    <w:p w:rsidR="00891010" w:rsidRPr="00071E25" w:rsidRDefault="00891010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891010" w:rsidRPr="00071E25" w:rsidRDefault="00891010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587C54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Cathy Skippington</w:t>
      </w:r>
    </w:p>
    <w:p w:rsidR="00891010" w:rsidRPr="00071E25" w:rsidRDefault="00891010" w:rsidP="003811DB">
      <w:pPr>
        <w:spacing w:after="0" w:line="240" w:lineRule="auto"/>
        <w:jc w:val="both"/>
        <w:rPr>
          <w:color w:val="auto"/>
          <w:sz w:val="24"/>
          <w:szCs w:val="24"/>
        </w:rPr>
      </w:pPr>
    </w:p>
    <w:p w:rsidR="003811DB" w:rsidRPr="00071E25" w:rsidRDefault="003811DB" w:rsidP="003811DB">
      <w:pPr>
        <w:spacing w:after="0" w:line="240" w:lineRule="auto"/>
        <w:jc w:val="both"/>
        <w:rPr>
          <w:color w:val="auto"/>
          <w:sz w:val="24"/>
          <w:szCs w:val="24"/>
        </w:rPr>
      </w:pPr>
      <w:r w:rsidRPr="00071E25">
        <w:rPr>
          <w:color w:val="auto"/>
          <w:sz w:val="24"/>
          <w:szCs w:val="24"/>
        </w:rPr>
        <w:t xml:space="preserve">Deputy Chief Executive Officer, Comcare </w:t>
      </w:r>
    </w:p>
    <w:p w:rsidR="003811DB" w:rsidRPr="003811DB" w:rsidRDefault="003811DB" w:rsidP="003811DB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3811DB" w:rsidRDefault="003811DB" w:rsidP="00891010">
      <w:pPr>
        <w:spacing w:after="200" w:line="276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  <w:r>
        <w:rPr>
          <w:b/>
          <w:noProof/>
          <w:color w:val="auto"/>
          <w:sz w:val="24"/>
          <w:szCs w:val="24"/>
        </w:rPr>
        <w:lastRenderedPageBreak/>
        <w:drawing>
          <wp:inline distT="0" distB="0" distL="0" distR="0" wp14:anchorId="2ABAC830" wp14:editId="5A9E9BE6">
            <wp:extent cx="4072255" cy="1188720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1DB" w:rsidRDefault="003811DB" w:rsidP="00700759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3811DB" w:rsidRDefault="003811DB" w:rsidP="00700759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:rsidR="00700759" w:rsidRDefault="00700759" w:rsidP="00700759">
      <w:pPr>
        <w:spacing w:after="0" w:line="240" w:lineRule="auto"/>
        <w:jc w:val="center"/>
        <w:rPr>
          <w:b/>
          <w:sz w:val="28"/>
          <w:szCs w:val="28"/>
        </w:rPr>
      </w:pPr>
      <w:r w:rsidRPr="005069F9">
        <w:rPr>
          <w:b/>
          <w:sz w:val="28"/>
          <w:szCs w:val="28"/>
        </w:rPr>
        <w:t>EXEMPTION DOCUMENT</w:t>
      </w:r>
    </w:p>
    <w:p w:rsidR="004002FB" w:rsidRPr="005069F9" w:rsidRDefault="004002FB" w:rsidP="00700759">
      <w:pPr>
        <w:spacing w:after="0" w:line="240" w:lineRule="auto"/>
        <w:jc w:val="center"/>
        <w:rPr>
          <w:b/>
          <w:sz w:val="28"/>
          <w:szCs w:val="28"/>
        </w:rPr>
      </w:pPr>
    </w:p>
    <w:p w:rsidR="00700759" w:rsidRDefault="00700759" w:rsidP="004002FB">
      <w:pPr>
        <w:spacing w:before="240" w:after="120" w:line="240" w:lineRule="auto"/>
        <w:contextualSpacing/>
        <w:jc w:val="both"/>
        <w:rPr>
          <w:b/>
          <w:sz w:val="24"/>
          <w:szCs w:val="24"/>
        </w:rPr>
      </w:pPr>
      <w:r w:rsidRPr="005069F9">
        <w:rPr>
          <w:b/>
          <w:sz w:val="24"/>
          <w:szCs w:val="24"/>
        </w:rPr>
        <w:t>1.</w:t>
      </w:r>
      <w:r w:rsidRPr="005069F9">
        <w:rPr>
          <w:b/>
          <w:sz w:val="24"/>
          <w:szCs w:val="24"/>
        </w:rPr>
        <w:tab/>
        <w:t>Name</w:t>
      </w:r>
    </w:p>
    <w:p w:rsidR="004002FB" w:rsidRPr="005069F9" w:rsidRDefault="004002FB" w:rsidP="004002FB">
      <w:pPr>
        <w:spacing w:before="240" w:after="120" w:line="240" w:lineRule="auto"/>
        <w:contextualSpacing/>
        <w:jc w:val="both"/>
        <w:rPr>
          <w:b/>
          <w:sz w:val="24"/>
          <w:szCs w:val="24"/>
        </w:rPr>
      </w:pPr>
    </w:p>
    <w:p w:rsidR="00700759" w:rsidRPr="005069F9" w:rsidRDefault="00D9165F" w:rsidP="004002FB">
      <w:pPr>
        <w:spacing w:after="0" w:line="240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This Instrument may be cited as</w:t>
      </w:r>
      <w:r w:rsidR="00700759" w:rsidRPr="005069F9">
        <w:rPr>
          <w:sz w:val="24"/>
          <w:szCs w:val="24"/>
        </w:rPr>
        <w:t xml:space="preserve"> the </w:t>
      </w:r>
      <w:r w:rsidR="00700759" w:rsidRPr="005069F9">
        <w:rPr>
          <w:b/>
          <w:i/>
          <w:sz w:val="24"/>
          <w:szCs w:val="24"/>
        </w:rPr>
        <w:t xml:space="preserve">Work Health and Safety Exemption to Regulation </w:t>
      </w:r>
      <w:r w:rsidR="00587C54">
        <w:rPr>
          <w:b/>
          <w:i/>
          <w:sz w:val="24"/>
          <w:szCs w:val="24"/>
        </w:rPr>
        <w:t>8</w:t>
      </w:r>
      <w:r w:rsidR="009D4FE4">
        <w:rPr>
          <w:b/>
          <w:i/>
          <w:sz w:val="24"/>
          <w:szCs w:val="24"/>
        </w:rPr>
        <w:t xml:space="preserve">1 </w:t>
      </w:r>
      <w:r w:rsidR="003138C1">
        <w:rPr>
          <w:rFonts w:eastAsiaTheme="minorHAnsi" w:cs="Helvetica"/>
          <w:b/>
          <w:i/>
          <w:color w:val="auto"/>
          <w:sz w:val="24"/>
          <w:szCs w:val="24"/>
          <w:lang w:eastAsia="en-US"/>
        </w:rPr>
        <w:t>(</w:t>
      </w:r>
      <w:r w:rsidR="0004720A">
        <w:rPr>
          <w:rFonts w:eastAsiaTheme="minorHAnsi" w:cs="Helvetica"/>
          <w:b/>
          <w:i/>
          <w:color w:val="auto"/>
          <w:sz w:val="24"/>
          <w:szCs w:val="24"/>
          <w:lang w:eastAsia="en-US"/>
        </w:rPr>
        <w:t>June</w:t>
      </w:r>
      <w:r w:rsidR="003138C1">
        <w:rPr>
          <w:rFonts w:eastAsiaTheme="minorHAnsi" w:cs="Helvetica"/>
          <w:b/>
          <w:i/>
          <w:color w:val="auto"/>
          <w:sz w:val="24"/>
          <w:szCs w:val="24"/>
          <w:lang w:eastAsia="en-US"/>
        </w:rPr>
        <w:t xml:space="preserve"> 2014)</w:t>
      </w:r>
      <w:r w:rsidR="00700759" w:rsidRPr="0066348B">
        <w:rPr>
          <w:b/>
          <w:i/>
          <w:sz w:val="24"/>
          <w:szCs w:val="24"/>
        </w:rPr>
        <w:t>.</w:t>
      </w:r>
    </w:p>
    <w:p w:rsidR="00700759" w:rsidRPr="005069F9" w:rsidRDefault="00700759" w:rsidP="00700759">
      <w:pPr>
        <w:spacing w:after="0" w:line="240" w:lineRule="auto"/>
        <w:ind w:left="1440" w:right="360" w:hanging="720"/>
        <w:jc w:val="both"/>
        <w:rPr>
          <w:color w:val="000080"/>
          <w:sz w:val="16"/>
          <w:szCs w:val="16"/>
          <w:highlight w:val="magenta"/>
        </w:rPr>
      </w:pPr>
    </w:p>
    <w:p w:rsidR="00700759" w:rsidRDefault="00700759" w:rsidP="00700759">
      <w:pPr>
        <w:spacing w:after="0" w:line="240" w:lineRule="auto"/>
        <w:ind w:left="1800" w:right="972" w:hanging="1080"/>
        <w:jc w:val="both"/>
        <w:rPr>
          <w:rFonts w:ascii="Times New Roman" w:hAnsi="Times New Roman"/>
          <w:color w:val="333333"/>
        </w:rPr>
      </w:pPr>
      <w:r w:rsidRPr="005069F9">
        <w:rPr>
          <w:rFonts w:ascii="Times New Roman" w:hAnsi="Times New Roman"/>
          <w:b/>
          <w:color w:val="333333"/>
        </w:rPr>
        <w:t>NOTE:</w:t>
      </w:r>
      <w:r w:rsidRPr="005069F9">
        <w:rPr>
          <w:rFonts w:ascii="Times New Roman" w:hAnsi="Times New Roman"/>
          <w:color w:val="333333"/>
        </w:rPr>
        <w:tab/>
        <w:t xml:space="preserve">This Instrument is a legislative instrument within the meaning of the </w:t>
      </w:r>
      <w:r w:rsidRPr="005069F9">
        <w:rPr>
          <w:rFonts w:ascii="Times New Roman" w:hAnsi="Times New Roman"/>
          <w:i/>
          <w:color w:val="333333"/>
        </w:rPr>
        <w:t>Legislative Instruments Act 2003</w:t>
      </w:r>
      <w:r w:rsidR="00F856AB">
        <w:rPr>
          <w:rFonts w:ascii="Times New Roman" w:hAnsi="Times New Roman"/>
          <w:color w:val="333333"/>
        </w:rPr>
        <w:t xml:space="preserve"> (see regulation 692(2)</w:t>
      </w:r>
      <w:r w:rsidRPr="005069F9">
        <w:rPr>
          <w:rFonts w:ascii="Times New Roman" w:hAnsi="Times New Roman"/>
          <w:color w:val="333333"/>
        </w:rPr>
        <w:t xml:space="preserve"> of the </w:t>
      </w:r>
      <w:r w:rsidRPr="005069F9">
        <w:rPr>
          <w:rFonts w:ascii="Times New Roman" w:hAnsi="Times New Roman"/>
          <w:i/>
          <w:color w:val="333333"/>
        </w:rPr>
        <w:t>Work Health and Safety Regulations 2011</w:t>
      </w:r>
      <w:r w:rsidRPr="005069F9">
        <w:rPr>
          <w:rFonts w:ascii="Times New Roman" w:hAnsi="Times New Roman"/>
          <w:color w:val="333333"/>
        </w:rPr>
        <w:t>).</w:t>
      </w:r>
    </w:p>
    <w:p w:rsidR="00BF491F" w:rsidRPr="005069F9" w:rsidRDefault="00BF491F" w:rsidP="00700759">
      <w:pPr>
        <w:spacing w:after="0" w:line="240" w:lineRule="auto"/>
        <w:ind w:left="1800" w:right="972" w:hanging="1080"/>
        <w:jc w:val="both"/>
        <w:rPr>
          <w:rFonts w:ascii="Times New Roman" w:hAnsi="Times New Roman"/>
          <w:color w:val="333333"/>
        </w:rPr>
      </w:pPr>
    </w:p>
    <w:p w:rsidR="00700759" w:rsidRPr="005069F9" w:rsidRDefault="00700759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sz w:val="24"/>
          <w:szCs w:val="24"/>
        </w:rPr>
      </w:pPr>
      <w:r w:rsidRPr="005069F9">
        <w:rPr>
          <w:b/>
          <w:sz w:val="24"/>
          <w:szCs w:val="24"/>
        </w:rPr>
        <w:t>Applicant</w:t>
      </w:r>
    </w:p>
    <w:p w:rsidR="008E2B26" w:rsidRDefault="008E2B26" w:rsidP="00700759">
      <w:pPr>
        <w:spacing w:before="240" w:after="120" w:line="240" w:lineRule="auto"/>
        <w:ind w:left="709"/>
        <w:contextualSpacing/>
        <w:jc w:val="both"/>
        <w:rPr>
          <w:sz w:val="24"/>
          <w:szCs w:val="24"/>
        </w:rPr>
      </w:pPr>
    </w:p>
    <w:p w:rsidR="00700759" w:rsidRDefault="00700759" w:rsidP="00700759">
      <w:pPr>
        <w:spacing w:before="240" w:after="120" w:line="240" w:lineRule="auto"/>
        <w:ind w:left="709"/>
        <w:contextualSpacing/>
        <w:jc w:val="both"/>
        <w:rPr>
          <w:sz w:val="24"/>
          <w:szCs w:val="24"/>
        </w:rPr>
      </w:pPr>
      <w:r w:rsidRPr="005069F9">
        <w:rPr>
          <w:sz w:val="24"/>
          <w:szCs w:val="24"/>
        </w:rPr>
        <w:t xml:space="preserve">This exemption has been granted on </w:t>
      </w:r>
      <w:r w:rsidR="00D24157">
        <w:rPr>
          <w:sz w:val="24"/>
          <w:szCs w:val="24"/>
        </w:rPr>
        <w:t>the written application of the</w:t>
      </w:r>
      <w:r w:rsidR="001D5C88">
        <w:rPr>
          <w:sz w:val="24"/>
          <w:szCs w:val="24"/>
        </w:rPr>
        <w:t xml:space="preserve"> Commonwealth as represented by the</w:t>
      </w:r>
      <w:r w:rsidR="00D24157">
        <w:rPr>
          <w:sz w:val="24"/>
          <w:szCs w:val="24"/>
        </w:rPr>
        <w:t xml:space="preserve"> Australian Defence Force</w:t>
      </w:r>
      <w:r w:rsidRPr="005069F9">
        <w:rPr>
          <w:sz w:val="24"/>
          <w:szCs w:val="24"/>
        </w:rPr>
        <w:t>.</w:t>
      </w:r>
    </w:p>
    <w:p w:rsidR="0096521B" w:rsidRDefault="0096521B" w:rsidP="00700759">
      <w:pPr>
        <w:spacing w:before="240" w:after="120" w:line="240" w:lineRule="auto"/>
        <w:ind w:left="709"/>
        <w:contextualSpacing/>
        <w:jc w:val="both"/>
        <w:rPr>
          <w:sz w:val="24"/>
          <w:szCs w:val="24"/>
        </w:rPr>
      </w:pPr>
    </w:p>
    <w:p w:rsidR="0096521B" w:rsidRPr="005069F9" w:rsidRDefault="008550C3" w:rsidP="0096521B">
      <w:pPr>
        <w:numPr>
          <w:ilvl w:val="0"/>
          <w:numId w:val="1"/>
        </w:numPr>
        <w:spacing w:before="240" w:after="120" w:line="240" w:lineRule="auto"/>
        <w:ind w:left="0" w:firstLine="0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Class of p</w:t>
      </w:r>
      <w:r w:rsidR="0096521B">
        <w:rPr>
          <w:b/>
          <w:color w:val="auto"/>
          <w:sz w:val="24"/>
          <w:szCs w:val="24"/>
        </w:rPr>
        <w:t xml:space="preserve">ersons to whom the </w:t>
      </w:r>
      <w:r>
        <w:rPr>
          <w:b/>
          <w:color w:val="auto"/>
          <w:sz w:val="24"/>
          <w:szCs w:val="24"/>
        </w:rPr>
        <w:t>e</w:t>
      </w:r>
      <w:r w:rsidR="0096521B" w:rsidRPr="005069F9">
        <w:rPr>
          <w:b/>
          <w:color w:val="auto"/>
          <w:sz w:val="24"/>
          <w:szCs w:val="24"/>
        </w:rPr>
        <w:t>xemption</w:t>
      </w:r>
      <w:r>
        <w:rPr>
          <w:b/>
          <w:color w:val="auto"/>
          <w:sz w:val="24"/>
          <w:szCs w:val="24"/>
        </w:rPr>
        <w:t xml:space="preserve"> a</w:t>
      </w:r>
      <w:r w:rsidR="0096521B">
        <w:rPr>
          <w:b/>
          <w:color w:val="auto"/>
          <w:sz w:val="24"/>
          <w:szCs w:val="24"/>
        </w:rPr>
        <w:t>pplies</w:t>
      </w:r>
    </w:p>
    <w:p w:rsidR="008E2B26" w:rsidRDefault="008E2B26" w:rsidP="008550C3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E66FB9" w:rsidRDefault="0096521B" w:rsidP="008550C3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 w:rsidRPr="005069F9">
        <w:rPr>
          <w:color w:val="auto"/>
          <w:sz w:val="24"/>
          <w:szCs w:val="24"/>
        </w:rPr>
        <w:t>This exemption applies to</w:t>
      </w:r>
      <w:r w:rsidR="00891010">
        <w:rPr>
          <w:color w:val="auto"/>
          <w:sz w:val="24"/>
          <w:szCs w:val="24"/>
        </w:rPr>
        <w:t xml:space="preserve"> all</w:t>
      </w:r>
      <w:r w:rsidR="00280330">
        <w:rPr>
          <w:color w:val="auto"/>
          <w:sz w:val="24"/>
          <w:szCs w:val="24"/>
        </w:rPr>
        <w:t xml:space="preserve"> </w:t>
      </w:r>
      <w:r w:rsidR="00D8613E">
        <w:rPr>
          <w:color w:val="auto"/>
          <w:sz w:val="24"/>
          <w:szCs w:val="24"/>
        </w:rPr>
        <w:t>members of the</w:t>
      </w:r>
      <w:r w:rsidR="00280330">
        <w:rPr>
          <w:color w:val="auto"/>
          <w:sz w:val="24"/>
          <w:szCs w:val="24"/>
        </w:rPr>
        <w:t xml:space="preserve"> </w:t>
      </w:r>
      <w:r w:rsidR="001D5C88">
        <w:rPr>
          <w:color w:val="auto"/>
          <w:sz w:val="24"/>
          <w:szCs w:val="24"/>
        </w:rPr>
        <w:t xml:space="preserve">Australian </w:t>
      </w:r>
      <w:r w:rsidR="00280330">
        <w:rPr>
          <w:color w:val="auto"/>
          <w:sz w:val="24"/>
          <w:szCs w:val="24"/>
        </w:rPr>
        <w:t>Defence Force</w:t>
      </w:r>
      <w:r w:rsidR="00E66FB9">
        <w:rPr>
          <w:rFonts w:eastAsiaTheme="minorHAnsi" w:cs="Helvetica"/>
          <w:color w:val="auto"/>
          <w:sz w:val="24"/>
          <w:szCs w:val="24"/>
          <w:lang w:eastAsia="en-US"/>
        </w:rPr>
        <w:t>.</w:t>
      </w:r>
    </w:p>
    <w:p w:rsidR="0096521B" w:rsidRPr="005069F9" w:rsidRDefault="0096521B" w:rsidP="0096521B">
      <w:pPr>
        <w:spacing w:before="240" w:after="120" w:line="240" w:lineRule="auto"/>
        <w:contextualSpacing/>
        <w:jc w:val="both"/>
        <w:rPr>
          <w:sz w:val="24"/>
          <w:szCs w:val="24"/>
        </w:rPr>
      </w:pPr>
    </w:p>
    <w:p w:rsidR="00700759" w:rsidRPr="005069F9" w:rsidRDefault="009E68AA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Thing</w:t>
      </w:r>
      <w:r w:rsidR="00700759" w:rsidRPr="005069F9">
        <w:rPr>
          <w:b/>
          <w:color w:val="auto"/>
          <w:sz w:val="24"/>
          <w:szCs w:val="24"/>
        </w:rPr>
        <w:t xml:space="preserve"> to which the </w:t>
      </w:r>
      <w:r w:rsidR="008550C3">
        <w:rPr>
          <w:b/>
          <w:color w:val="auto"/>
          <w:sz w:val="24"/>
          <w:szCs w:val="24"/>
        </w:rPr>
        <w:t xml:space="preserve">exemption </w:t>
      </w:r>
      <w:r>
        <w:rPr>
          <w:b/>
          <w:color w:val="auto"/>
          <w:sz w:val="24"/>
          <w:szCs w:val="24"/>
        </w:rPr>
        <w:t>relates</w:t>
      </w:r>
    </w:p>
    <w:p w:rsidR="008E2B26" w:rsidRDefault="008E2B26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822F43" w:rsidRDefault="00CE5739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 w:rsidRPr="005069F9">
        <w:rPr>
          <w:color w:val="auto"/>
          <w:sz w:val="24"/>
          <w:szCs w:val="24"/>
        </w:rPr>
        <w:t xml:space="preserve">This exemption </w:t>
      </w:r>
      <w:r w:rsidR="00470587">
        <w:rPr>
          <w:color w:val="auto"/>
          <w:sz w:val="24"/>
          <w:szCs w:val="24"/>
        </w:rPr>
        <w:t>relates</w:t>
      </w:r>
      <w:r w:rsidRPr="005069F9">
        <w:rPr>
          <w:color w:val="auto"/>
          <w:sz w:val="24"/>
          <w:szCs w:val="24"/>
        </w:rPr>
        <w:t xml:space="preserve"> to</w:t>
      </w:r>
      <w:r w:rsidR="00D34B14">
        <w:rPr>
          <w:color w:val="auto"/>
          <w:sz w:val="24"/>
          <w:szCs w:val="24"/>
        </w:rPr>
        <w:t xml:space="preserve"> the requirement t</w:t>
      </w:r>
      <w:r w:rsidR="002B6EAA">
        <w:rPr>
          <w:color w:val="auto"/>
          <w:sz w:val="24"/>
          <w:szCs w:val="24"/>
        </w:rPr>
        <w:t xml:space="preserve">o hold a high risk work licence </w:t>
      </w:r>
      <w:r w:rsidR="001D40DA">
        <w:rPr>
          <w:color w:val="auto"/>
          <w:sz w:val="24"/>
          <w:szCs w:val="24"/>
        </w:rPr>
        <w:t xml:space="preserve">in order </w:t>
      </w:r>
      <w:r w:rsidR="002B6EAA">
        <w:rPr>
          <w:color w:val="auto"/>
          <w:sz w:val="24"/>
          <w:szCs w:val="24"/>
        </w:rPr>
        <w:t>to carry out a class of high risk work prescribed by the WHS Regulations.</w:t>
      </w:r>
    </w:p>
    <w:p w:rsidR="00DA1D4B" w:rsidRDefault="00DA1D4B" w:rsidP="0096521B">
      <w:pPr>
        <w:spacing w:before="240" w:after="120" w:line="240" w:lineRule="auto"/>
        <w:contextualSpacing/>
        <w:jc w:val="both"/>
        <w:rPr>
          <w:color w:val="auto"/>
          <w:sz w:val="24"/>
          <w:szCs w:val="24"/>
        </w:rPr>
      </w:pPr>
    </w:p>
    <w:p w:rsidR="0096521B" w:rsidRPr="008E2B26" w:rsidRDefault="008E2B26" w:rsidP="0096521B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 w:rsidRPr="008E2B26">
        <w:rPr>
          <w:b/>
          <w:color w:val="auto"/>
          <w:sz w:val="24"/>
          <w:szCs w:val="24"/>
        </w:rPr>
        <w:t>Circumstances in which the exemption a</w:t>
      </w:r>
      <w:r w:rsidR="0096521B" w:rsidRPr="008E2B26">
        <w:rPr>
          <w:b/>
          <w:color w:val="auto"/>
          <w:sz w:val="24"/>
          <w:szCs w:val="24"/>
        </w:rPr>
        <w:t>pplies</w:t>
      </w:r>
    </w:p>
    <w:p w:rsidR="008E2B26" w:rsidRPr="008E2B26" w:rsidRDefault="008E2B26" w:rsidP="008E2B26">
      <w:pPr>
        <w:spacing w:before="240" w:after="120" w:line="240" w:lineRule="auto"/>
        <w:ind w:left="65"/>
        <w:contextualSpacing/>
        <w:jc w:val="both"/>
        <w:rPr>
          <w:b/>
          <w:color w:val="auto"/>
          <w:sz w:val="24"/>
          <w:szCs w:val="24"/>
        </w:rPr>
      </w:pPr>
    </w:p>
    <w:p w:rsidR="00700759" w:rsidRDefault="00891010" w:rsidP="000D7C6C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</w:t>
      </w:r>
      <w:r w:rsidR="00566F58">
        <w:rPr>
          <w:color w:val="auto"/>
          <w:sz w:val="24"/>
          <w:szCs w:val="24"/>
        </w:rPr>
        <w:t>is</w:t>
      </w:r>
      <w:r>
        <w:rPr>
          <w:color w:val="auto"/>
          <w:sz w:val="24"/>
          <w:szCs w:val="24"/>
        </w:rPr>
        <w:t xml:space="preserve"> exemption applies </w:t>
      </w:r>
      <w:r w:rsidR="009E11C6">
        <w:rPr>
          <w:color w:val="auto"/>
          <w:sz w:val="24"/>
          <w:szCs w:val="24"/>
        </w:rPr>
        <w:t xml:space="preserve">where </w:t>
      </w:r>
      <w:r w:rsidR="00502323">
        <w:rPr>
          <w:color w:val="auto"/>
          <w:sz w:val="24"/>
          <w:szCs w:val="24"/>
        </w:rPr>
        <w:t xml:space="preserve">members of the </w:t>
      </w:r>
      <w:r w:rsidR="001D5C88">
        <w:rPr>
          <w:color w:val="auto"/>
          <w:sz w:val="24"/>
          <w:szCs w:val="24"/>
        </w:rPr>
        <w:t xml:space="preserve">Australian </w:t>
      </w:r>
      <w:r w:rsidR="00621677">
        <w:rPr>
          <w:color w:val="auto"/>
          <w:sz w:val="24"/>
          <w:szCs w:val="24"/>
        </w:rPr>
        <w:t xml:space="preserve">Defence Force </w:t>
      </w:r>
      <w:r w:rsidR="000D7C6C">
        <w:rPr>
          <w:color w:val="auto"/>
          <w:sz w:val="24"/>
          <w:szCs w:val="24"/>
        </w:rPr>
        <w:t>carry out a class of high risk work prescribed by the WHS Regulations.</w:t>
      </w:r>
    </w:p>
    <w:p w:rsidR="00621677" w:rsidRPr="005069F9" w:rsidRDefault="00621677" w:rsidP="009E11C6">
      <w:pPr>
        <w:spacing w:after="0" w:line="240" w:lineRule="auto"/>
        <w:ind w:right="972"/>
        <w:jc w:val="both"/>
        <w:rPr>
          <w:color w:val="auto"/>
          <w:sz w:val="24"/>
          <w:szCs w:val="24"/>
        </w:rPr>
      </w:pPr>
    </w:p>
    <w:p w:rsidR="00700759" w:rsidRPr="005069F9" w:rsidRDefault="00B64B8C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Provisions of the </w:t>
      </w:r>
      <w:r w:rsidR="008E2B26">
        <w:rPr>
          <w:b/>
          <w:color w:val="auto"/>
          <w:sz w:val="24"/>
          <w:szCs w:val="24"/>
        </w:rPr>
        <w:t>Regulation</w:t>
      </w:r>
      <w:r>
        <w:rPr>
          <w:b/>
          <w:color w:val="auto"/>
          <w:sz w:val="24"/>
          <w:szCs w:val="24"/>
        </w:rPr>
        <w:t>s</w:t>
      </w:r>
      <w:r w:rsidR="008E2B26">
        <w:rPr>
          <w:b/>
          <w:color w:val="auto"/>
          <w:sz w:val="24"/>
          <w:szCs w:val="24"/>
        </w:rPr>
        <w:t xml:space="preserve"> to which the exemption a</w:t>
      </w:r>
      <w:r w:rsidR="00700759" w:rsidRPr="005069F9">
        <w:rPr>
          <w:b/>
          <w:color w:val="auto"/>
          <w:sz w:val="24"/>
          <w:szCs w:val="24"/>
        </w:rPr>
        <w:t>pplies</w:t>
      </w:r>
    </w:p>
    <w:p w:rsidR="008E2B26" w:rsidRDefault="008E2B26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700759" w:rsidRDefault="00700759" w:rsidP="00700759">
      <w:pPr>
        <w:spacing w:before="240" w:after="120" w:line="240" w:lineRule="auto"/>
        <w:ind w:left="709"/>
        <w:contextualSpacing/>
        <w:jc w:val="both"/>
        <w:rPr>
          <w:i/>
          <w:color w:val="auto"/>
          <w:sz w:val="24"/>
          <w:szCs w:val="24"/>
        </w:rPr>
      </w:pPr>
      <w:r w:rsidRPr="005069F9">
        <w:rPr>
          <w:color w:val="auto"/>
          <w:sz w:val="24"/>
          <w:szCs w:val="24"/>
        </w:rPr>
        <w:t xml:space="preserve">The exemption applies to </w:t>
      </w:r>
      <w:r w:rsidR="00963E3C">
        <w:rPr>
          <w:color w:val="auto"/>
          <w:sz w:val="24"/>
          <w:szCs w:val="24"/>
        </w:rPr>
        <w:t>r</w:t>
      </w:r>
      <w:r w:rsidRPr="005069F9">
        <w:rPr>
          <w:color w:val="auto"/>
          <w:sz w:val="24"/>
          <w:szCs w:val="24"/>
        </w:rPr>
        <w:t xml:space="preserve">egulation </w:t>
      </w:r>
      <w:r w:rsidR="00283E65">
        <w:rPr>
          <w:color w:val="auto"/>
          <w:sz w:val="24"/>
          <w:szCs w:val="24"/>
        </w:rPr>
        <w:t>8</w:t>
      </w:r>
      <w:r w:rsidR="00822F43">
        <w:rPr>
          <w:color w:val="auto"/>
          <w:sz w:val="24"/>
          <w:szCs w:val="24"/>
        </w:rPr>
        <w:t xml:space="preserve">1 </w:t>
      </w:r>
      <w:r w:rsidRPr="005069F9">
        <w:rPr>
          <w:color w:val="auto"/>
          <w:sz w:val="24"/>
          <w:szCs w:val="24"/>
        </w:rPr>
        <w:t xml:space="preserve">of the </w:t>
      </w:r>
      <w:r w:rsidR="00566F58" w:rsidRPr="00071E25">
        <w:rPr>
          <w:rFonts w:eastAsiaTheme="minorHAnsi" w:cs="Helvetica"/>
          <w:color w:val="auto"/>
          <w:sz w:val="24"/>
          <w:szCs w:val="24"/>
          <w:lang w:eastAsia="en-US"/>
        </w:rPr>
        <w:t>WHS Regulations</w:t>
      </w:r>
      <w:r w:rsidR="00566F58">
        <w:rPr>
          <w:rFonts w:eastAsiaTheme="minorHAnsi" w:cs="Helvetica"/>
          <w:color w:val="auto"/>
          <w:sz w:val="24"/>
          <w:szCs w:val="24"/>
          <w:lang w:eastAsia="en-US"/>
        </w:rPr>
        <w:t>.</w:t>
      </w:r>
    </w:p>
    <w:p w:rsidR="00F856AB" w:rsidRDefault="00F856AB" w:rsidP="00700759">
      <w:pPr>
        <w:spacing w:before="240" w:after="120" w:line="240" w:lineRule="auto"/>
        <w:ind w:left="709"/>
        <w:contextualSpacing/>
        <w:jc w:val="both"/>
        <w:rPr>
          <w:i/>
          <w:color w:val="auto"/>
          <w:sz w:val="24"/>
          <w:szCs w:val="24"/>
        </w:rPr>
      </w:pPr>
    </w:p>
    <w:p w:rsidR="000D7C6C" w:rsidRDefault="00BF491F" w:rsidP="00595236">
      <w:pPr>
        <w:spacing w:after="0" w:line="240" w:lineRule="auto"/>
        <w:ind w:left="1800" w:right="972" w:hanging="1080"/>
        <w:jc w:val="both"/>
        <w:rPr>
          <w:rFonts w:ascii="Times New Roman" w:hAnsi="Times New Roman"/>
          <w:color w:val="333333"/>
        </w:rPr>
      </w:pPr>
      <w:r w:rsidRPr="00BF491F">
        <w:rPr>
          <w:rFonts w:ascii="Times New Roman" w:hAnsi="Times New Roman"/>
          <w:b/>
          <w:color w:val="333333"/>
        </w:rPr>
        <w:t>NOTE</w:t>
      </w:r>
      <w:r w:rsidR="00F856AB" w:rsidRPr="00BF491F">
        <w:rPr>
          <w:rFonts w:ascii="Times New Roman" w:hAnsi="Times New Roman"/>
          <w:b/>
          <w:color w:val="333333"/>
        </w:rPr>
        <w:t>:</w:t>
      </w:r>
      <w:r>
        <w:rPr>
          <w:rFonts w:ascii="Times New Roman" w:hAnsi="Times New Roman"/>
          <w:color w:val="333333"/>
        </w:rPr>
        <w:tab/>
      </w:r>
      <w:r w:rsidR="00F856AB" w:rsidRPr="00BF491F">
        <w:rPr>
          <w:rFonts w:ascii="Times New Roman" w:hAnsi="Times New Roman"/>
          <w:color w:val="333333"/>
        </w:rPr>
        <w:t>Nothing in this instrument exempts</w:t>
      </w:r>
      <w:r w:rsidRPr="00BF491F">
        <w:rPr>
          <w:rFonts w:ascii="Times New Roman" w:hAnsi="Times New Roman"/>
          <w:color w:val="333333"/>
        </w:rPr>
        <w:t xml:space="preserve"> any person</w:t>
      </w:r>
      <w:r>
        <w:rPr>
          <w:rFonts w:ascii="Times New Roman" w:hAnsi="Times New Roman"/>
          <w:color w:val="333333"/>
        </w:rPr>
        <w:t>s</w:t>
      </w:r>
      <w:r w:rsidRPr="00BF491F">
        <w:rPr>
          <w:rFonts w:ascii="Times New Roman" w:hAnsi="Times New Roman"/>
          <w:color w:val="333333"/>
        </w:rPr>
        <w:t xml:space="preserve"> from complying with </w:t>
      </w:r>
      <w:r w:rsidR="00283E65">
        <w:rPr>
          <w:rFonts w:ascii="Times New Roman" w:hAnsi="Times New Roman"/>
          <w:color w:val="333333"/>
        </w:rPr>
        <w:t xml:space="preserve">the </w:t>
      </w:r>
      <w:r w:rsidR="00581A38">
        <w:rPr>
          <w:rFonts w:ascii="Times New Roman" w:hAnsi="Times New Roman"/>
          <w:color w:val="333333"/>
        </w:rPr>
        <w:t>provisions of</w:t>
      </w:r>
      <w:r w:rsidR="00283E65">
        <w:rPr>
          <w:rFonts w:ascii="Times New Roman" w:hAnsi="Times New Roman"/>
          <w:color w:val="333333"/>
        </w:rPr>
        <w:t xml:space="preserve"> the</w:t>
      </w:r>
      <w:r w:rsidRPr="00BF491F">
        <w:rPr>
          <w:rFonts w:ascii="Times New Roman" w:hAnsi="Times New Roman"/>
          <w:color w:val="333333"/>
        </w:rPr>
        <w:t xml:space="preserve"> </w:t>
      </w:r>
      <w:r w:rsidRPr="00BF491F">
        <w:rPr>
          <w:rFonts w:ascii="Times New Roman" w:hAnsi="Times New Roman"/>
          <w:i/>
          <w:color w:val="333333"/>
        </w:rPr>
        <w:t>Work Health and Safety Regulations 2011</w:t>
      </w:r>
      <w:r w:rsidR="00283E65">
        <w:rPr>
          <w:rFonts w:ascii="Times New Roman" w:hAnsi="Times New Roman"/>
          <w:color w:val="333333"/>
        </w:rPr>
        <w:t xml:space="preserve"> that are not subject to this instrument.</w:t>
      </w:r>
    </w:p>
    <w:p w:rsidR="00595236" w:rsidRPr="00595236" w:rsidRDefault="00595236" w:rsidP="00595236">
      <w:pPr>
        <w:spacing w:after="0" w:line="240" w:lineRule="auto"/>
        <w:ind w:left="1800" w:right="972" w:hanging="1080"/>
        <w:jc w:val="both"/>
        <w:rPr>
          <w:rFonts w:ascii="Times New Roman" w:hAnsi="Times New Roman"/>
          <w:color w:val="333333"/>
        </w:rPr>
      </w:pPr>
    </w:p>
    <w:p w:rsidR="000D7C6C" w:rsidRPr="005069F9" w:rsidRDefault="000D7C6C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B64B8C" w:rsidRDefault="00B64B8C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Conditions on exemptions</w:t>
      </w:r>
    </w:p>
    <w:p w:rsidR="00B64B8C" w:rsidRDefault="00B64B8C" w:rsidP="00B64B8C">
      <w:pPr>
        <w:spacing w:before="240" w:after="12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B64B8C" w:rsidRPr="00C51135" w:rsidRDefault="00C51135" w:rsidP="00B64B8C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 w:rsidRPr="00C51135">
        <w:rPr>
          <w:color w:val="auto"/>
          <w:sz w:val="24"/>
          <w:szCs w:val="24"/>
        </w:rPr>
        <w:t>There are no conditions on the exemption.</w:t>
      </w:r>
    </w:p>
    <w:p w:rsidR="00B64B8C" w:rsidRDefault="00B64B8C" w:rsidP="00B64B8C">
      <w:pPr>
        <w:spacing w:before="240" w:after="120" w:line="240" w:lineRule="auto"/>
        <w:contextualSpacing/>
        <w:jc w:val="both"/>
        <w:rPr>
          <w:b/>
          <w:color w:val="auto"/>
          <w:sz w:val="24"/>
          <w:szCs w:val="24"/>
        </w:rPr>
      </w:pPr>
    </w:p>
    <w:p w:rsidR="00700759" w:rsidRPr="005069F9" w:rsidRDefault="00C51135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Date exemption takes effect</w:t>
      </w:r>
    </w:p>
    <w:p w:rsidR="008E2B26" w:rsidRDefault="008E2B26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700759" w:rsidRPr="005069F9" w:rsidRDefault="00700759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 w:rsidRPr="005069F9">
        <w:rPr>
          <w:color w:val="auto"/>
          <w:sz w:val="24"/>
          <w:szCs w:val="24"/>
        </w:rPr>
        <w:t>Th</w:t>
      </w:r>
      <w:r>
        <w:rPr>
          <w:color w:val="auto"/>
          <w:sz w:val="24"/>
          <w:szCs w:val="24"/>
        </w:rPr>
        <w:t>is</w:t>
      </w:r>
      <w:r w:rsidR="00F856AB">
        <w:rPr>
          <w:color w:val="auto"/>
          <w:sz w:val="24"/>
          <w:szCs w:val="24"/>
        </w:rPr>
        <w:t xml:space="preserve"> instrument</w:t>
      </w:r>
      <w:r w:rsidRPr="005069F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commences on </w:t>
      </w:r>
      <w:r w:rsidR="00822F43">
        <w:rPr>
          <w:color w:val="auto"/>
          <w:sz w:val="24"/>
          <w:szCs w:val="24"/>
        </w:rPr>
        <w:t>1 July 2014.</w:t>
      </w:r>
    </w:p>
    <w:p w:rsidR="00700759" w:rsidRPr="005069F9" w:rsidRDefault="00700759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</w:p>
    <w:p w:rsidR="00700759" w:rsidRDefault="00C51135" w:rsidP="00700759">
      <w:pPr>
        <w:numPr>
          <w:ilvl w:val="0"/>
          <w:numId w:val="1"/>
        </w:numPr>
        <w:spacing w:before="240" w:after="120" w:line="240" w:lineRule="auto"/>
        <w:ind w:left="709" w:hanging="644"/>
        <w:contextualSpacing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Duration of exemption</w:t>
      </w:r>
    </w:p>
    <w:p w:rsidR="008E2B26" w:rsidRPr="005069F9" w:rsidRDefault="008E2B26" w:rsidP="008E2B26">
      <w:pPr>
        <w:spacing w:before="240" w:after="120" w:line="240" w:lineRule="auto"/>
        <w:ind w:left="709"/>
        <w:contextualSpacing/>
        <w:jc w:val="both"/>
        <w:rPr>
          <w:b/>
          <w:color w:val="auto"/>
          <w:sz w:val="24"/>
          <w:szCs w:val="24"/>
        </w:rPr>
      </w:pPr>
    </w:p>
    <w:p w:rsidR="00621677" w:rsidRDefault="00F856AB" w:rsidP="00700759">
      <w:pPr>
        <w:spacing w:before="240" w:after="120" w:line="240" w:lineRule="auto"/>
        <w:ind w:left="709"/>
        <w:contextualSpacing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This instrument</w:t>
      </w:r>
      <w:r w:rsidR="00700759" w:rsidRPr="005069F9">
        <w:rPr>
          <w:color w:val="auto"/>
          <w:sz w:val="24"/>
          <w:szCs w:val="24"/>
        </w:rPr>
        <w:t xml:space="preserve"> expires </w:t>
      </w:r>
      <w:r w:rsidR="00C51135">
        <w:rPr>
          <w:color w:val="auto"/>
          <w:sz w:val="24"/>
          <w:szCs w:val="24"/>
        </w:rPr>
        <w:t xml:space="preserve">on </w:t>
      </w:r>
      <w:r w:rsidR="00822F43">
        <w:rPr>
          <w:color w:val="auto"/>
          <w:sz w:val="24"/>
          <w:szCs w:val="24"/>
        </w:rPr>
        <w:t>31 December 201</w:t>
      </w:r>
      <w:r w:rsidR="00570F61">
        <w:rPr>
          <w:color w:val="auto"/>
          <w:sz w:val="24"/>
          <w:szCs w:val="24"/>
        </w:rPr>
        <w:t>4</w:t>
      </w:r>
      <w:r w:rsidR="006B1466">
        <w:rPr>
          <w:color w:val="auto"/>
          <w:sz w:val="24"/>
          <w:szCs w:val="24"/>
        </w:rPr>
        <w:t>.</w:t>
      </w:r>
    </w:p>
    <w:p w:rsidR="00C51135" w:rsidRDefault="00C51135" w:rsidP="00C51135">
      <w:pPr>
        <w:spacing w:before="240" w:after="120" w:line="240" w:lineRule="auto"/>
        <w:contextualSpacing/>
        <w:jc w:val="both"/>
        <w:rPr>
          <w:color w:val="auto"/>
          <w:sz w:val="24"/>
          <w:szCs w:val="24"/>
        </w:rPr>
      </w:pPr>
    </w:p>
    <w:p w:rsidR="00700759" w:rsidRDefault="00700759" w:rsidP="00700759"/>
    <w:sectPr w:rsidR="00700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B7" w:rsidRDefault="004A2DB7" w:rsidP="008A5425">
      <w:pPr>
        <w:spacing w:after="0" w:line="240" w:lineRule="auto"/>
      </w:pPr>
      <w:r>
        <w:separator/>
      </w:r>
    </w:p>
  </w:endnote>
  <w:endnote w:type="continuationSeparator" w:id="0">
    <w:p w:rsidR="004A2DB7" w:rsidRDefault="004A2DB7" w:rsidP="008A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B7" w:rsidRDefault="004A2DB7" w:rsidP="008A5425">
      <w:pPr>
        <w:spacing w:after="0" w:line="240" w:lineRule="auto"/>
      </w:pPr>
      <w:r>
        <w:separator/>
      </w:r>
    </w:p>
  </w:footnote>
  <w:footnote w:type="continuationSeparator" w:id="0">
    <w:p w:rsidR="004A2DB7" w:rsidRDefault="004A2DB7" w:rsidP="008A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25" w:rsidRDefault="008A5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0E4"/>
    <w:multiLevelType w:val="hybridMultilevel"/>
    <w:tmpl w:val="646AAB00"/>
    <w:lvl w:ilvl="0" w:tplc="9CF61B5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364" w:hanging="360"/>
      </w:pPr>
    </w:lvl>
    <w:lvl w:ilvl="2" w:tplc="0C09001B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59"/>
    <w:rsid w:val="00001F0D"/>
    <w:rsid w:val="0003464C"/>
    <w:rsid w:val="0004720A"/>
    <w:rsid w:val="00051AB0"/>
    <w:rsid w:val="000641BF"/>
    <w:rsid w:val="00065659"/>
    <w:rsid w:val="00071E25"/>
    <w:rsid w:val="000A44C4"/>
    <w:rsid w:val="000B3EC4"/>
    <w:rsid w:val="000D7C6C"/>
    <w:rsid w:val="00170F48"/>
    <w:rsid w:val="001954D0"/>
    <w:rsid w:val="001D13A3"/>
    <w:rsid w:val="001D40DA"/>
    <w:rsid w:val="001D5C88"/>
    <w:rsid w:val="001F1A3D"/>
    <w:rsid w:val="00227CD5"/>
    <w:rsid w:val="00232D56"/>
    <w:rsid w:val="00275529"/>
    <w:rsid w:val="00280330"/>
    <w:rsid w:val="00283E65"/>
    <w:rsid w:val="002A7FF2"/>
    <w:rsid w:val="002B6EAA"/>
    <w:rsid w:val="003138C1"/>
    <w:rsid w:val="003271F7"/>
    <w:rsid w:val="003811DB"/>
    <w:rsid w:val="0038387C"/>
    <w:rsid w:val="003B7579"/>
    <w:rsid w:val="003D0EE8"/>
    <w:rsid w:val="003E1D77"/>
    <w:rsid w:val="004002FB"/>
    <w:rsid w:val="00470587"/>
    <w:rsid w:val="00492BBD"/>
    <w:rsid w:val="004A2DB7"/>
    <w:rsid w:val="004D1411"/>
    <w:rsid w:val="004F2F75"/>
    <w:rsid w:val="00502323"/>
    <w:rsid w:val="00555558"/>
    <w:rsid w:val="00564330"/>
    <w:rsid w:val="00566F58"/>
    <w:rsid w:val="00570F61"/>
    <w:rsid w:val="00581A38"/>
    <w:rsid w:val="00587C54"/>
    <w:rsid w:val="00595236"/>
    <w:rsid w:val="005C452D"/>
    <w:rsid w:val="005E4378"/>
    <w:rsid w:val="00621677"/>
    <w:rsid w:val="0063241F"/>
    <w:rsid w:val="0066348B"/>
    <w:rsid w:val="006B1466"/>
    <w:rsid w:val="006B218C"/>
    <w:rsid w:val="006D6D74"/>
    <w:rsid w:val="006E7A4F"/>
    <w:rsid w:val="00700759"/>
    <w:rsid w:val="00701515"/>
    <w:rsid w:val="00757B60"/>
    <w:rsid w:val="00796D3C"/>
    <w:rsid w:val="007C7CBE"/>
    <w:rsid w:val="007E5D06"/>
    <w:rsid w:val="007F533A"/>
    <w:rsid w:val="00822F43"/>
    <w:rsid w:val="008550C3"/>
    <w:rsid w:val="00875005"/>
    <w:rsid w:val="0088104B"/>
    <w:rsid w:val="00891010"/>
    <w:rsid w:val="008A5425"/>
    <w:rsid w:val="008E2B26"/>
    <w:rsid w:val="008F1A6B"/>
    <w:rsid w:val="0095318C"/>
    <w:rsid w:val="00963E3C"/>
    <w:rsid w:val="0096521B"/>
    <w:rsid w:val="00995F4D"/>
    <w:rsid w:val="009D4FE4"/>
    <w:rsid w:val="009D616F"/>
    <w:rsid w:val="009E11C6"/>
    <w:rsid w:val="009E46BB"/>
    <w:rsid w:val="009E492F"/>
    <w:rsid w:val="009E68AA"/>
    <w:rsid w:val="009F0D35"/>
    <w:rsid w:val="009F2C0C"/>
    <w:rsid w:val="00A0723C"/>
    <w:rsid w:val="00A21D26"/>
    <w:rsid w:val="00A3179E"/>
    <w:rsid w:val="00A46197"/>
    <w:rsid w:val="00A706D0"/>
    <w:rsid w:val="00A81654"/>
    <w:rsid w:val="00A94A74"/>
    <w:rsid w:val="00B31452"/>
    <w:rsid w:val="00B31EC2"/>
    <w:rsid w:val="00B64B8C"/>
    <w:rsid w:val="00B80D6B"/>
    <w:rsid w:val="00BD5D7C"/>
    <w:rsid w:val="00BF491F"/>
    <w:rsid w:val="00C51135"/>
    <w:rsid w:val="00C9390D"/>
    <w:rsid w:val="00CE5739"/>
    <w:rsid w:val="00D24157"/>
    <w:rsid w:val="00D30FDD"/>
    <w:rsid w:val="00D34B14"/>
    <w:rsid w:val="00D47687"/>
    <w:rsid w:val="00D8613E"/>
    <w:rsid w:val="00D9165F"/>
    <w:rsid w:val="00DA1D4B"/>
    <w:rsid w:val="00E66F27"/>
    <w:rsid w:val="00E66FB9"/>
    <w:rsid w:val="00E76F40"/>
    <w:rsid w:val="00E77931"/>
    <w:rsid w:val="00E8677B"/>
    <w:rsid w:val="00EB2ABE"/>
    <w:rsid w:val="00F07739"/>
    <w:rsid w:val="00F8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59"/>
    <w:pPr>
      <w:spacing w:after="180" w:line="300" w:lineRule="exact"/>
    </w:pPr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59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965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25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A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25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5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6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659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659"/>
    <w:rPr>
      <w:rFonts w:ascii="Verdana" w:eastAsia="Times New Roman" w:hAnsi="Verdana" w:cs="Times New Roman"/>
      <w:b/>
      <w:bCs/>
      <w:color w:val="000000"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759"/>
    <w:pPr>
      <w:spacing w:after="180" w:line="300" w:lineRule="exact"/>
    </w:pPr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59"/>
    <w:rPr>
      <w:rFonts w:ascii="Tahoma" w:eastAsia="Times New Roman" w:hAnsi="Tahoma" w:cs="Tahoma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965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425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A5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425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5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65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659"/>
    <w:rPr>
      <w:rFonts w:ascii="Verdana" w:eastAsia="Times New Roman" w:hAnsi="Verdana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659"/>
    <w:rPr>
      <w:rFonts w:ascii="Verdana" w:eastAsia="Times New Roman" w:hAnsi="Verdana" w:cs="Times New Roman"/>
      <w:b/>
      <w:bCs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6323-441C-4AF3-8A4F-676A6754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Comcare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Amos</dc:creator>
  <cp:lastModifiedBy>Tammy Amos</cp:lastModifiedBy>
  <cp:revision>3</cp:revision>
  <cp:lastPrinted>2014-06-06T00:24:00Z</cp:lastPrinted>
  <dcterms:created xsi:type="dcterms:W3CDTF">2014-06-20T02:06:00Z</dcterms:created>
  <dcterms:modified xsi:type="dcterms:W3CDTF">2014-06-20T02:06:00Z</dcterms:modified>
</cp:coreProperties>
</file>