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143" w:rsidRPr="00544B97" w:rsidRDefault="00CB6B83" w:rsidP="00CB6B83">
      <w:pPr>
        <w:jc w:val="center"/>
        <w:rPr>
          <w:rFonts w:ascii="Verdana" w:hAnsi="Verdana"/>
          <w:b/>
          <w:sz w:val="22"/>
          <w:szCs w:val="22"/>
        </w:rPr>
      </w:pPr>
      <w:bookmarkStart w:id="0" w:name="_GoBack"/>
      <w:bookmarkEnd w:id="0"/>
      <w:r w:rsidRPr="00544B97">
        <w:rPr>
          <w:rFonts w:ascii="Verdana" w:hAnsi="Verdana"/>
          <w:b/>
          <w:sz w:val="22"/>
          <w:szCs w:val="22"/>
        </w:rPr>
        <w:t>EXPLANATORY STATEMENT</w:t>
      </w:r>
    </w:p>
    <w:p w:rsidR="00CB6B83" w:rsidRPr="00544B97" w:rsidRDefault="00CB6B83" w:rsidP="00CB6B83">
      <w:pPr>
        <w:jc w:val="center"/>
        <w:rPr>
          <w:rFonts w:ascii="Verdana" w:hAnsi="Verdana"/>
          <w:b/>
          <w:sz w:val="20"/>
          <w:szCs w:val="20"/>
        </w:rPr>
      </w:pPr>
    </w:p>
    <w:p w:rsidR="00CB6B83" w:rsidRPr="00544B97" w:rsidRDefault="00983CF6" w:rsidP="00CB6B83">
      <w:pPr>
        <w:jc w:val="center"/>
        <w:rPr>
          <w:rFonts w:ascii="Verdana" w:hAnsi="Verdana"/>
          <w:i/>
          <w:sz w:val="22"/>
          <w:szCs w:val="22"/>
        </w:rPr>
      </w:pPr>
      <w:r w:rsidRPr="00544B97">
        <w:rPr>
          <w:rFonts w:ascii="Verdana" w:hAnsi="Verdana"/>
          <w:i/>
          <w:sz w:val="22"/>
          <w:szCs w:val="22"/>
        </w:rPr>
        <w:t>Work Health and Safety Regulations 2011</w:t>
      </w:r>
    </w:p>
    <w:p w:rsidR="00CB6B83" w:rsidRPr="00544B97" w:rsidRDefault="00CB6B83" w:rsidP="00CB6B83">
      <w:pPr>
        <w:jc w:val="center"/>
        <w:rPr>
          <w:rFonts w:ascii="Verdana" w:hAnsi="Verdana"/>
          <w:i/>
          <w:sz w:val="22"/>
          <w:szCs w:val="22"/>
        </w:rPr>
      </w:pPr>
    </w:p>
    <w:p w:rsidR="00CB6B83" w:rsidRPr="00544B97" w:rsidRDefault="00CB6B83" w:rsidP="00CB6B83">
      <w:pPr>
        <w:jc w:val="center"/>
        <w:rPr>
          <w:rFonts w:ascii="Verdana" w:hAnsi="Verdana"/>
          <w:b/>
          <w:sz w:val="22"/>
          <w:szCs w:val="22"/>
        </w:rPr>
      </w:pPr>
      <w:r w:rsidRPr="00544B97">
        <w:rPr>
          <w:rFonts w:ascii="Verdana" w:hAnsi="Verdana"/>
          <w:b/>
          <w:sz w:val="22"/>
          <w:szCs w:val="22"/>
        </w:rPr>
        <w:t>Notice of a Disallowable Instrument</w:t>
      </w:r>
    </w:p>
    <w:p w:rsidR="00151183" w:rsidRPr="00544B97" w:rsidRDefault="00151183" w:rsidP="00CB6B83">
      <w:pPr>
        <w:jc w:val="center"/>
        <w:rPr>
          <w:rFonts w:ascii="Verdana" w:hAnsi="Verdana"/>
          <w:b/>
          <w:sz w:val="22"/>
          <w:szCs w:val="22"/>
        </w:rPr>
      </w:pPr>
    </w:p>
    <w:p w:rsidR="00151183" w:rsidRDefault="00CB6B83" w:rsidP="00470F81">
      <w:pPr>
        <w:jc w:val="center"/>
        <w:rPr>
          <w:rFonts w:ascii="Verdana" w:hAnsi="Verdana"/>
          <w:b/>
          <w:sz w:val="22"/>
          <w:szCs w:val="22"/>
        </w:rPr>
      </w:pPr>
      <w:r w:rsidRPr="00544B97">
        <w:rPr>
          <w:rFonts w:ascii="Verdana" w:hAnsi="Verdana"/>
          <w:b/>
          <w:sz w:val="22"/>
          <w:szCs w:val="22"/>
        </w:rPr>
        <w:t>Work Health a</w:t>
      </w:r>
      <w:r w:rsidR="00983CF6" w:rsidRPr="00544B97">
        <w:rPr>
          <w:rFonts w:ascii="Verdana" w:hAnsi="Verdana"/>
          <w:b/>
          <w:sz w:val="22"/>
          <w:szCs w:val="22"/>
        </w:rPr>
        <w:t>nd Safety</w:t>
      </w:r>
      <w:r w:rsidR="00A96FF4" w:rsidRPr="00544B97">
        <w:rPr>
          <w:rFonts w:ascii="Verdana" w:hAnsi="Verdana"/>
          <w:b/>
          <w:sz w:val="22"/>
          <w:szCs w:val="22"/>
        </w:rPr>
        <w:t xml:space="preserve"> Exemption</w:t>
      </w:r>
      <w:r w:rsidR="007B6C9D" w:rsidRPr="00544B97">
        <w:rPr>
          <w:rFonts w:ascii="Verdana" w:hAnsi="Verdana"/>
          <w:b/>
          <w:sz w:val="22"/>
          <w:szCs w:val="22"/>
        </w:rPr>
        <w:t xml:space="preserve"> to</w:t>
      </w:r>
      <w:r w:rsidR="00015B29" w:rsidRPr="00544B97">
        <w:rPr>
          <w:rFonts w:ascii="Verdana" w:hAnsi="Verdana"/>
          <w:b/>
          <w:sz w:val="22"/>
          <w:szCs w:val="22"/>
        </w:rPr>
        <w:t xml:space="preserve"> </w:t>
      </w:r>
    </w:p>
    <w:p w:rsidR="00CB6B83" w:rsidRPr="00544B97" w:rsidRDefault="00983CF6" w:rsidP="00151183">
      <w:pPr>
        <w:jc w:val="center"/>
        <w:rPr>
          <w:rFonts w:ascii="Verdana" w:hAnsi="Verdana"/>
          <w:b/>
          <w:sz w:val="22"/>
          <w:szCs w:val="22"/>
        </w:rPr>
      </w:pPr>
      <w:r w:rsidRPr="00544B97">
        <w:rPr>
          <w:rFonts w:ascii="Verdana" w:hAnsi="Verdana"/>
          <w:b/>
          <w:sz w:val="22"/>
          <w:szCs w:val="22"/>
        </w:rPr>
        <w:t xml:space="preserve">Regulation </w:t>
      </w:r>
      <w:r w:rsidR="00DB6D13">
        <w:rPr>
          <w:rFonts w:ascii="Verdana" w:hAnsi="Verdana"/>
          <w:b/>
          <w:sz w:val="22"/>
          <w:szCs w:val="22"/>
        </w:rPr>
        <w:t>8</w:t>
      </w:r>
      <w:r w:rsidR="00151183">
        <w:rPr>
          <w:rFonts w:ascii="Verdana" w:hAnsi="Verdana"/>
          <w:b/>
          <w:sz w:val="22"/>
          <w:szCs w:val="22"/>
        </w:rPr>
        <w:t xml:space="preserve">1 </w:t>
      </w:r>
      <w:r w:rsidR="00B40A31">
        <w:rPr>
          <w:rFonts w:ascii="Verdana" w:hAnsi="Verdana"/>
          <w:b/>
          <w:sz w:val="22"/>
          <w:szCs w:val="22"/>
        </w:rPr>
        <w:t>(</w:t>
      </w:r>
      <w:r w:rsidR="006D458D">
        <w:rPr>
          <w:rFonts w:ascii="Verdana" w:hAnsi="Verdana"/>
          <w:b/>
          <w:sz w:val="22"/>
          <w:szCs w:val="22"/>
        </w:rPr>
        <w:t>June</w:t>
      </w:r>
      <w:r w:rsidR="00B40A31">
        <w:rPr>
          <w:rFonts w:ascii="Verdana" w:hAnsi="Verdana"/>
          <w:b/>
          <w:sz w:val="22"/>
          <w:szCs w:val="22"/>
        </w:rPr>
        <w:t xml:space="preserve"> 2014)</w:t>
      </w:r>
    </w:p>
    <w:p w:rsidR="00CB6B83" w:rsidRPr="00544B97" w:rsidRDefault="00CB6B83" w:rsidP="00CB6B83">
      <w:pPr>
        <w:jc w:val="center"/>
        <w:rPr>
          <w:rFonts w:ascii="Verdana" w:hAnsi="Verdana"/>
          <w:b/>
          <w:sz w:val="20"/>
          <w:szCs w:val="20"/>
        </w:rPr>
      </w:pPr>
    </w:p>
    <w:p w:rsidR="00CB6B83" w:rsidRPr="00716C75" w:rsidRDefault="00CB6B83" w:rsidP="00CB6B83">
      <w:pPr>
        <w:jc w:val="both"/>
        <w:rPr>
          <w:rFonts w:ascii="Verdana" w:hAnsi="Verdana"/>
          <w:sz w:val="20"/>
          <w:szCs w:val="20"/>
        </w:rPr>
      </w:pPr>
      <w:r w:rsidRPr="00716C75">
        <w:rPr>
          <w:rFonts w:ascii="Verdana" w:hAnsi="Verdana"/>
          <w:sz w:val="20"/>
          <w:szCs w:val="20"/>
        </w:rPr>
        <w:t xml:space="preserve">The purpose of the </w:t>
      </w:r>
      <w:r w:rsidR="00F33D1C">
        <w:rPr>
          <w:rFonts w:ascii="Verdana" w:hAnsi="Verdana"/>
          <w:sz w:val="20"/>
          <w:szCs w:val="20"/>
        </w:rPr>
        <w:t>i</w:t>
      </w:r>
      <w:r w:rsidR="00F33D1C" w:rsidRPr="00716C75">
        <w:rPr>
          <w:rFonts w:ascii="Verdana" w:hAnsi="Verdana"/>
          <w:sz w:val="20"/>
          <w:szCs w:val="20"/>
        </w:rPr>
        <w:t>nstrument</w:t>
      </w:r>
      <w:r w:rsidR="00872167" w:rsidRPr="00716C75">
        <w:rPr>
          <w:rFonts w:ascii="Verdana" w:hAnsi="Verdana"/>
          <w:sz w:val="20"/>
          <w:szCs w:val="20"/>
        </w:rPr>
        <w:t>,</w:t>
      </w:r>
      <w:r w:rsidRPr="00716C75">
        <w:rPr>
          <w:rFonts w:ascii="Verdana" w:hAnsi="Verdana"/>
          <w:sz w:val="20"/>
          <w:szCs w:val="20"/>
        </w:rPr>
        <w:t xml:space="preserve"> to which this Explanatory Statement relates</w:t>
      </w:r>
      <w:r w:rsidR="00872167" w:rsidRPr="00716C75">
        <w:rPr>
          <w:rFonts w:ascii="Verdana" w:hAnsi="Verdana"/>
          <w:sz w:val="20"/>
          <w:szCs w:val="20"/>
        </w:rPr>
        <w:t>,</w:t>
      </w:r>
      <w:r w:rsidR="00C7445C" w:rsidRPr="00716C75">
        <w:rPr>
          <w:rFonts w:ascii="Verdana" w:hAnsi="Verdana"/>
          <w:sz w:val="20"/>
          <w:szCs w:val="20"/>
        </w:rPr>
        <w:t xml:space="preserve"> is</w:t>
      </w:r>
      <w:r w:rsidRPr="00716C75">
        <w:rPr>
          <w:rFonts w:ascii="Verdana" w:hAnsi="Verdana"/>
          <w:sz w:val="20"/>
          <w:szCs w:val="20"/>
        </w:rPr>
        <w:t xml:space="preserve"> </w:t>
      </w:r>
      <w:r w:rsidR="009564B8" w:rsidRPr="00716C75">
        <w:rPr>
          <w:rFonts w:ascii="Verdana" w:hAnsi="Verdana"/>
          <w:sz w:val="20"/>
          <w:szCs w:val="20"/>
        </w:rPr>
        <w:t>to</w:t>
      </w:r>
      <w:r w:rsidR="00C7445C" w:rsidRPr="00716C75">
        <w:rPr>
          <w:rFonts w:ascii="Verdana" w:hAnsi="Verdana"/>
          <w:sz w:val="20"/>
          <w:szCs w:val="20"/>
        </w:rPr>
        <w:t xml:space="preserve"> grant an exemption f</w:t>
      </w:r>
      <w:r w:rsidR="00EE6F99" w:rsidRPr="00716C75">
        <w:rPr>
          <w:rFonts w:ascii="Verdana" w:hAnsi="Verdana"/>
          <w:sz w:val="20"/>
          <w:szCs w:val="20"/>
        </w:rPr>
        <w:t>rom</w:t>
      </w:r>
      <w:r w:rsidR="00C7445C" w:rsidRPr="00716C75">
        <w:rPr>
          <w:rFonts w:ascii="Verdana" w:hAnsi="Verdana"/>
          <w:sz w:val="20"/>
          <w:szCs w:val="20"/>
        </w:rPr>
        <w:t xml:space="preserve"> compliance with regulation </w:t>
      </w:r>
      <w:r w:rsidR="00DB6D13" w:rsidRPr="00716C75">
        <w:rPr>
          <w:rFonts w:ascii="Verdana" w:hAnsi="Verdana"/>
          <w:sz w:val="20"/>
          <w:szCs w:val="20"/>
        </w:rPr>
        <w:t>8</w:t>
      </w:r>
      <w:r w:rsidR="00151183" w:rsidRPr="00716C75">
        <w:rPr>
          <w:rFonts w:ascii="Verdana" w:hAnsi="Verdana"/>
          <w:sz w:val="20"/>
          <w:szCs w:val="20"/>
        </w:rPr>
        <w:t xml:space="preserve">1 </w:t>
      </w:r>
      <w:r w:rsidR="00EE6F99" w:rsidRPr="00716C75">
        <w:rPr>
          <w:rFonts w:ascii="Verdana" w:hAnsi="Verdana"/>
          <w:sz w:val="20"/>
          <w:szCs w:val="20"/>
        </w:rPr>
        <w:t xml:space="preserve">of </w:t>
      </w:r>
      <w:r w:rsidR="00CA4287" w:rsidRPr="00716C75">
        <w:rPr>
          <w:rFonts w:ascii="Verdana" w:hAnsi="Verdana"/>
          <w:sz w:val="20"/>
          <w:szCs w:val="20"/>
        </w:rPr>
        <w:t xml:space="preserve">the </w:t>
      </w:r>
      <w:r w:rsidR="00CA4287" w:rsidRPr="00716C75">
        <w:rPr>
          <w:rFonts w:ascii="Verdana" w:hAnsi="Verdana"/>
          <w:i/>
          <w:sz w:val="20"/>
          <w:szCs w:val="20"/>
        </w:rPr>
        <w:t>Work Health and Safety Regulations 2011</w:t>
      </w:r>
      <w:r w:rsidR="00CA4287" w:rsidRPr="00716C75">
        <w:rPr>
          <w:rFonts w:ascii="Verdana" w:hAnsi="Verdana"/>
          <w:sz w:val="20"/>
          <w:szCs w:val="20"/>
        </w:rPr>
        <w:t xml:space="preserve"> (the WHS Regulations)</w:t>
      </w:r>
      <w:r w:rsidR="009564B8" w:rsidRPr="00716C75">
        <w:rPr>
          <w:rFonts w:ascii="Verdana" w:hAnsi="Verdana"/>
          <w:sz w:val="20"/>
          <w:szCs w:val="20"/>
        </w:rPr>
        <w:t xml:space="preserve"> to a broad class of persons</w:t>
      </w:r>
      <w:r w:rsidR="00CA4287" w:rsidRPr="00716C75">
        <w:rPr>
          <w:rFonts w:ascii="Verdana" w:hAnsi="Verdana"/>
          <w:sz w:val="20"/>
          <w:szCs w:val="20"/>
        </w:rPr>
        <w:t>.</w:t>
      </w:r>
    </w:p>
    <w:p w:rsidR="006274AB" w:rsidRPr="00716C75" w:rsidRDefault="006274AB" w:rsidP="00CB6B83">
      <w:pPr>
        <w:jc w:val="both"/>
        <w:rPr>
          <w:rFonts w:ascii="Verdana" w:hAnsi="Verdana"/>
          <w:b/>
          <w:sz w:val="20"/>
          <w:szCs w:val="20"/>
        </w:rPr>
      </w:pPr>
    </w:p>
    <w:p w:rsidR="00151183" w:rsidRPr="00716C75" w:rsidRDefault="00CC36C1" w:rsidP="00C7445C">
      <w:pPr>
        <w:jc w:val="both"/>
        <w:rPr>
          <w:rFonts w:ascii="Verdana" w:hAnsi="Verdana"/>
          <w:sz w:val="20"/>
          <w:szCs w:val="20"/>
        </w:rPr>
      </w:pPr>
      <w:r w:rsidRPr="00716C75">
        <w:rPr>
          <w:rFonts w:ascii="Verdana" w:hAnsi="Verdana"/>
          <w:sz w:val="20"/>
          <w:szCs w:val="20"/>
        </w:rPr>
        <w:t xml:space="preserve">Regulation </w:t>
      </w:r>
      <w:r w:rsidR="00983CF6" w:rsidRPr="00716C75">
        <w:rPr>
          <w:rFonts w:ascii="Verdana" w:hAnsi="Verdana"/>
          <w:sz w:val="20"/>
          <w:szCs w:val="20"/>
        </w:rPr>
        <w:t>68</w:t>
      </w:r>
      <w:r w:rsidR="00151183" w:rsidRPr="00716C75">
        <w:rPr>
          <w:rFonts w:ascii="Verdana" w:hAnsi="Verdana"/>
          <w:sz w:val="20"/>
          <w:szCs w:val="20"/>
        </w:rPr>
        <w:t>6</w:t>
      </w:r>
      <w:r w:rsidR="00983CF6" w:rsidRPr="00716C75">
        <w:rPr>
          <w:rFonts w:ascii="Verdana" w:hAnsi="Verdana"/>
          <w:sz w:val="20"/>
          <w:szCs w:val="20"/>
        </w:rPr>
        <w:t xml:space="preserve"> </w:t>
      </w:r>
      <w:r w:rsidR="00CA4287" w:rsidRPr="00716C75">
        <w:rPr>
          <w:rFonts w:ascii="Verdana" w:hAnsi="Verdana"/>
          <w:sz w:val="20"/>
          <w:szCs w:val="20"/>
        </w:rPr>
        <w:t xml:space="preserve">provides that the </w:t>
      </w:r>
      <w:r w:rsidR="003B2371" w:rsidRPr="00716C75">
        <w:rPr>
          <w:rFonts w:ascii="Verdana" w:hAnsi="Verdana"/>
          <w:sz w:val="20"/>
          <w:szCs w:val="20"/>
        </w:rPr>
        <w:t>r</w:t>
      </w:r>
      <w:r w:rsidR="00983CF6" w:rsidRPr="00716C75">
        <w:rPr>
          <w:rFonts w:ascii="Verdana" w:hAnsi="Verdana"/>
          <w:sz w:val="20"/>
          <w:szCs w:val="20"/>
        </w:rPr>
        <w:t>egulator</w:t>
      </w:r>
      <w:r w:rsidR="00151183" w:rsidRPr="00716C75">
        <w:rPr>
          <w:rFonts w:ascii="Verdana" w:hAnsi="Verdana"/>
          <w:sz w:val="20"/>
          <w:szCs w:val="20"/>
        </w:rPr>
        <w:t xml:space="preserve"> may exempt a person or class of persons from compliance with a provision of the WHS Regulations requiring the person or class of persons to hold a high risk work licence.</w:t>
      </w:r>
    </w:p>
    <w:p w:rsidR="00DB6D13" w:rsidRPr="00716C75" w:rsidRDefault="00DB6D13" w:rsidP="000B3D3F">
      <w:pPr>
        <w:ind w:right="26"/>
        <w:jc w:val="both"/>
        <w:rPr>
          <w:rFonts w:ascii="Verdana" w:hAnsi="Verdana"/>
          <w:sz w:val="20"/>
          <w:szCs w:val="20"/>
        </w:rPr>
      </w:pPr>
    </w:p>
    <w:p w:rsidR="000B3D3F" w:rsidRPr="00716C75" w:rsidRDefault="000B3D3F" w:rsidP="000B3D3F">
      <w:pPr>
        <w:ind w:right="26"/>
        <w:jc w:val="both"/>
        <w:rPr>
          <w:rFonts w:ascii="Verdana" w:hAnsi="Verdana"/>
          <w:i/>
          <w:sz w:val="20"/>
          <w:szCs w:val="20"/>
        </w:rPr>
      </w:pPr>
      <w:r w:rsidRPr="00716C75">
        <w:rPr>
          <w:rFonts w:ascii="Verdana" w:hAnsi="Verdana"/>
          <w:sz w:val="20"/>
          <w:szCs w:val="20"/>
        </w:rPr>
        <w:t xml:space="preserve">In accordance with subregulation 692(2) of the WHS Regulations, </w:t>
      </w:r>
      <w:r w:rsidR="001D1681" w:rsidRPr="00716C75">
        <w:rPr>
          <w:rFonts w:ascii="Verdana" w:hAnsi="Verdana"/>
          <w:sz w:val="20"/>
          <w:szCs w:val="20"/>
        </w:rPr>
        <w:t>an</w:t>
      </w:r>
      <w:r w:rsidRPr="00716C75">
        <w:rPr>
          <w:rFonts w:ascii="Verdana" w:hAnsi="Verdana"/>
          <w:sz w:val="20"/>
          <w:szCs w:val="20"/>
        </w:rPr>
        <w:t xml:space="preserve"> exemption </w:t>
      </w:r>
      <w:r w:rsidR="00A22236" w:rsidRPr="00716C75">
        <w:rPr>
          <w:rFonts w:ascii="Verdana" w:hAnsi="Verdana"/>
          <w:sz w:val="20"/>
          <w:szCs w:val="20"/>
        </w:rPr>
        <w:t xml:space="preserve">document that exempts a class of persons </w:t>
      </w:r>
      <w:r w:rsidRPr="00716C75">
        <w:rPr>
          <w:rFonts w:ascii="Verdana" w:hAnsi="Verdana"/>
          <w:sz w:val="20"/>
          <w:szCs w:val="20"/>
        </w:rPr>
        <w:t>is a Legislative Instrument</w:t>
      </w:r>
      <w:r w:rsidR="00A03AC5" w:rsidRPr="00716C75">
        <w:rPr>
          <w:rFonts w:ascii="Verdana" w:hAnsi="Verdana"/>
          <w:sz w:val="20"/>
          <w:szCs w:val="20"/>
        </w:rPr>
        <w:t xml:space="preserve"> </w:t>
      </w:r>
      <w:r w:rsidRPr="00716C75">
        <w:rPr>
          <w:rFonts w:ascii="Verdana" w:hAnsi="Verdana"/>
          <w:sz w:val="20"/>
          <w:szCs w:val="20"/>
        </w:rPr>
        <w:t xml:space="preserve">within the meaning of the </w:t>
      </w:r>
      <w:r w:rsidRPr="00716C75">
        <w:rPr>
          <w:rFonts w:ascii="Verdana" w:hAnsi="Verdana"/>
          <w:i/>
          <w:sz w:val="20"/>
          <w:szCs w:val="20"/>
        </w:rPr>
        <w:t>Legislative Instruments Act 2003</w:t>
      </w:r>
      <w:r w:rsidR="000B7815" w:rsidRPr="00716C75">
        <w:rPr>
          <w:rFonts w:ascii="Verdana" w:hAnsi="Verdana"/>
          <w:i/>
          <w:sz w:val="20"/>
          <w:szCs w:val="20"/>
        </w:rPr>
        <w:t>.</w:t>
      </w:r>
      <w:r w:rsidRPr="00716C75">
        <w:rPr>
          <w:rFonts w:ascii="Verdana" w:hAnsi="Verdana"/>
          <w:i/>
          <w:sz w:val="20"/>
          <w:szCs w:val="20"/>
        </w:rPr>
        <w:t xml:space="preserve"> </w:t>
      </w:r>
    </w:p>
    <w:p w:rsidR="005D257C" w:rsidRPr="00716C75" w:rsidRDefault="005D257C" w:rsidP="000B3D3F">
      <w:pPr>
        <w:ind w:right="26"/>
        <w:jc w:val="both"/>
        <w:rPr>
          <w:rFonts w:ascii="Verdana" w:hAnsi="Verdana"/>
          <w:i/>
          <w:sz w:val="20"/>
          <w:szCs w:val="20"/>
        </w:rPr>
      </w:pPr>
    </w:p>
    <w:p w:rsidR="005D257C" w:rsidRPr="00716C75" w:rsidRDefault="005D257C" w:rsidP="005D257C">
      <w:pPr>
        <w:ind w:right="26"/>
        <w:jc w:val="both"/>
        <w:rPr>
          <w:rFonts w:ascii="Verdana" w:hAnsi="Verdana"/>
          <w:sz w:val="20"/>
          <w:szCs w:val="20"/>
        </w:rPr>
      </w:pPr>
      <w:r w:rsidRPr="00716C75">
        <w:rPr>
          <w:rFonts w:ascii="Verdana" w:hAnsi="Verdana"/>
          <w:sz w:val="20"/>
          <w:szCs w:val="20"/>
        </w:rPr>
        <w:t xml:space="preserve">This </w:t>
      </w:r>
      <w:r w:rsidR="00F33D1C">
        <w:rPr>
          <w:rFonts w:ascii="Verdana" w:hAnsi="Verdana"/>
          <w:sz w:val="20"/>
          <w:szCs w:val="20"/>
        </w:rPr>
        <w:t>i</w:t>
      </w:r>
      <w:r w:rsidRPr="00716C75">
        <w:rPr>
          <w:rFonts w:ascii="Verdana" w:hAnsi="Verdana"/>
          <w:sz w:val="20"/>
          <w:szCs w:val="20"/>
        </w:rPr>
        <w:t xml:space="preserve">nstrument exempts a class of persons, being all </w:t>
      </w:r>
      <w:r w:rsidR="0063147D" w:rsidRPr="00716C75">
        <w:rPr>
          <w:rFonts w:ascii="Verdana" w:hAnsi="Verdana"/>
          <w:sz w:val="20"/>
          <w:szCs w:val="20"/>
        </w:rPr>
        <w:t xml:space="preserve">members of the </w:t>
      </w:r>
      <w:r w:rsidR="00716C75">
        <w:rPr>
          <w:rFonts w:ascii="Verdana" w:hAnsi="Verdana"/>
          <w:sz w:val="20"/>
          <w:szCs w:val="20"/>
        </w:rPr>
        <w:t xml:space="preserve">Australian </w:t>
      </w:r>
      <w:r w:rsidR="001C0EE2" w:rsidRPr="00716C75">
        <w:rPr>
          <w:rFonts w:ascii="Verdana" w:hAnsi="Verdana"/>
          <w:sz w:val="20"/>
          <w:szCs w:val="20"/>
        </w:rPr>
        <w:t>Defence Force</w:t>
      </w:r>
      <w:r w:rsidR="00716C75">
        <w:rPr>
          <w:rFonts w:ascii="Verdana" w:hAnsi="Verdana"/>
          <w:sz w:val="20"/>
          <w:szCs w:val="20"/>
        </w:rPr>
        <w:t xml:space="preserve"> (ADF)</w:t>
      </w:r>
      <w:r w:rsidRPr="00716C75">
        <w:rPr>
          <w:rFonts w:ascii="Verdana" w:hAnsi="Verdana"/>
          <w:sz w:val="20"/>
          <w:szCs w:val="20"/>
        </w:rPr>
        <w:t xml:space="preserve">, from complying with the requirements </w:t>
      </w:r>
      <w:r w:rsidR="00151183" w:rsidRPr="00716C75">
        <w:rPr>
          <w:rFonts w:ascii="Verdana" w:hAnsi="Verdana"/>
          <w:sz w:val="20"/>
          <w:szCs w:val="20"/>
        </w:rPr>
        <w:t>prescribed by regulation 81 of the WHS Regulations for the period from 1 July 2014 to 31 December 201</w:t>
      </w:r>
      <w:r w:rsidR="00C2688F">
        <w:rPr>
          <w:rFonts w:ascii="Verdana" w:hAnsi="Verdana"/>
          <w:sz w:val="20"/>
          <w:szCs w:val="20"/>
        </w:rPr>
        <w:t>4</w:t>
      </w:r>
      <w:r w:rsidR="00151183" w:rsidRPr="00716C75">
        <w:rPr>
          <w:rFonts w:ascii="Verdana" w:hAnsi="Verdana"/>
          <w:sz w:val="20"/>
          <w:szCs w:val="20"/>
        </w:rPr>
        <w:t xml:space="preserve">. </w:t>
      </w:r>
      <w:r w:rsidRPr="00716C75">
        <w:rPr>
          <w:rFonts w:ascii="Verdana" w:hAnsi="Verdana"/>
          <w:sz w:val="20"/>
          <w:szCs w:val="20"/>
        </w:rPr>
        <w:t xml:space="preserve">There are no conditions on the exemption. </w:t>
      </w:r>
    </w:p>
    <w:p w:rsidR="00151183" w:rsidRPr="00716C75" w:rsidRDefault="00151183" w:rsidP="00046AFE">
      <w:pPr>
        <w:jc w:val="both"/>
        <w:rPr>
          <w:rFonts w:ascii="Verdana" w:hAnsi="Verdana"/>
          <w:sz w:val="20"/>
          <w:szCs w:val="20"/>
        </w:rPr>
      </w:pPr>
    </w:p>
    <w:p w:rsidR="00D77969" w:rsidRPr="00716C75" w:rsidRDefault="00CF41DF" w:rsidP="00046AFE">
      <w:pPr>
        <w:jc w:val="both"/>
        <w:rPr>
          <w:rFonts w:ascii="Verdana" w:hAnsi="Verdana"/>
          <w:sz w:val="20"/>
          <w:szCs w:val="20"/>
        </w:rPr>
      </w:pPr>
      <w:r w:rsidRPr="00716C75">
        <w:rPr>
          <w:rFonts w:ascii="Verdana" w:hAnsi="Verdana"/>
          <w:sz w:val="20"/>
          <w:szCs w:val="20"/>
        </w:rPr>
        <w:t>Regulation 8</w:t>
      </w:r>
      <w:r w:rsidR="00D77969" w:rsidRPr="00716C75">
        <w:rPr>
          <w:rFonts w:ascii="Verdana" w:hAnsi="Verdana"/>
          <w:sz w:val="20"/>
          <w:szCs w:val="20"/>
        </w:rPr>
        <w:t>1</w:t>
      </w:r>
      <w:r w:rsidRPr="00716C75">
        <w:rPr>
          <w:rFonts w:ascii="Verdana" w:hAnsi="Verdana"/>
          <w:sz w:val="20"/>
          <w:szCs w:val="20"/>
        </w:rPr>
        <w:t xml:space="preserve"> of the WHS Regulations</w:t>
      </w:r>
      <w:r w:rsidR="009F3157" w:rsidRPr="00716C75">
        <w:rPr>
          <w:rFonts w:ascii="Verdana" w:hAnsi="Verdana"/>
          <w:sz w:val="20"/>
          <w:szCs w:val="20"/>
        </w:rPr>
        <w:t xml:space="preserve"> provides </w:t>
      </w:r>
      <w:r w:rsidR="00D77969" w:rsidRPr="00716C75">
        <w:rPr>
          <w:rFonts w:ascii="Verdana" w:hAnsi="Verdana"/>
          <w:sz w:val="20"/>
          <w:szCs w:val="20"/>
        </w:rPr>
        <w:t>that, subject to specific exemptions, a person must not carry out a prescribed class of high risk work unless the person holds a high risk work licence for that class of high risk work.</w:t>
      </w:r>
    </w:p>
    <w:p w:rsidR="00D77969" w:rsidRPr="00716C75" w:rsidRDefault="00D77969" w:rsidP="00046AFE">
      <w:pPr>
        <w:jc w:val="both"/>
        <w:rPr>
          <w:rFonts w:ascii="Verdana" w:hAnsi="Verdana"/>
          <w:sz w:val="20"/>
          <w:szCs w:val="20"/>
        </w:rPr>
      </w:pPr>
    </w:p>
    <w:p w:rsidR="00716C75" w:rsidRPr="00716C75" w:rsidRDefault="00716C75" w:rsidP="00046AFE">
      <w:pPr>
        <w:jc w:val="both"/>
        <w:rPr>
          <w:rFonts w:ascii="Verdana" w:hAnsi="Verdana"/>
          <w:sz w:val="20"/>
          <w:szCs w:val="20"/>
        </w:rPr>
      </w:pPr>
      <w:r w:rsidRPr="00716C75">
        <w:rPr>
          <w:rFonts w:ascii="Verdana" w:hAnsi="Verdana"/>
          <w:sz w:val="20"/>
          <w:szCs w:val="20"/>
        </w:rPr>
        <w:t xml:space="preserve">Pursuant to regulation 727 of the WHS Regulations, the duties imposed under regulation 81 do not apply to members of the </w:t>
      </w:r>
      <w:r>
        <w:rPr>
          <w:rFonts w:ascii="Verdana" w:hAnsi="Verdana"/>
          <w:sz w:val="20"/>
          <w:szCs w:val="20"/>
        </w:rPr>
        <w:t>ADF</w:t>
      </w:r>
      <w:r w:rsidRPr="00716C75">
        <w:rPr>
          <w:rFonts w:ascii="Verdana" w:hAnsi="Verdana"/>
          <w:sz w:val="20"/>
          <w:szCs w:val="20"/>
        </w:rPr>
        <w:t xml:space="preserve"> until 1 July 2014.</w:t>
      </w:r>
    </w:p>
    <w:p w:rsidR="00716C75" w:rsidRDefault="00716C75" w:rsidP="00046AFE">
      <w:pPr>
        <w:jc w:val="both"/>
        <w:rPr>
          <w:rFonts w:ascii="Verdana" w:hAnsi="Verdana"/>
          <w:sz w:val="20"/>
          <w:szCs w:val="20"/>
        </w:rPr>
      </w:pPr>
    </w:p>
    <w:p w:rsidR="00CA10E7" w:rsidRDefault="00402B82" w:rsidP="005249B7">
      <w:pPr>
        <w:jc w:val="both"/>
        <w:rPr>
          <w:rFonts w:ascii="Verdana" w:hAnsi="Verdana"/>
          <w:sz w:val="20"/>
          <w:szCs w:val="20"/>
        </w:rPr>
      </w:pPr>
      <w:r>
        <w:rPr>
          <w:rFonts w:ascii="Verdana" w:hAnsi="Verdana"/>
          <w:sz w:val="20"/>
          <w:szCs w:val="20"/>
        </w:rPr>
        <w:t>The ADF requires high risk work licences for a significant number of ADF members</w:t>
      </w:r>
      <w:r w:rsidR="00F27173">
        <w:rPr>
          <w:rFonts w:ascii="Verdana" w:hAnsi="Verdana"/>
          <w:sz w:val="20"/>
          <w:szCs w:val="20"/>
        </w:rPr>
        <w:t>. No fee is presently prescribed by the WHS Regulations for the purposes of regulation 87(3). In the absence of a prescribed fee, a person who carries out high risk work cannot make an application for a high risk work licence in accordance with regulation 87.</w:t>
      </w:r>
      <w:r>
        <w:rPr>
          <w:rFonts w:ascii="Verdana" w:hAnsi="Verdana"/>
          <w:sz w:val="20"/>
          <w:szCs w:val="20"/>
        </w:rPr>
        <w:t xml:space="preserve"> </w:t>
      </w:r>
      <w:r w:rsidR="007C6EC0">
        <w:rPr>
          <w:rFonts w:ascii="Verdana" w:hAnsi="Verdana"/>
          <w:sz w:val="20"/>
          <w:szCs w:val="20"/>
        </w:rPr>
        <w:t>A</w:t>
      </w:r>
      <w:r w:rsidR="00CA10E7" w:rsidRPr="005D257C">
        <w:rPr>
          <w:rFonts w:ascii="Verdana" w:hAnsi="Verdana"/>
          <w:sz w:val="20"/>
          <w:szCs w:val="20"/>
        </w:rPr>
        <w:t xml:space="preserve">n exemption from complying with </w:t>
      </w:r>
      <w:r w:rsidR="00CA10E7">
        <w:rPr>
          <w:rFonts w:ascii="Verdana" w:hAnsi="Verdana"/>
          <w:sz w:val="20"/>
          <w:szCs w:val="20"/>
        </w:rPr>
        <w:t xml:space="preserve">regulation 81 for a period of </w:t>
      </w:r>
      <w:r w:rsidR="00C2688F">
        <w:rPr>
          <w:rFonts w:ascii="Verdana" w:hAnsi="Verdana"/>
          <w:sz w:val="20"/>
          <w:szCs w:val="20"/>
        </w:rPr>
        <w:t>6</w:t>
      </w:r>
      <w:r w:rsidR="00CA10E7">
        <w:rPr>
          <w:rFonts w:ascii="Verdana" w:hAnsi="Verdana"/>
          <w:sz w:val="20"/>
          <w:szCs w:val="20"/>
        </w:rPr>
        <w:t xml:space="preserve"> months</w:t>
      </w:r>
      <w:r w:rsidR="00C2688F">
        <w:rPr>
          <w:rFonts w:ascii="Verdana" w:hAnsi="Verdana"/>
          <w:sz w:val="20"/>
          <w:szCs w:val="20"/>
        </w:rPr>
        <w:t xml:space="preserve"> prov</w:t>
      </w:r>
      <w:r w:rsidR="007C6EC0">
        <w:rPr>
          <w:rFonts w:ascii="Verdana" w:hAnsi="Verdana"/>
          <w:sz w:val="20"/>
          <w:szCs w:val="20"/>
        </w:rPr>
        <w:t>ides</w:t>
      </w:r>
      <w:r w:rsidR="00CA10E7">
        <w:rPr>
          <w:rFonts w:ascii="Verdana" w:hAnsi="Verdana"/>
          <w:sz w:val="20"/>
          <w:szCs w:val="20"/>
        </w:rPr>
        <w:t xml:space="preserve"> the ADF </w:t>
      </w:r>
      <w:r w:rsidR="00465067">
        <w:rPr>
          <w:rFonts w:ascii="Verdana" w:hAnsi="Verdana"/>
          <w:sz w:val="20"/>
          <w:szCs w:val="20"/>
        </w:rPr>
        <w:t xml:space="preserve">with </w:t>
      </w:r>
      <w:r w:rsidR="007C6EC0">
        <w:rPr>
          <w:rFonts w:ascii="Verdana" w:hAnsi="Verdana"/>
          <w:sz w:val="20"/>
          <w:szCs w:val="20"/>
        </w:rPr>
        <w:t>a</w:t>
      </w:r>
      <w:r w:rsidR="00465067">
        <w:rPr>
          <w:rFonts w:ascii="Verdana" w:hAnsi="Verdana"/>
          <w:sz w:val="20"/>
          <w:szCs w:val="20"/>
        </w:rPr>
        <w:t>n extended</w:t>
      </w:r>
      <w:r w:rsidR="007C6EC0">
        <w:rPr>
          <w:rFonts w:ascii="Verdana" w:hAnsi="Verdana"/>
          <w:sz w:val="20"/>
          <w:szCs w:val="20"/>
        </w:rPr>
        <w:t xml:space="preserve"> period of time </w:t>
      </w:r>
      <w:r w:rsidR="00CA10E7">
        <w:rPr>
          <w:rFonts w:ascii="Verdana" w:hAnsi="Verdana"/>
          <w:sz w:val="20"/>
          <w:szCs w:val="20"/>
        </w:rPr>
        <w:t xml:space="preserve">to facilitate </w:t>
      </w:r>
      <w:r w:rsidR="00465067">
        <w:rPr>
          <w:rFonts w:ascii="Verdana" w:hAnsi="Verdana"/>
          <w:sz w:val="20"/>
          <w:szCs w:val="20"/>
        </w:rPr>
        <w:t>the required</w:t>
      </w:r>
      <w:r w:rsidR="007C6EC0">
        <w:rPr>
          <w:rFonts w:ascii="Verdana" w:hAnsi="Verdana"/>
          <w:sz w:val="20"/>
          <w:szCs w:val="20"/>
        </w:rPr>
        <w:t xml:space="preserve"> </w:t>
      </w:r>
      <w:r w:rsidR="00CA10E7">
        <w:rPr>
          <w:rFonts w:ascii="Verdana" w:hAnsi="Verdana"/>
          <w:sz w:val="20"/>
          <w:szCs w:val="20"/>
        </w:rPr>
        <w:t>training</w:t>
      </w:r>
      <w:r w:rsidR="003272FE">
        <w:rPr>
          <w:rFonts w:ascii="Verdana" w:hAnsi="Verdana"/>
          <w:sz w:val="20"/>
          <w:szCs w:val="20"/>
        </w:rPr>
        <w:t>,</w:t>
      </w:r>
      <w:r w:rsidR="00CA10E7">
        <w:rPr>
          <w:rFonts w:ascii="Verdana" w:hAnsi="Verdana"/>
          <w:sz w:val="20"/>
          <w:szCs w:val="20"/>
        </w:rPr>
        <w:t xml:space="preserve"> </w:t>
      </w:r>
      <w:r w:rsidR="001F0CC1">
        <w:rPr>
          <w:rFonts w:ascii="Verdana" w:hAnsi="Verdana"/>
          <w:sz w:val="20"/>
          <w:szCs w:val="20"/>
        </w:rPr>
        <w:t>make licence application</w:t>
      </w:r>
      <w:r w:rsidR="00465067">
        <w:rPr>
          <w:rFonts w:ascii="Verdana" w:hAnsi="Verdana"/>
          <w:sz w:val="20"/>
          <w:szCs w:val="20"/>
        </w:rPr>
        <w:t>s</w:t>
      </w:r>
      <w:r w:rsidR="007C6EC0">
        <w:rPr>
          <w:rFonts w:ascii="Verdana" w:hAnsi="Verdana"/>
          <w:sz w:val="20"/>
          <w:szCs w:val="20"/>
        </w:rPr>
        <w:t xml:space="preserve"> for </w:t>
      </w:r>
      <w:r w:rsidR="00465067">
        <w:rPr>
          <w:rFonts w:ascii="Verdana" w:hAnsi="Verdana"/>
          <w:sz w:val="20"/>
          <w:szCs w:val="20"/>
        </w:rPr>
        <w:t>all relevant members of the Defence Force</w:t>
      </w:r>
      <w:r w:rsidR="00C2688F">
        <w:rPr>
          <w:rFonts w:ascii="Verdana" w:hAnsi="Verdana"/>
          <w:sz w:val="20"/>
          <w:szCs w:val="20"/>
        </w:rPr>
        <w:t>,</w:t>
      </w:r>
      <w:r w:rsidR="00465067">
        <w:rPr>
          <w:rFonts w:ascii="Verdana" w:hAnsi="Verdana"/>
          <w:sz w:val="20"/>
          <w:szCs w:val="20"/>
        </w:rPr>
        <w:t xml:space="preserve"> </w:t>
      </w:r>
      <w:r w:rsidR="007C6EC0">
        <w:rPr>
          <w:rFonts w:ascii="Verdana" w:hAnsi="Verdana"/>
          <w:sz w:val="20"/>
          <w:szCs w:val="20"/>
        </w:rPr>
        <w:t>and to meet the associated expenses.</w:t>
      </w:r>
    </w:p>
    <w:p w:rsidR="007C6EC0" w:rsidRDefault="007C6EC0" w:rsidP="005249B7">
      <w:pPr>
        <w:contextualSpacing/>
        <w:jc w:val="both"/>
        <w:rPr>
          <w:rFonts w:ascii="Verdana" w:hAnsi="Verdana"/>
          <w:sz w:val="20"/>
          <w:szCs w:val="20"/>
        </w:rPr>
      </w:pPr>
    </w:p>
    <w:p w:rsidR="009C690C" w:rsidRPr="0045650D" w:rsidRDefault="006E4269" w:rsidP="005249B7">
      <w:pPr>
        <w:contextualSpacing/>
        <w:jc w:val="both"/>
        <w:rPr>
          <w:rFonts w:ascii="Verdana" w:hAnsi="Verdana"/>
          <w:sz w:val="20"/>
          <w:szCs w:val="20"/>
        </w:rPr>
      </w:pPr>
      <w:r w:rsidRPr="0045650D">
        <w:rPr>
          <w:rFonts w:ascii="Verdana" w:hAnsi="Verdana"/>
          <w:sz w:val="20"/>
          <w:szCs w:val="20"/>
        </w:rPr>
        <w:t xml:space="preserve">Extensive internal and external consultation was undertaken by the </w:t>
      </w:r>
      <w:r w:rsidR="00465067">
        <w:rPr>
          <w:rFonts w:ascii="Verdana" w:hAnsi="Verdana"/>
          <w:sz w:val="20"/>
          <w:szCs w:val="20"/>
        </w:rPr>
        <w:t>ADF</w:t>
      </w:r>
      <w:r w:rsidRPr="0045650D">
        <w:rPr>
          <w:rFonts w:ascii="Verdana" w:hAnsi="Verdana"/>
          <w:sz w:val="20"/>
          <w:szCs w:val="20"/>
        </w:rPr>
        <w:t xml:space="preserve"> </w:t>
      </w:r>
      <w:r w:rsidR="00D15645" w:rsidRPr="0045650D">
        <w:rPr>
          <w:rFonts w:ascii="Verdana" w:hAnsi="Verdana"/>
          <w:sz w:val="20"/>
          <w:szCs w:val="20"/>
        </w:rPr>
        <w:t>in relation to</w:t>
      </w:r>
      <w:r w:rsidR="00026787">
        <w:rPr>
          <w:rFonts w:ascii="Verdana" w:hAnsi="Verdana"/>
          <w:sz w:val="20"/>
          <w:szCs w:val="20"/>
        </w:rPr>
        <w:t xml:space="preserve"> high risk work undertaken by ADF members </w:t>
      </w:r>
      <w:r w:rsidR="00A714F4" w:rsidRPr="0045650D">
        <w:rPr>
          <w:rFonts w:ascii="Verdana" w:hAnsi="Verdana"/>
          <w:sz w:val="20"/>
          <w:szCs w:val="20"/>
        </w:rPr>
        <w:t xml:space="preserve">to </w:t>
      </w:r>
      <w:r w:rsidRPr="0045650D">
        <w:rPr>
          <w:rFonts w:ascii="Verdana" w:hAnsi="Verdana"/>
          <w:sz w:val="20"/>
          <w:szCs w:val="20"/>
        </w:rPr>
        <w:t>inform its application for exemption from compl</w:t>
      </w:r>
      <w:r w:rsidR="00DA58AF" w:rsidRPr="0045650D">
        <w:rPr>
          <w:rFonts w:ascii="Verdana" w:hAnsi="Verdana"/>
          <w:sz w:val="20"/>
          <w:szCs w:val="20"/>
        </w:rPr>
        <w:t>iance with</w:t>
      </w:r>
      <w:r w:rsidR="009C690C" w:rsidRPr="0045650D">
        <w:rPr>
          <w:rFonts w:ascii="Verdana" w:hAnsi="Verdana"/>
          <w:sz w:val="20"/>
          <w:szCs w:val="20"/>
        </w:rPr>
        <w:t xml:space="preserve"> regulation</w:t>
      </w:r>
      <w:r w:rsidR="00026787">
        <w:rPr>
          <w:rFonts w:ascii="Verdana" w:hAnsi="Verdana"/>
          <w:sz w:val="20"/>
          <w:szCs w:val="20"/>
        </w:rPr>
        <w:t xml:space="preserve"> 81 of the WHS Regulations</w:t>
      </w:r>
      <w:r w:rsidR="009C690C" w:rsidRPr="0045650D">
        <w:rPr>
          <w:rFonts w:ascii="Verdana" w:hAnsi="Verdana"/>
          <w:sz w:val="20"/>
          <w:szCs w:val="20"/>
        </w:rPr>
        <w:t xml:space="preserve">. Monthly High Risk Work Working Groups were facilitated by the ADF and attended </w:t>
      </w:r>
      <w:r w:rsidR="00ED3A4E" w:rsidRPr="0045650D">
        <w:rPr>
          <w:rFonts w:ascii="Verdana" w:hAnsi="Verdana"/>
          <w:sz w:val="20"/>
          <w:szCs w:val="20"/>
        </w:rPr>
        <w:t xml:space="preserve">by </w:t>
      </w:r>
      <w:r w:rsidR="009C690C" w:rsidRPr="0045650D">
        <w:rPr>
          <w:rFonts w:ascii="Verdana" w:hAnsi="Verdana"/>
          <w:sz w:val="20"/>
          <w:szCs w:val="20"/>
        </w:rPr>
        <w:t>both ADF</w:t>
      </w:r>
      <w:r w:rsidR="00ED3A4E" w:rsidRPr="0045650D">
        <w:rPr>
          <w:rFonts w:ascii="Verdana" w:hAnsi="Verdana"/>
          <w:sz w:val="20"/>
          <w:szCs w:val="20"/>
        </w:rPr>
        <w:t xml:space="preserve"> personnel </w:t>
      </w:r>
      <w:r w:rsidR="007B1C56" w:rsidRPr="0045650D">
        <w:rPr>
          <w:rFonts w:ascii="Verdana" w:hAnsi="Verdana"/>
          <w:sz w:val="20"/>
          <w:szCs w:val="20"/>
        </w:rPr>
        <w:t>and Comcare representatives</w:t>
      </w:r>
      <w:r w:rsidR="00DE269F" w:rsidRPr="0045650D">
        <w:rPr>
          <w:rFonts w:ascii="Verdana" w:hAnsi="Verdana"/>
          <w:sz w:val="20"/>
          <w:szCs w:val="20"/>
        </w:rPr>
        <w:t xml:space="preserve"> and</w:t>
      </w:r>
      <w:r w:rsidR="007B1C56" w:rsidRPr="0045650D">
        <w:rPr>
          <w:rFonts w:ascii="Verdana" w:hAnsi="Verdana"/>
          <w:sz w:val="20"/>
          <w:szCs w:val="20"/>
        </w:rPr>
        <w:t xml:space="preserve"> an online enquiries mailbox </w:t>
      </w:r>
      <w:r w:rsidR="00DE269F" w:rsidRPr="0045650D">
        <w:rPr>
          <w:rFonts w:ascii="Verdana" w:hAnsi="Verdana"/>
          <w:sz w:val="20"/>
          <w:szCs w:val="20"/>
        </w:rPr>
        <w:t xml:space="preserve">was established </w:t>
      </w:r>
      <w:r w:rsidR="009C690C" w:rsidRPr="0045650D">
        <w:rPr>
          <w:rFonts w:ascii="Verdana" w:hAnsi="Verdana"/>
          <w:sz w:val="20"/>
          <w:szCs w:val="20"/>
        </w:rPr>
        <w:t>to facilitate consultation within the ADF.</w:t>
      </w:r>
    </w:p>
    <w:p w:rsidR="007B1C56" w:rsidRDefault="007B1C56" w:rsidP="005249B7">
      <w:pPr>
        <w:contextualSpacing/>
        <w:jc w:val="both"/>
        <w:rPr>
          <w:rFonts w:ascii="Verdana" w:hAnsi="Verdana"/>
          <w:sz w:val="20"/>
          <w:szCs w:val="20"/>
        </w:rPr>
      </w:pPr>
    </w:p>
    <w:p w:rsidR="00806768" w:rsidRDefault="00DE362D" w:rsidP="00F83DD4">
      <w:pPr>
        <w:contextualSpacing/>
        <w:jc w:val="both"/>
        <w:rPr>
          <w:rFonts w:ascii="Verdana" w:hAnsi="Verdana"/>
          <w:sz w:val="20"/>
          <w:szCs w:val="20"/>
        </w:rPr>
      </w:pPr>
      <w:r w:rsidRPr="00C15715">
        <w:rPr>
          <w:rFonts w:ascii="Verdana" w:hAnsi="Verdana"/>
          <w:sz w:val="20"/>
          <w:szCs w:val="20"/>
        </w:rPr>
        <w:t>The Office of Best Practice Regulation has advised that no Regulation Impact Statement is required for this change</w:t>
      </w:r>
      <w:r w:rsidR="00BF4B00">
        <w:rPr>
          <w:rFonts w:ascii="Verdana" w:hAnsi="Verdana"/>
          <w:sz w:val="20"/>
          <w:szCs w:val="20"/>
        </w:rPr>
        <w:t xml:space="preserve"> (OBPR ID: 17014)</w:t>
      </w:r>
      <w:r w:rsidRPr="00544B97">
        <w:rPr>
          <w:rFonts w:ascii="Verdana" w:hAnsi="Verdana"/>
          <w:sz w:val="20"/>
          <w:szCs w:val="20"/>
        </w:rPr>
        <w:t>.</w:t>
      </w:r>
      <w:r w:rsidR="00F83DD4">
        <w:rPr>
          <w:rFonts w:ascii="Verdana" w:hAnsi="Verdana"/>
          <w:sz w:val="20"/>
          <w:szCs w:val="20"/>
        </w:rPr>
        <w:t xml:space="preserve"> </w:t>
      </w:r>
      <w:r w:rsidR="00B53B08" w:rsidRPr="00964DB0">
        <w:rPr>
          <w:rFonts w:ascii="Verdana" w:eastAsia="Calibri" w:hAnsi="Verdana"/>
          <w:sz w:val="20"/>
          <w:szCs w:val="20"/>
        </w:rPr>
        <w:t xml:space="preserve">A Statement of Compatibility with Human Rights has been completed for the Amending Regulation, in accordance with the </w:t>
      </w:r>
      <w:r w:rsidR="00B53B08" w:rsidRPr="00964DB0">
        <w:rPr>
          <w:rFonts w:ascii="Verdana" w:eastAsia="Calibri" w:hAnsi="Verdana"/>
          <w:i/>
          <w:iCs/>
          <w:sz w:val="20"/>
          <w:szCs w:val="20"/>
        </w:rPr>
        <w:t>Human Rights (Parliamentary Scrutiny) Act 2011</w:t>
      </w:r>
      <w:r w:rsidR="00B53B08" w:rsidRPr="00964DB0">
        <w:rPr>
          <w:rFonts w:ascii="Verdana" w:eastAsia="Calibri" w:hAnsi="Verdana"/>
          <w:sz w:val="20"/>
          <w:szCs w:val="20"/>
        </w:rPr>
        <w:t xml:space="preserve">. The Statement’s assessment is that the </w:t>
      </w:r>
      <w:r w:rsidR="00B53B08">
        <w:rPr>
          <w:rFonts w:ascii="Verdana" w:eastAsia="Calibri" w:hAnsi="Verdana"/>
          <w:sz w:val="20"/>
          <w:szCs w:val="20"/>
        </w:rPr>
        <w:t>instrument</w:t>
      </w:r>
      <w:r w:rsidR="00B53B08" w:rsidRPr="00964DB0">
        <w:rPr>
          <w:rFonts w:ascii="Verdana" w:eastAsia="Calibri" w:hAnsi="Verdana"/>
          <w:sz w:val="20"/>
          <w:szCs w:val="20"/>
        </w:rPr>
        <w:t xml:space="preserve"> is compatible with human rights. A copy of the Statement is attached.</w:t>
      </w:r>
      <w:r w:rsidR="00F83DD4">
        <w:rPr>
          <w:rFonts w:ascii="Verdana" w:eastAsia="Calibri" w:hAnsi="Verdana"/>
          <w:sz w:val="20"/>
          <w:szCs w:val="20"/>
        </w:rPr>
        <w:t xml:space="preserve"> </w:t>
      </w:r>
      <w:r w:rsidR="00F24006" w:rsidRPr="00544B97">
        <w:rPr>
          <w:rFonts w:ascii="Verdana" w:eastAsia="Calibri" w:hAnsi="Verdana"/>
          <w:sz w:val="20"/>
          <w:szCs w:val="20"/>
          <w:lang w:eastAsia="en-US"/>
        </w:rPr>
        <w:t xml:space="preserve">The exemption </w:t>
      </w:r>
      <w:r w:rsidR="002751E4">
        <w:rPr>
          <w:rFonts w:ascii="Verdana" w:eastAsia="Calibri" w:hAnsi="Verdana"/>
          <w:sz w:val="20"/>
          <w:szCs w:val="20"/>
          <w:lang w:eastAsia="en-US"/>
        </w:rPr>
        <w:t>will commence on 1 July 2014.</w:t>
      </w:r>
    </w:p>
    <w:p w:rsidR="00964DB0" w:rsidRDefault="00964DB0">
      <w:pPr>
        <w:rPr>
          <w:rFonts w:ascii="Verdana" w:hAnsi="Verdana"/>
          <w:b/>
          <w:sz w:val="22"/>
          <w:szCs w:val="22"/>
        </w:rPr>
        <w:sectPr w:rsidR="00964DB0">
          <w:pgSz w:w="11906" w:h="16838"/>
          <w:pgMar w:top="1440" w:right="1800" w:bottom="1440" w:left="1800" w:header="708" w:footer="708" w:gutter="0"/>
          <w:cols w:space="708"/>
          <w:docGrid w:linePitch="360"/>
        </w:sectPr>
      </w:pPr>
    </w:p>
    <w:p w:rsidR="00B40A31" w:rsidRPr="00D94DAE" w:rsidRDefault="00D94DAE" w:rsidP="000636DB">
      <w:pPr>
        <w:pStyle w:val="NormalWeb"/>
        <w:contextualSpacing/>
        <w:jc w:val="center"/>
        <w:rPr>
          <w:rFonts w:ascii="Verdana" w:hAnsi="Verdana"/>
          <w:b/>
          <w:sz w:val="22"/>
          <w:szCs w:val="22"/>
        </w:rPr>
      </w:pPr>
      <w:r w:rsidRPr="00D94DAE">
        <w:rPr>
          <w:rFonts w:ascii="Verdana" w:hAnsi="Verdana"/>
          <w:b/>
          <w:sz w:val="22"/>
          <w:szCs w:val="22"/>
        </w:rPr>
        <w:lastRenderedPageBreak/>
        <w:t>Statement of Compatibility with Human Rights</w:t>
      </w:r>
    </w:p>
    <w:p w:rsidR="000636DB" w:rsidRDefault="00D94DAE" w:rsidP="000636DB">
      <w:pPr>
        <w:spacing w:before="120" w:after="120"/>
        <w:contextualSpacing/>
        <w:jc w:val="center"/>
        <w:rPr>
          <w:rFonts w:ascii="Verdana" w:hAnsi="Verdana"/>
          <w:i/>
          <w:sz w:val="20"/>
          <w:szCs w:val="20"/>
        </w:rPr>
      </w:pPr>
      <w:r w:rsidRPr="00D94DAE">
        <w:rPr>
          <w:rFonts w:ascii="Verdana" w:hAnsi="Verdana"/>
          <w:i/>
          <w:sz w:val="20"/>
          <w:szCs w:val="20"/>
        </w:rPr>
        <w:t xml:space="preserve">Prepared in accordance with Part 3 of the </w:t>
      </w:r>
    </w:p>
    <w:p w:rsidR="00D94DAE" w:rsidRPr="00D94DAE" w:rsidRDefault="00D94DAE" w:rsidP="000636DB">
      <w:pPr>
        <w:spacing w:before="120" w:after="120"/>
        <w:contextualSpacing/>
        <w:jc w:val="center"/>
        <w:rPr>
          <w:rFonts w:ascii="Verdana" w:hAnsi="Verdana"/>
          <w:i/>
          <w:sz w:val="20"/>
          <w:szCs w:val="20"/>
        </w:rPr>
      </w:pPr>
      <w:r w:rsidRPr="00D94DAE">
        <w:rPr>
          <w:rFonts w:ascii="Verdana" w:hAnsi="Verdana"/>
          <w:i/>
          <w:sz w:val="20"/>
          <w:szCs w:val="20"/>
        </w:rPr>
        <w:t>Human Rights (Parliamentary Scrutiny) Act 2011</w:t>
      </w:r>
    </w:p>
    <w:p w:rsidR="00D94DAE" w:rsidRPr="00D94DAE" w:rsidRDefault="00D94DAE" w:rsidP="000636DB">
      <w:pPr>
        <w:contextualSpacing/>
        <w:jc w:val="center"/>
        <w:rPr>
          <w:rFonts w:ascii="Verdana" w:hAnsi="Verdana"/>
          <w:b/>
          <w:sz w:val="20"/>
          <w:szCs w:val="20"/>
        </w:rPr>
      </w:pPr>
    </w:p>
    <w:p w:rsidR="000636DB" w:rsidRDefault="00D94DAE" w:rsidP="000636DB">
      <w:pPr>
        <w:contextualSpacing/>
        <w:jc w:val="center"/>
        <w:rPr>
          <w:rFonts w:ascii="Verdana" w:hAnsi="Verdana"/>
          <w:b/>
          <w:sz w:val="20"/>
          <w:szCs w:val="20"/>
        </w:rPr>
      </w:pPr>
      <w:r w:rsidRPr="00D94DAE">
        <w:rPr>
          <w:rFonts w:ascii="Verdana" w:hAnsi="Verdana"/>
          <w:b/>
          <w:sz w:val="20"/>
          <w:szCs w:val="20"/>
        </w:rPr>
        <w:t xml:space="preserve">Work Health and Safety Exemption to </w:t>
      </w:r>
    </w:p>
    <w:p w:rsidR="00D94DAE" w:rsidRPr="00D94DAE" w:rsidRDefault="00D94DAE" w:rsidP="000636DB">
      <w:pPr>
        <w:contextualSpacing/>
        <w:jc w:val="center"/>
        <w:rPr>
          <w:rFonts w:ascii="Verdana" w:hAnsi="Verdana"/>
          <w:b/>
          <w:sz w:val="20"/>
          <w:szCs w:val="20"/>
        </w:rPr>
      </w:pPr>
      <w:r w:rsidRPr="00D94DAE">
        <w:rPr>
          <w:rFonts w:ascii="Verdana" w:hAnsi="Verdana"/>
          <w:b/>
          <w:sz w:val="20"/>
          <w:szCs w:val="20"/>
        </w:rPr>
        <w:t>Regulation 8</w:t>
      </w:r>
      <w:r w:rsidR="005379FB">
        <w:rPr>
          <w:rFonts w:ascii="Verdana" w:hAnsi="Verdana"/>
          <w:b/>
          <w:sz w:val="20"/>
          <w:szCs w:val="20"/>
        </w:rPr>
        <w:t xml:space="preserve">1 </w:t>
      </w:r>
      <w:r w:rsidRPr="00D94DAE">
        <w:rPr>
          <w:rFonts w:ascii="Verdana" w:hAnsi="Verdana"/>
          <w:b/>
          <w:sz w:val="20"/>
          <w:szCs w:val="20"/>
        </w:rPr>
        <w:t>(</w:t>
      </w:r>
      <w:r w:rsidR="00BC5210">
        <w:rPr>
          <w:rFonts w:ascii="Verdana" w:hAnsi="Verdana"/>
          <w:b/>
          <w:sz w:val="20"/>
          <w:szCs w:val="20"/>
        </w:rPr>
        <w:t>June</w:t>
      </w:r>
      <w:r w:rsidR="005379FB">
        <w:rPr>
          <w:rFonts w:ascii="Verdana" w:hAnsi="Verdana"/>
          <w:b/>
          <w:sz w:val="20"/>
          <w:szCs w:val="20"/>
        </w:rPr>
        <w:t xml:space="preserve"> </w:t>
      </w:r>
      <w:r w:rsidRPr="00D94DAE">
        <w:rPr>
          <w:rFonts w:ascii="Verdana" w:hAnsi="Verdana"/>
          <w:b/>
          <w:sz w:val="20"/>
          <w:szCs w:val="20"/>
        </w:rPr>
        <w:t>2014)</w:t>
      </w:r>
    </w:p>
    <w:p w:rsidR="00D94DAE" w:rsidRDefault="00D94DAE" w:rsidP="00F24006">
      <w:pPr>
        <w:spacing w:before="120" w:after="120"/>
        <w:contextualSpacing/>
      </w:pPr>
    </w:p>
    <w:p w:rsidR="00EF78B0" w:rsidRPr="00F24006" w:rsidRDefault="00D94DAE" w:rsidP="00F24006">
      <w:pPr>
        <w:spacing w:before="120" w:after="120"/>
        <w:contextualSpacing/>
        <w:rPr>
          <w:rFonts w:ascii="Verdana" w:hAnsi="Verdana"/>
          <w:sz w:val="20"/>
          <w:szCs w:val="20"/>
        </w:rPr>
      </w:pPr>
      <w:r w:rsidRPr="00F24006">
        <w:rPr>
          <w:rFonts w:ascii="Verdana" w:hAnsi="Verdana"/>
          <w:sz w:val="20"/>
          <w:szCs w:val="20"/>
        </w:rPr>
        <w:t xml:space="preserve">This Legislative Instrument is compatible with the human rights and freedoms recognised or declared in the international instruments listed in section 3 of the </w:t>
      </w:r>
      <w:r w:rsidRPr="00F24006">
        <w:rPr>
          <w:rFonts w:ascii="Verdana" w:hAnsi="Verdana"/>
          <w:i/>
          <w:sz w:val="20"/>
          <w:szCs w:val="20"/>
        </w:rPr>
        <w:t>Human Rights (Parliamentary Scrutiny) Act 2011</w:t>
      </w:r>
      <w:r w:rsidRPr="00F24006">
        <w:rPr>
          <w:rFonts w:ascii="Verdana" w:hAnsi="Verdana"/>
          <w:sz w:val="20"/>
          <w:szCs w:val="20"/>
        </w:rPr>
        <w:t>.</w:t>
      </w:r>
    </w:p>
    <w:p w:rsidR="00EF78B0" w:rsidRPr="00F24006" w:rsidRDefault="00EF78B0" w:rsidP="00F24006">
      <w:pPr>
        <w:spacing w:before="120" w:after="120"/>
        <w:contextualSpacing/>
        <w:rPr>
          <w:rFonts w:ascii="Verdana" w:hAnsi="Verdana"/>
          <w:sz w:val="20"/>
          <w:szCs w:val="20"/>
        </w:rPr>
      </w:pPr>
    </w:p>
    <w:p w:rsidR="00F24006" w:rsidRPr="00F24006" w:rsidRDefault="00F24006" w:rsidP="00F24006">
      <w:pPr>
        <w:spacing w:before="120" w:after="120"/>
        <w:contextualSpacing/>
        <w:jc w:val="both"/>
        <w:rPr>
          <w:rFonts w:ascii="Verdana" w:hAnsi="Verdana"/>
          <w:b/>
          <w:sz w:val="20"/>
          <w:szCs w:val="20"/>
        </w:rPr>
      </w:pPr>
      <w:r w:rsidRPr="00F24006">
        <w:rPr>
          <w:rFonts w:ascii="Verdana" w:hAnsi="Verdana"/>
          <w:b/>
          <w:sz w:val="20"/>
          <w:szCs w:val="20"/>
        </w:rPr>
        <w:t xml:space="preserve">Overview of the </w:t>
      </w:r>
      <w:r w:rsidR="000636DB">
        <w:rPr>
          <w:rFonts w:ascii="Verdana" w:hAnsi="Verdana"/>
          <w:b/>
          <w:sz w:val="20"/>
          <w:szCs w:val="20"/>
        </w:rPr>
        <w:t>Bill/</w:t>
      </w:r>
      <w:r w:rsidRPr="00F24006">
        <w:rPr>
          <w:rFonts w:ascii="Verdana" w:hAnsi="Verdana"/>
          <w:b/>
          <w:sz w:val="20"/>
          <w:szCs w:val="20"/>
        </w:rPr>
        <w:t>Legislative Instrument</w:t>
      </w:r>
    </w:p>
    <w:p w:rsidR="00F24006" w:rsidRDefault="00F24006" w:rsidP="00F24006">
      <w:pPr>
        <w:contextualSpacing/>
        <w:jc w:val="both"/>
        <w:rPr>
          <w:rFonts w:ascii="Verdana" w:hAnsi="Verdana"/>
          <w:sz w:val="20"/>
          <w:szCs w:val="20"/>
        </w:rPr>
      </w:pPr>
    </w:p>
    <w:p w:rsidR="009E70A3" w:rsidRPr="00716C75" w:rsidRDefault="009E70A3" w:rsidP="009E70A3">
      <w:pPr>
        <w:jc w:val="both"/>
        <w:rPr>
          <w:rFonts w:ascii="Verdana" w:hAnsi="Verdana"/>
          <w:sz w:val="20"/>
          <w:szCs w:val="20"/>
        </w:rPr>
      </w:pPr>
      <w:r w:rsidRPr="00716C75">
        <w:rPr>
          <w:rFonts w:ascii="Verdana" w:hAnsi="Verdana"/>
          <w:sz w:val="20"/>
          <w:szCs w:val="20"/>
        </w:rPr>
        <w:t>Regulation 686 provides that the regulator may exempt a person or class of persons from compliance with a provision of the WHS Regulations requiring the person or class of persons to hold a high risk work licence.</w:t>
      </w:r>
    </w:p>
    <w:p w:rsidR="009E70A3" w:rsidRDefault="009E70A3" w:rsidP="009E70A3">
      <w:pPr>
        <w:contextualSpacing/>
        <w:jc w:val="both"/>
        <w:rPr>
          <w:rFonts w:ascii="Verdana" w:hAnsi="Verdana"/>
          <w:sz w:val="20"/>
          <w:szCs w:val="20"/>
        </w:rPr>
      </w:pPr>
    </w:p>
    <w:p w:rsidR="009E70A3" w:rsidRDefault="009E70A3" w:rsidP="009E70A3">
      <w:pPr>
        <w:contextualSpacing/>
        <w:jc w:val="both"/>
        <w:rPr>
          <w:rFonts w:ascii="Verdana" w:hAnsi="Verdana"/>
          <w:sz w:val="20"/>
          <w:szCs w:val="20"/>
        </w:rPr>
      </w:pPr>
      <w:r w:rsidRPr="00F24006">
        <w:rPr>
          <w:rFonts w:ascii="Verdana" w:hAnsi="Verdana"/>
          <w:sz w:val="20"/>
          <w:szCs w:val="20"/>
        </w:rPr>
        <w:t xml:space="preserve">The </w:t>
      </w:r>
      <w:r>
        <w:rPr>
          <w:rFonts w:ascii="Verdana" w:hAnsi="Verdana"/>
          <w:sz w:val="20"/>
          <w:szCs w:val="20"/>
        </w:rPr>
        <w:t>Legislative</w:t>
      </w:r>
      <w:r w:rsidRPr="00F24006">
        <w:rPr>
          <w:rFonts w:ascii="Verdana" w:hAnsi="Verdana"/>
          <w:sz w:val="20"/>
          <w:szCs w:val="20"/>
        </w:rPr>
        <w:t xml:space="preserve"> </w:t>
      </w:r>
      <w:r>
        <w:rPr>
          <w:rFonts w:ascii="Verdana" w:hAnsi="Verdana"/>
          <w:sz w:val="20"/>
          <w:szCs w:val="20"/>
        </w:rPr>
        <w:t>I</w:t>
      </w:r>
      <w:r w:rsidRPr="00F24006">
        <w:rPr>
          <w:rFonts w:ascii="Verdana" w:hAnsi="Verdana"/>
          <w:sz w:val="20"/>
          <w:szCs w:val="20"/>
        </w:rPr>
        <w:t>nstrument grant</w:t>
      </w:r>
      <w:r>
        <w:rPr>
          <w:rFonts w:ascii="Verdana" w:hAnsi="Verdana"/>
          <w:sz w:val="20"/>
          <w:szCs w:val="20"/>
        </w:rPr>
        <w:t>s</w:t>
      </w:r>
      <w:r w:rsidRPr="00F24006">
        <w:rPr>
          <w:rFonts w:ascii="Verdana" w:hAnsi="Verdana"/>
          <w:sz w:val="20"/>
          <w:szCs w:val="20"/>
        </w:rPr>
        <w:t xml:space="preserve"> an exemption from compliance with regulation </w:t>
      </w:r>
      <w:r>
        <w:rPr>
          <w:rFonts w:ascii="Verdana" w:hAnsi="Verdana"/>
          <w:sz w:val="20"/>
          <w:szCs w:val="20"/>
        </w:rPr>
        <w:t>81</w:t>
      </w:r>
      <w:r w:rsidRPr="00F24006">
        <w:rPr>
          <w:rFonts w:ascii="Verdana" w:hAnsi="Verdana"/>
          <w:sz w:val="20"/>
          <w:szCs w:val="20"/>
        </w:rPr>
        <w:t xml:space="preserve"> of the </w:t>
      </w:r>
      <w:r w:rsidRPr="00F24006">
        <w:rPr>
          <w:rFonts w:ascii="Verdana" w:hAnsi="Verdana"/>
          <w:i/>
          <w:sz w:val="20"/>
          <w:szCs w:val="20"/>
        </w:rPr>
        <w:t>Work Health and Safety Regulations 2011</w:t>
      </w:r>
      <w:r w:rsidRPr="00F24006">
        <w:rPr>
          <w:rFonts w:ascii="Verdana" w:hAnsi="Verdana"/>
          <w:sz w:val="20"/>
          <w:szCs w:val="20"/>
        </w:rPr>
        <w:t xml:space="preserve"> (the WHS Regulations) to a broad class of persons</w:t>
      </w:r>
      <w:r>
        <w:rPr>
          <w:rFonts w:ascii="Verdana" w:hAnsi="Verdana"/>
          <w:sz w:val="20"/>
          <w:szCs w:val="20"/>
        </w:rPr>
        <w:t xml:space="preserve">, being members of the Australian Defence Force (ADF), </w:t>
      </w:r>
      <w:r w:rsidRPr="00716C75">
        <w:rPr>
          <w:rFonts w:ascii="Verdana" w:hAnsi="Verdana"/>
          <w:sz w:val="20"/>
          <w:szCs w:val="20"/>
        </w:rPr>
        <w:t xml:space="preserve">for the period from 1 July 2014 to </w:t>
      </w:r>
      <w:r>
        <w:rPr>
          <w:rFonts w:ascii="Verdana" w:hAnsi="Verdana"/>
          <w:sz w:val="20"/>
          <w:szCs w:val="20"/>
        </w:rPr>
        <w:t>31 December 201</w:t>
      </w:r>
      <w:r w:rsidR="00C2688F">
        <w:rPr>
          <w:rFonts w:ascii="Verdana" w:hAnsi="Verdana"/>
          <w:sz w:val="20"/>
          <w:szCs w:val="20"/>
        </w:rPr>
        <w:t>4</w:t>
      </w:r>
      <w:r>
        <w:rPr>
          <w:rFonts w:ascii="Verdana" w:hAnsi="Verdana"/>
          <w:sz w:val="20"/>
          <w:szCs w:val="20"/>
        </w:rPr>
        <w:t>.</w:t>
      </w:r>
      <w:r w:rsidR="00C84027">
        <w:rPr>
          <w:rFonts w:ascii="Verdana" w:hAnsi="Verdana"/>
          <w:sz w:val="20"/>
          <w:szCs w:val="20"/>
        </w:rPr>
        <w:t xml:space="preserve"> </w:t>
      </w:r>
    </w:p>
    <w:p w:rsidR="003D0F59" w:rsidRDefault="003D0F59">
      <w:pPr>
        <w:jc w:val="both"/>
        <w:rPr>
          <w:rFonts w:ascii="Verdana" w:hAnsi="Verdana"/>
          <w:sz w:val="20"/>
          <w:szCs w:val="20"/>
        </w:rPr>
      </w:pPr>
    </w:p>
    <w:p w:rsidR="009E70A3" w:rsidRPr="00716C75" w:rsidRDefault="009E70A3">
      <w:pPr>
        <w:jc w:val="both"/>
        <w:rPr>
          <w:rFonts w:ascii="Verdana" w:hAnsi="Verdana"/>
          <w:sz w:val="20"/>
          <w:szCs w:val="20"/>
        </w:rPr>
      </w:pPr>
      <w:r w:rsidRPr="00716C75">
        <w:rPr>
          <w:rFonts w:ascii="Verdana" w:hAnsi="Verdana"/>
          <w:sz w:val="20"/>
          <w:szCs w:val="20"/>
        </w:rPr>
        <w:t xml:space="preserve">Regulation 81 of the WHS Regulations </w:t>
      </w:r>
      <w:r w:rsidR="00F33D1C">
        <w:rPr>
          <w:rFonts w:ascii="Verdana" w:hAnsi="Verdana"/>
          <w:sz w:val="20"/>
          <w:szCs w:val="20"/>
        </w:rPr>
        <w:t>requires (</w:t>
      </w:r>
      <w:r w:rsidRPr="00716C75">
        <w:rPr>
          <w:rFonts w:ascii="Verdana" w:hAnsi="Verdana"/>
          <w:sz w:val="20"/>
          <w:szCs w:val="20"/>
        </w:rPr>
        <w:t>subject to specific exemptions</w:t>
      </w:r>
      <w:r w:rsidR="00F33D1C">
        <w:rPr>
          <w:rFonts w:ascii="Verdana" w:hAnsi="Verdana"/>
          <w:sz w:val="20"/>
          <w:szCs w:val="20"/>
        </w:rPr>
        <w:t>)</w:t>
      </w:r>
      <w:r w:rsidRPr="00716C75">
        <w:rPr>
          <w:rFonts w:ascii="Verdana" w:hAnsi="Verdana"/>
          <w:sz w:val="20"/>
          <w:szCs w:val="20"/>
        </w:rPr>
        <w:t xml:space="preserve"> a person carry</w:t>
      </w:r>
      <w:r w:rsidR="00F33D1C">
        <w:rPr>
          <w:rFonts w:ascii="Verdana" w:hAnsi="Verdana"/>
          <w:sz w:val="20"/>
          <w:szCs w:val="20"/>
        </w:rPr>
        <w:t>ing</w:t>
      </w:r>
      <w:r w:rsidRPr="00716C75">
        <w:rPr>
          <w:rFonts w:ascii="Verdana" w:hAnsi="Verdana"/>
          <w:sz w:val="20"/>
          <w:szCs w:val="20"/>
        </w:rPr>
        <w:t xml:space="preserve"> out a prescribed class of high risk work </w:t>
      </w:r>
      <w:r w:rsidR="00F33D1C">
        <w:rPr>
          <w:rFonts w:ascii="Verdana" w:hAnsi="Verdana"/>
          <w:sz w:val="20"/>
          <w:szCs w:val="20"/>
        </w:rPr>
        <w:t xml:space="preserve">to hold a licence for the class of work. </w:t>
      </w:r>
      <w:r w:rsidR="00CB760E">
        <w:rPr>
          <w:rFonts w:ascii="Verdana" w:hAnsi="Verdana"/>
          <w:sz w:val="20"/>
          <w:szCs w:val="20"/>
        </w:rPr>
        <w:t>T</w:t>
      </w:r>
      <w:r w:rsidRPr="00716C75">
        <w:rPr>
          <w:rFonts w:ascii="Verdana" w:hAnsi="Verdana"/>
          <w:sz w:val="20"/>
          <w:szCs w:val="20"/>
        </w:rPr>
        <w:t xml:space="preserve">he duties imposed under regulation 81 do not apply to members of the </w:t>
      </w:r>
      <w:r>
        <w:rPr>
          <w:rFonts w:ascii="Verdana" w:hAnsi="Verdana"/>
          <w:sz w:val="20"/>
          <w:szCs w:val="20"/>
        </w:rPr>
        <w:t>ADF</w:t>
      </w:r>
      <w:r w:rsidRPr="00716C75">
        <w:rPr>
          <w:rFonts w:ascii="Verdana" w:hAnsi="Verdana"/>
          <w:sz w:val="20"/>
          <w:szCs w:val="20"/>
        </w:rPr>
        <w:t xml:space="preserve"> until 1 July 2014</w:t>
      </w:r>
      <w:r w:rsidR="00CB760E">
        <w:rPr>
          <w:rFonts w:ascii="Verdana" w:hAnsi="Verdana"/>
          <w:sz w:val="20"/>
          <w:szCs w:val="20"/>
        </w:rPr>
        <w:t xml:space="preserve"> (Regulation 727)</w:t>
      </w:r>
      <w:r w:rsidRPr="00716C75">
        <w:rPr>
          <w:rFonts w:ascii="Verdana" w:hAnsi="Verdana"/>
          <w:sz w:val="20"/>
          <w:szCs w:val="20"/>
        </w:rPr>
        <w:t>.</w:t>
      </w:r>
    </w:p>
    <w:p w:rsidR="009E70A3" w:rsidRDefault="009E70A3" w:rsidP="009E70A3">
      <w:pPr>
        <w:jc w:val="both"/>
        <w:rPr>
          <w:rFonts w:ascii="Verdana" w:hAnsi="Verdana"/>
          <w:sz w:val="20"/>
          <w:szCs w:val="20"/>
        </w:rPr>
      </w:pPr>
    </w:p>
    <w:p w:rsidR="00F83DD4" w:rsidRDefault="00F83DD4" w:rsidP="00F83DD4">
      <w:pPr>
        <w:jc w:val="both"/>
        <w:rPr>
          <w:rFonts w:ascii="Verdana" w:hAnsi="Verdana"/>
          <w:sz w:val="20"/>
          <w:szCs w:val="20"/>
        </w:rPr>
      </w:pPr>
      <w:r>
        <w:rPr>
          <w:rFonts w:ascii="Verdana" w:hAnsi="Verdana"/>
          <w:sz w:val="20"/>
          <w:szCs w:val="20"/>
        </w:rPr>
        <w:t>The ADF requires high risk work licences for a significant number of ADF members. No fee is presently prescribed by the WHS Regulations for the purposes of regulation 87(3). In the absence of a prescribed fee, a person who carries out high risk work cannot make an application for a high risk work licence in accordance with regulation 87. A</w:t>
      </w:r>
      <w:r w:rsidRPr="005D257C">
        <w:rPr>
          <w:rFonts w:ascii="Verdana" w:hAnsi="Verdana"/>
          <w:sz w:val="20"/>
          <w:szCs w:val="20"/>
        </w:rPr>
        <w:t xml:space="preserve">n exemption from complying with </w:t>
      </w:r>
      <w:r>
        <w:rPr>
          <w:rFonts w:ascii="Verdana" w:hAnsi="Verdana"/>
          <w:sz w:val="20"/>
          <w:szCs w:val="20"/>
        </w:rPr>
        <w:t>regulation 81 for a period of 6 months provides the ADF with an extended period of time to facilitate the required training, make licence applications for all relevant members of the Defence Force, and to meet the associated expenses.</w:t>
      </w:r>
    </w:p>
    <w:p w:rsidR="00EA6BD9" w:rsidRPr="00F24006" w:rsidRDefault="00EA6BD9" w:rsidP="005249B7">
      <w:pPr>
        <w:contextualSpacing/>
        <w:jc w:val="both"/>
        <w:rPr>
          <w:rFonts w:ascii="Verdana" w:hAnsi="Verdana"/>
          <w:sz w:val="20"/>
          <w:szCs w:val="20"/>
        </w:rPr>
      </w:pPr>
    </w:p>
    <w:p w:rsidR="00F24006" w:rsidRPr="00F24006" w:rsidRDefault="00F24006" w:rsidP="005249B7">
      <w:pPr>
        <w:spacing w:before="120" w:after="120"/>
        <w:contextualSpacing/>
        <w:jc w:val="both"/>
        <w:rPr>
          <w:rFonts w:ascii="Verdana" w:hAnsi="Verdana"/>
          <w:b/>
          <w:sz w:val="20"/>
          <w:szCs w:val="20"/>
        </w:rPr>
      </w:pPr>
      <w:r w:rsidRPr="00F24006">
        <w:rPr>
          <w:rFonts w:ascii="Verdana" w:hAnsi="Verdana"/>
          <w:b/>
          <w:sz w:val="20"/>
          <w:szCs w:val="20"/>
        </w:rPr>
        <w:t>Human rights implications</w:t>
      </w:r>
    </w:p>
    <w:p w:rsidR="00F24006" w:rsidRPr="00F24006" w:rsidRDefault="00F24006" w:rsidP="005249B7">
      <w:pPr>
        <w:spacing w:before="120" w:after="120"/>
        <w:contextualSpacing/>
        <w:jc w:val="both"/>
        <w:rPr>
          <w:rFonts w:ascii="Verdana" w:hAnsi="Verdana"/>
          <w:sz w:val="20"/>
          <w:szCs w:val="20"/>
        </w:rPr>
      </w:pPr>
    </w:p>
    <w:p w:rsidR="00206B3F" w:rsidRDefault="0059006B" w:rsidP="005249B7">
      <w:pPr>
        <w:spacing w:before="120" w:after="120"/>
        <w:contextualSpacing/>
        <w:jc w:val="both"/>
        <w:rPr>
          <w:rFonts w:ascii="Verdana" w:hAnsi="Verdana"/>
          <w:sz w:val="20"/>
          <w:szCs w:val="20"/>
        </w:rPr>
      </w:pPr>
      <w:r w:rsidRPr="00F24006">
        <w:rPr>
          <w:rFonts w:ascii="Verdana" w:hAnsi="Verdana"/>
          <w:sz w:val="20"/>
          <w:szCs w:val="20"/>
        </w:rPr>
        <w:t xml:space="preserve">A human right engaged by this </w:t>
      </w:r>
      <w:r w:rsidR="00CD7244">
        <w:rPr>
          <w:rFonts w:ascii="Verdana" w:hAnsi="Verdana"/>
          <w:sz w:val="20"/>
          <w:szCs w:val="20"/>
        </w:rPr>
        <w:t>I</w:t>
      </w:r>
      <w:r w:rsidRPr="00F24006">
        <w:rPr>
          <w:rFonts w:ascii="Verdana" w:hAnsi="Verdana"/>
          <w:sz w:val="20"/>
          <w:szCs w:val="20"/>
        </w:rPr>
        <w:t>nstrument, included in the section 3 definition of human rights in the</w:t>
      </w:r>
      <w:r w:rsidRPr="00F24006">
        <w:rPr>
          <w:rFonts w:ascii="Verdana" w:eastAsia="Calibri" w:hAnsi="Verdana"/>
          <w:i/>
          <w:sz w:val="20"/>
          <w:szCs w:val="20"/>
          <w:lang w:eastAsia="en-US"/>
        </w:rPr>
        <w:t xml:space="preserve"> Human Rights (Parliamentary Scrutiny) Act 2011,</w:t>
      </w:r>
      <w:r w:rsidRPr="00F24006">
        <w:rPr>
          <w:rFonts w:ascii="Verdana" w:hAnsi="Verdana"/>
          <w:sz w:val="20"/>
          <w:szCs w:val="20"/>
        </w:rPr>
        <w:t xml:space="preserve"> is the right to </w:t>
      </w:r>
      <w:r w:rsidR="001659A4">
        <w:rPr>
          <w:rFonts w:ascii="Verdana" w:hAnsi="Verdana"/>
          <w:sz w:val="20"/>
          <w:szCs w:val="20"/>
        </w:rPr>
        <w:t xml:space="preserve">just and favourable conditions of work </w:t>
      </w:r>
      <w:r w:rsidRPr="00F24006">
        <w:rPr>
          <w:rFonts w:ascii="Verdana" w:hAnsi="Verdana"/>
          <w:sz w:val="20"/>
          <w:szCs w:val="20"/>
        </w:rPr>
        <w:t>contained in article 7 of the International Covenant on Econom</w:t>
      </w:r>
      <w:r w:rsidR="001F09A8" w:rsidRPr="00F24006">
        <w:rPr>
          <w:rFonts w:ascii="Verdana" w:hAnsi="Verdana"/>
          <w:sz w:val="20"/>
          <w:szCs w:val="20"/>
        </w:rPr>
        <w:t>ic, Social and Cultural Rights.</w:t>
      </w:r>
      <w:r w:rsidR="001659A4">
        <w:rPr>
          <w:rFonts w:ascii="Verdana" w:hAnsi="Verdana"/>
          <w:sz w:val="20"/>
          <w:szCs w:val="20"/>
        </w:rPr>
        <w:t xml:space="preserve"> The right to enjoy just and favourable working conditions has various components that</w:t>
      </w:r>
      <w:r w:rsidR="00D7736C">
        <w:rPr>
          <w:rFonts w:ascii="Verdana" w:hAnsi="Verdana"/>
          <w:sz w:val="20"/>
          <w:szCs w:val="20"/>
        </w:rPr>
        <w:t xml:space="preserve"> require states to establish a minimum standard for working conditions for all workers and develop appropriate enforcement measures. One of the components of article 17</w:t>
      </w:r>
      <w:r w:rsidR="001659A4">
        <w:rPr>
          <w:rFonts w:ascii="Verdana" w:hAnsi="Verdana"/>
          <w:sz w:val="20"/>
          <w:szCs w:val="20"/>
        </w:rPr>
        <w:t xml:space="preserve"> </w:t>
      </w:r>
      <w:r w:rsidR="00D7736C">
        <w:rPr>
          <w:rFonts w:ascii="Verdana" w:hAnsi="Verdana"/>
          <w:sz w:val="20"/>
          <w:szCs w:val="20"/>
        </w:rPr>
        <w:t xml:space="preserve">is </w:t>
      </w:r>
      <w:r w:rsidR="001659A4">
        <w:rPr>
          <w:rFonts w:ascii="Verdana" w:hAnsi="Verdana"/>
          <w:sz w:val="20"/>
          <w:szCs w:val="20"/>
        </w:rPr>
        <w:t>the right to safe and healthy working conditions.</w:t>
      </w:r>
      <w:r w:rsidR="00D7736C">
        <w:rPr>
          <w:rFonts w:ascii="Verdana" w:hAnsi="Verdana"/>
          <w:sz w:val="20"/>
          <w:szCs w:val="20"/>
        </w:rPr>
        <w:t xml:space="preserve"> In relation to this right, the Committee on Economic, Social and Cultural Rights has stated that ‘people must be afforded minimum conditions of occupational health and safety, and States parties are responsible for adopting policies and laws to that end’.</w:t>
      </w:r>
      <w:r w:rsidR="00D7736C">
        <w:rPr>
          <w:rStyle w:val="FootnoteReference"/>
          <w:rFonts w:ascii="Verdana" w:hAnsi="Verdana"/>
          <w:sz w:val="20"/>
          <w:szCs w:val="20"/>
        </w:rPr>
        <w:footnoteReference w:id="1"/>
      </w:r>
      <w:r w:rsidR="00D7736C">
        <w:rPr>
          <w:rFonts w:ascii="Verdana" w:hAnsi="Verdana"/>
          <w:sz w:val="20"/>
          <w:szCs w:val="20"/>
        </w:rPr>
        <w:t xml:space="preserve"> </w:t>
      </w:r>
      <w:r w:rsidR="001659A4">
        <w:rPr>
          <w:rFonts w:ascii="Verdana" w:hAnsi="Verdana"/>
          <w:sz w:val="20"/>
          <w:szCs w:val="20"/>
        </w:rPr>
        <w:t xml:space="preserve"> </w:t>
      </w:r>
      <w:r w:rsidR="003E742B" w:rsidRPr="00F24006">
        <w:rPr>
          <w:rFonts w:ascii="Verdana" w:hAnsi="Verdana"/>
          <w:sz w:val="20"/>
          <w:szCs w:val="20"/>
        </w:rPr>
        <w:t xml:space="preserve"> </w:t>
      </w:r>
      <w:r w:rsidR="00D7736C">
        <w:rPr>
          <w:rFonts w:ascii="Verdana" w:hAnsi="Verdana"/>
          <w:sz w:val="20"/>
          <w:szCs w:val="20"/>
        </w:rPr>
        <w:t xml:space="preserve"> </w:t>
      </w:r>
    </w:p>
    <w:p w:rsidR="00935B29" w:rsidRDefault="00935B29" w:rsidP="005249B7">
      <w:pPr>
        <w:spacing w:before="120" w:after="120"/>
        <w:contextualSpacing/>
        <w:jc w:val="both"/>
        <w:rPr>
          <w:rFonts w:ascii="Verdana" w:hAnsi="Verdana"/>
          <w:sz w:val="20"/>
          <w:szCs w:val="20"/>
        </w:rPr>
      </w:pPr>
    </w:p>
    <w:p w:rsidR="00935B29" w:rsidRDefault="00935B29" w:rsidP="005249B7">
      <w:pPr>
        <w:spacing w:before="120" w:after="120"/>
        <w:contextualSpacing/>
        <w:jc w:val="both"/>
        <w:rPr>
          <w:rFonts w:ascii="Verdana" w:hAnsi="Verdana"/>
          <w:sz w:val="20"/>
          <w:szCs w:val="20"/>
        </w:rPr>
      </w:pPr>
      <w:r>
        <w:rPr>
          <w:rFonts w:ascii="Verdana" w:hAnsi="Verdana"/>
          <w:sz w:val="20"/>
          <w:szCs w:val="20"/>
        </w:rPr>
        <w:lastRenderedPageBreak/>
        <w:t xml:space="preserve">The right to safe and healthy working conditions is primarily underpinned in Australia by work health and safety legislation at the Commonwealth, state and territory levels. At the Commonwealth level, this includes the </w:t>
      </w:r>
      <w:r>
        <w:rPr>
          <w:rFonts w:ascii="Verdana" w:hAnsi="Verdana"/>
          <w:i/>
          <w:sz w:val="20"/>
          <w:szCs w:val="20"/>
        </w:rPr>
        <w:t>Work Health and Safety Act 2011</w:t>
      </w:r>
      <w:r>
        <w:rPr>
          <w:rFonts w:ascii="Verdana" w:hAnsi="Verdana"/>
          <w:sz w:val="20"/>
          <w:szCs w:val="20"/>
        </w:rPr>
        <w:t xml:space="preserve"> (the WHS Act) and the WHS Regulations. The WHS Act places high level duties on a range of entities that are designed to ensure safe and health</w:t>
      </w:r>
      <w:r w:rsidR="00CB760E">
        <w:rPr>
          <w:rFonts w:ascii="Verdana" w:hAnsi="Verdana"/>
          <w:sz w:val="20"/>
          <w:szCs w:val="20"/>
        </w:rPr>
        <w:t>y</w:t>
      </w:r>
      <w:r>
        <w:rPr>
          <w:rFonts w:ascii="Verdana" w:hAnsi="Verdana"/>
          <w:sz w:val="20"/>
          <w:szCs w:val="20"/>
        </w:rPr>
        <w:t xml:space="preserve"> working conditions.</w:t>
      </w:r>
      <w:r w:rsidR="00B53B08">
        <w:rPr>
          <w:rFonts w:ascii="Verdana" w:hAnsi="Verdana"/>
          <w:sz w:val="20"/>
          <w:szCs w:val="20"/>
        </w:rPr>
        <w:t xml:space="preserve"> </w:t>
      </w:r>
      <w:r>
        <w:rPr>
          <w:rFonts w:ascii="Verdana" w:hAnsi="Verdana"/>
          <w:sz w:val="20"/>
          <w:szCs w:val="20"/>
        </w:rPr>
        <w:t>It is supported by the WHS Regulations which provides more specific obligations, including through the creation of licensing regimes for types of work that have been identified as being of high risk.</w:t>
      </w:r>
    </w:p>
    <w:p w:rsidR="00935B29" w:rsidRDefault="00935B29" w:rsidP="005249B7">
      <w:pPr>
        <w:spacing w:before="120" w:after="120"/>
        <w:contextualSpacing/>
        <w:jc w:val="both"/>
        <w:rPr>
          <w:rFonts w:ascii="Verdana" w:hAnsi="Verdana"/>
          <w:sz w:val="20"/>
          <w:szCs w:val="20"/>
        </w:rPr>
      </w:pPr>
    </w:p>
    <w:p w:rsidR="00935B29" w:rsidRPr="00935B29" w:rsidRDefault="00935B29" w:rsidP="005249B7">
      <w:pPr>
        <w:spacing w:before="120" w:after="120"/>
        <w:contextualSpacing/>
        <w:jc w:val="both"/>
        <w:rPr>
          <w:rFonts w:ascii="Verdana" w:hAnsi="Verdana"/>
          <w:sz w:val="20"/>
          <w:szCs w:val="20"/>
        </w:rPr>
      </w:pPr>
      <w:r>
        <w:rPr>
          <w:rFonts w:ascii="Verdana" w:hAnsi="Verdana"/>
          <w:sz w:val="20"/>
          <w:szCs w:val="20"/>
        </w:rPr>
        <w:t>This Legislative Instrument grants a temporary exemption from compliance with one of these licensing regimes</w:t>
      </w:r>
      <w:r w:rsidR="007765FE">
        <w:rPr>
          <w:rFonts w:ascii="Verdana" w:hAnsi="Verdana"/>
          <w:sz w:val="20"/>
          <w:szCs w:val="20"/>
        </w:rPr>
        <w:t xml:space="preserve"> (high risk work licensing)</w:t>
      </w:r>
      <w:r>
        <w:rPr>
          <w:rFonts w:ascii="Verdana" w:hAnsi="Verdana"/>
          <w:sz w:val="20"/>
          <w:szCs w:val="20"/>
        </w:rPr>
        <w:t xml:space="preserve"> to members of the ADF</w:t>
      </w:r>
      <w:r w:rsidR="00D7736C">
        <w:rPr>
          <w:rFonts w:ascii="Verdana" w:hAnsi="Verdana"/>
          <w:sz w:val="20"/>
          <w:szCs w:val="20"/>
        </w:rPr>
        <w:t xml:space="preserve"> </w:t>
      </w:r>
      <w:r w:rsidR="00224CB7">
        <w:rPr>
          <w:rFonts w:ascii="Verdana" w:hAnsi="Verdana"/>
          <w:sz w:val="20"/>
          <w:szCs w:val="20"/>
        </w:rPr>
        <w:t>for the purpose of facilitating a smooth transition to the new laws. T</w:t>
      </w:r>
      <w:r>
        <w:rPr>
          <w:rFonts w:ascii="Verdana" w:hAnsi="Verdana"/>
          <w:sz w:val="20"/>
          <w:szCs w:val="20"/>
        </w:rPr>
        <w:t>he amendment is considered compatible with the right to safe and health</w:t>
      </w:r>
      <w:r w:rsidR="00B53B08">
        <w:rPr>
          <w:rFonts w:ascii="Verdana" w:hAnsi="Verdana"/>
          <w:sz w:val="20"/>
          <w:szCs w:val="20"/>
        </w:rPr>
        <w:t>y</w:t>
      </w:r>
      <w:r>
        <w:rPr>
          <w:rFonts w:ascii="Verdana" w:hAnsi="Verdana"/>
          <w:sz w:val="20"/>
          <w:szCs w:val="20"/>
        </w:rPr>
        <w:t xml:space="preserve"> working conditions for a number of reasons.</w:t>
      </w:r>
    </w:p>
    <w:p w:rsidR="0065506A" w:rsidRDefault="0065506A" w:rsidP="005249B7">
      <w:pPr>
        <w:spacing w:before="120" w:after="120"/>
        <w:contextualSpacing/>
        <w:jc w:val="both"/>
        <w:rPr>
          <w:rFonts w:ascii="Verdana" w:hAnsi="Verdana"/>
          <w:sz w:val="20"/>
          <w:szCs w:val="20"/>
        </w:rPr>
      </w:pPr>
    </w:p>
    <w:p w:rsidR="0065506A" w:rsidRDefault="00935B29" w:rsidP="005249B7">
      <w:pPr>
        <w:spacing w:before="120" w:after="120"/>
        <w:contextualSpacing/>
        <w:jc w:val="both"/>
        <w:rPr>
          <w:rFonts w:ascii="Verdana" w:hAnsi="Verdana"/>
          <w:sz w:val="20"/>
          <w:szCs w:val="20"/>
        </w:rPr>
      </w:pPr>
      <w:r>
        <w:rPr>
          <w:rFonts w:ascii="Verdana" w:hAnsi="Verdana"/>
          <w:sz w:val="20"/>
          <w:szCs w:val="20"/>
        </w:rPr>
        <w:t xml:space="preserve">First, </w:t>
      </w:r>
      <w:r w:rsidR="007765FE">
        <w:rPr>
          <w:rFonts w:ascii="Verdana" w:hAnsi="Verdana"/>
          <w:sz w:val="20"/>
          <w:szCs w:val="20"/>
        </w:rPr>
        <w:t>in order to grant this exemption Comcare must consider whether granting the exemption will result in a standard of health and safety at the relevant workplace, or in relation to the relevant undertaking, that is at least equivalent to the standard that would be achieved by compliance with the relevant provision. This ensures that no exemptions can be granted that would have a negative impact on the right to safe and healthy working conditions.</w:t>
      </w:r>
      <w:r>
        <w:rPr>
          <w:rFonts w:ascii="Verdana" w:hAnsi="Verdana"/>
          <w:sz w:val="20"/>
          <w:szCs w:val="20"/>
        </w:rPr>
        <w:t xml:space="preserve"> </w:t>
      </w:r>
      <w:r w:rsidR="0065506A">
        <w:rPr>
          <w:rFonts w:ascii="Verdana" w:hAnsi="Verdana"/>
          <w:sz w:val="20"/>
          <w:szCs w:val="20"/>
        </w:rPr>
        <w:t xml:space="preserve">On the basis of </w:t>
      </w:r>
      <w:r w:rsidR="0075321F">
        <w:rPr>
          <w:rFonts w:ascii="Verdana" w:hAnsi="Verdana"/>
          <w:sz w:val="20"/>
          <w:szCs w:val="20"/>
        </w:rPr>
        <w:t>the information provided by ADF</w:t>
      </w:r>
      <w:r w:rsidR="007B164D">
        <w:rPr>
          <w:rFonts w:ascii="Verdana" w:hAnsi="Verdana"/>
          <w:sz w:val="20"/>
          <w:szCs w:val="20"/>
        </w:rPr>
        <w:t xml:space="preserve"> in support of its application</w:t>
      </w:r>
      <w:r w:rsidR="0075321F">
        <w:rPr>
          <w:rFonts w:ascii="Verdana" w:hAnsi="Verdana"/>
          <w:sz w:val="20"/>
          <w:szCs w:val="20"/>
        </w:rPr>
        <w:t>, Comcare is satisfied that the ADF has implemented and maintains appropriate safety and training systems for members of the ADF undertaking high risk work.</w:t>
      </w:r>
      <w:r w:rsidR="007765FE">
        <w:rPr>
          <w:rFonts w:ascii="Verdana" w:hAnsi="Verdana"/>
          <w:sz w:val="20"/>
          <w:szCs w:val="20"/>
        </w:rPr>
        <w:t xml:space="preserve"> The exemption from the requirement to obtain a high risk work license will provide Defence with more time to provide the training necessary for ADF members to obtain this license and will not impact the safety arrangements that Defence has in place.</w:t>
      </w:r>
      <w:r w:rsidR="0075321F">
        <w:rPr>
          <w:rFonts w:ascii="Verdana" w:hAnsi="Verdana"/>
          <w:sz w:val="20"/>
          <w:szCs w:val="20"/>
        </w:rPr>
        <w:t xml:space="preserve"> Accordingly, Comcare considers that </w:t>
      </w:r>
      <w:r w:rsidR="0075321F">
        <w:rPr>
          <w:rFonts w:ascii="Verdana" w:hAnsi="Verdana" w:cs="Arial"/>
          <w:sz w:val="20"/>
          <w:szCs w:val="20"/>
        </w:rPr>
        <w:t>this inst</w:t>
      </w:r>
      <w:r w:rsidR="00BC144F">
        <w:rPr>
          <w:rFonts w:ascii="Verdana" w:hAnsi="Verdana" w:cs="Arial"/>
          <w:sz w:val="20"/>
          <w:szCs w:val="20"/>
        </w:rPr>
        <w:t>rument is compatible with human</w:t>
      </w:r>
      <w:r w:rsidR="0075321F">
        <w:rPr>
          <w:rFonts w:ascii="Verdana" w:hAnsi="Verdana" w:cs="Arial"/>
          <w:sz w:val="20"/>
          <w:szCs w:val="20"/>
        </w:rPr>
        <w:t xml:space="preserve"> rights as it </w:t>
      </w:r>
      <w:r w:rsidR="007765FE">
        <w:rPr>
          <w:rFonts w:ascii="Verdana" w:hAnsi="Verdana" w:cs="Arial"/>
          <w:sz w:val="20"/>
          <w:szCs w:val="20"/>
        </w:rPr>
        <w:t>is a reasonable, necessary and proportionate measure</w:t>
      </w:r>
      <w:r w:rsidR="0075321F">
        <w:rPr>
          <w:rFonts w:ascii="Verdana" w:hAnsi="Verdana"/>
          <w:sz w:val="20"/>
          <w:szCs w:val="20"/>
        </w:rPr>
        <w:t>.</w:t>
      </w:r>
    </w:p>
    <w:p w:rsidR="007765FE" w:rsidRDefault="007765FE" w:rsidP="005249B7">
      <w:pPr>
        <w:spacing w:before="120" w:after="120"/>
        <w:contextualSpacing/>
        <w:jc w:val="both"/>
        <w:rPr>
          <w:rFonts w:ascii="Verdana" w:hAnsi="Verdana"/>
          <w:sz w:val="20"/>
          <w:szCs w:val="20"/>
        </w:rPr>
      </w:pPr>
    </w:p>
    <w:p w:rsidR="007765FE" w:rsidRDefault="007765FE" w:rsidP="005249B7">
      <w:pPr>
        <w:spacing w:before="120" w:after="120"/>
        <w:contextualSpacing/>
        <w:jc w:val="both"/>
        <w:rPr>
          <w:rFonts w:ascii="Verdana" w:hAnsi="Verdana"/>
          <w:sz w:val="20"/>
          <w:szCs w:val="20"/>
        </w:rPr>
      </w:pPr>
      <w:r>
        <w:rPr>
          <w:rFonts w:ascii="Verdana" w:hAnsi="Verdana"/>
          <w:sz w:val="20"/>
          <w:szCs w:val="20"/>
        </w:rPr>
        <w:t>Second, the exemption from compliance with the requirement to obtain a high risk work license does not alter the general duties that are owed by Defence to workers under the WHS Act. In particular, section 19 of the WHS Act sets ou</w:t>
      </w:r>
      <w:r w:rsidR="00B53B08">
        <w:rPr>
          <w:rFonts w:ascii="Verdana" w:hAnsi="Verdana"/>
          <w:sz w:val="20"/>
          <w:szCs w:val="20"/>
        </w:rPr>
        <w:t>t</w:t>
      </w:r>
      <w:r>
        <w:rPr>
          <w:rFonts w:ascii="Verdana" w:hAnsi="Verdana"/>
          <w:sz w:val="20"/>
          <w:szCs w:val="20"/>
        </w:rPr>
        <w:t xml:space="preserve"> the primary duty of care, namely that a person conducting a business or undertaking must ensure, so far as is reasonably practicable, the health and safety of both workers engaged, or caused to be engaged by that person and workers whose activities in carrying out work are influenced or directed by the person while the workers are at work in the business or undertaking. The exemption being granted by this legislative instrument does not alter this or the other duties contained in the WHS Act that </w:t>
      </w:r>
      <w:r w:rsidR="009A7509">
        <w:rPr>
          <w:rFonts w:ascii="Verdana" w:hAnsi="Verdana"/>
          <w:sz w:val="20"/>
          <w:szCs w:val="20"/>
        </w:rPr>
        <w:t xml:space="preserve">underpin the right to healthy and safe working conditions. </w:t>
      </w:r>
    </w:p>
    <w:p w:rsidR="000E692A" w:rsidRDefault="000E692A" w:rsidP="005249B7">
      <w:pPr>
        <w:spacing w:before="120" w:after="120"/>
        <w:contextualSpacing/>
        <w:jc w:val="both"/>
        <w:rPr>
          <w:rFonts w:ascii="Verdana" w:hAnsi="Verdana"/>
          <w:sz w:val="20"/>
          <w:szCs w:val="20"/>
        </w:rPr>
      </w:pPr>
    </w:p>
    <w:p w:rsidR="00F24006" w:rsidRPr="00F24006" w:rsidRDefault="00F24006" w:rsidP="005249B7">
      <w:pPr>
        <w:spacing w:before="120" w:after="120"/>
        <w:contextualSpacing/>
        <w:jc w:val="both"/>
        <w:rPr>
          <w:rFonts w:ascii="Verdana" w:hAnsi="Verdana"/>
          <w:sz w:val="20"/>
          <w:szCs w:val="20"/>
        </w:rPr>
      </w:pPr>
    </w:p>
    <w:p w:rsidR="00F24006" w:rsidRPr="00F24006" w:rsidRDefault="00F24006" w:rsidP="005249B7">
      <w:pPr>
        <w:spacing w:before="120" w:after="120"/>
        <w:contextualSpacing/>
        <w:jc w:val="both"/>
        <w:rPr>
          <w:rFonts w:ascii="Verdana" w:hAnsi="Verdana"/>
          <w:b/>
          <w:sz w:val="20"/>
          <w:szCs w:val="20"/>
        </w:rPr>
      </w:pPr>
      <w:r w:rsidRPr="00F24006">
        <w:rPr>
          <w:rFonts w:ascii="Verdana" w:hAnsi="Verdana"/>
          <w:b/>
          <w:sz w:val="20"/>
          <w:szCs w:val="20"/>
        </w:rPr>
        <w:t>Conclusion</w:t>
      </w:r>
    </w:p>
    <w:p w:rsidR="00F24006" w:rsidRPr="00F24006" w:rsidRDefault="00F24006" w:rsidP="005249B7">
      <w:pPr>
        <w:spacing w:before="120" w:after="120"/>
        <w:contextualSpacing/>
        <w:jc w:val="both"/>
        <w:rPr>
          <w:rFonts w:ascii="Verdana" w:hAnsi="Verdana"/>
          <w:sz w:val="20"/>
          <w:szCs w:val="20"/>
        </w:rPr>
      </w:pPr>
    </w:p>
    <w:p w:rsidR="00F24006" w:rsidRPr="00D32060" w:rsidRDefault="00B76E57" w:rsidP="005249B7">
      <w:pPr>
        <w:spacing w:before="120" w:after="120"/>
        <w:contextualSpacing/>
        <w:jc w:val="both"/>
        <w:rPr>
          <w:rFonts w:ascii="Verdana" w:hAnsi="Verdana"/>
          <w:sz w:val="20"/>
          <w:szCs w:val="20"/>
        </w:rPr>
      </w:pPr>
      <w:r w:rsidRPr="00D32060">
        <w:rPr>
          <w:rFonts w:ascii="Verdana" w:hAnsi="Verdana"/>
          <w:sz w:val="20"/>
          <w:szCs w:val="20"/>
        </w:rPr>
        <w:t>T</w:t>
      </w:r>
      <w:r w:rsidR="0059006B" w:rsidRPr="00D32060">
        <w:rPr>
          <w:rFonts w:ascii="Verdana" w:hAnsi="Verdana"/>
          <w:sz w:val="20"/>
          <w:szCs w:val="20"/>
        </w:rPr>
        <w:t>his</w:t>
      </w:r>
      <w:r w:rsidRPr="00D32060">
        <w:rPr>
          <w:rFonts w:ascii="Verdana" w:hAnsi="Verdana"/>
          <w:sz w:val="20"/>
          <w:szCs w:val="20"/>
        </w:rPr>
        <w:t xml:space="preserve"> Legislative I</w:t>
      </w:r>
      <w:r w:rsidR="0059006B" w:rsidRPr="00D32060">
        <w:rPr>
          <w:rFonts w:ascii="Verdana" w:hAnsi="Verdana"/>
          <w:sz w:val="20"/>
          <w:szCs w:val="20"/>
        </w:rPr>
        <w:t>nstrument is compa</w:t>
      </w:r>
      <w:r w:rsidR="00552986" w:rsidRPr="00D32060">
        <w:rPr>
          <w:rFonts w:ascii="Verdana" w:hAnsi="Verdana"/>
          <w:sz w:val="20"/>
          <w:szCs w:val="20"/>
        </w:rPr>
        <w:t>tible with human</w:t>
      </w:r>
      <w:r w:rsidR="0059006B" w:rsidRPr="00D32060">
        <w:rPr>
          <w:rFonts w:ascii="Verdana" w:hAnsi="Verdana"/>
          <w:sz w:val="20"/>
          <w:szCs w:val="20"/>
        </w:rPr>
        <w:t xml:space="preserve"> rights</w:t>
      </w:r>
      <w:r w:rsidR="009A7509">
        <w:rPr>
          <w:rFonts w:ascii="Verdana" w:hAnsi="Verdana"/>
          <w:sz w:val="20"/>
          <w:szCs w:val="20"/>
        </w:rPr>
        <w:t xml:space="preserve"> because it seeks to </w:t>
      </w:r>
      <w:r w:rsidR="00224CB7">
        <w:rPr>
          <w:rFonts w:ascii="Verdana" w:hAnsi="Verdana"/>
          <w:sz w:val="20"/>
          <w:szCs w:val="20"/>
        </w:rPr>
        <w:t xml:space="preserve">facilitate a smooth transition to the new </w:t>
      </w:r>
      <w:r w:rsidR="001F3F39">
        <w:rPr>
          <w:rFonts w:ascii="Verdana" w:hAnsi="Verdana"/>
          <w:sz w:val="20"/>
          <w:szCs w:val="20"/>
        </w:rPr>
        <w:t>Work Health and Safety</w:t>
      </w:r>
      <w:r w:rsidR="00224CB7">
        <w:rPr>
          <w:rFonts w:ascii="Verdana" w:hAnsi="Verdana"/>
          <w:sz w:val="20"/>
          <w:szCs w:val="20"/>
        </w:rPr>
        <w:t xml:space="preserve"> laws for the ADF and its members,</w:t>
      </w:r>
      <w:r w:rsidR="009A7509">
        <w:rPr>
          <w:rFonts w:ascii="Verdana" w:hAnsi="Verdana"/>
          <w:sz w:val="20"/>
          <w:szCs w:val="20"/>
        </w:rPr>
        <w:t xml:space="preserve"> to the extent that it may limit rights, those limitations are reasonable, necessary and proportionate to the achievement of that legitimate objective</w:t>
      </w:r>
      <w:r w:rsidR="00D32060" w:rsidRPr="00D32060">
        <w:rPr>
          <w:rFonts w:ascii="Verdana" w:hAnsi="Verdana"/>
          <w:sz w:val="20"/>
          <w:szCs w:val="20"/>
        </w:rPr>
        <w:t>.</w:t>
      </w:r>
    </w:p>
    <w:p w:rsidR="00705486" w:rsidRDefault="00705486" w:rsidP="005249B7">
      <w:pPr>
        <w:jc w:val="both"/>
        <w:rPr>
          <w:rFonts w:ascii="Verdana" w:hAnsi="Verdana"/>
          <w:sz w:val="20"/>
          <w:szCs w:val="20"/>
        </w:rPr>
      </w:pPr>
    </w:p>
    <w:p w:rsidR="00705486" w:rsidRDefault="00705486" w:rsidP="005249B7">
      <w:pPr>
        <w:jc w:val="both"/>
        <w:rPr>
          <w:rFonts w:ascii="Verdana" w:hAnsi="Verdana"/>
          <w:sz w:val="20"/>
          <w:szCs w:val="20"/>
        </w:rPr>
      </w:pPr>
    </w:p>
    <w:p w:rsidR="00705486" w:rsidRDefault="00705486" w:rsidP="005249B7">
      <w:pPr>
        <w:jc w:val="both"/>
        <w:rPr>
          <w:rFonts w:ascii="Verdana" w:hAnsi="Verdana"/>
          <w:sz w:val="20"/>
          <w:szCs w:val="20"/>
        </w:rPr>
      </w:pPr>
    </w:p>
    <w:p w:rsidR="001856A4" w:rsidRPr="00705486" w:rsidRDefault="00705486" w:rsidP="005249B7">
      <w:pPr>
        <w:jc w:val="both"/>
        <w:rPr>
          <w:rFonts w:ascii="Verdana" w:hAnsi="Verdana"/>
          <w:b/>
          <w:sz w:val="20"/>
          <w:szCs w:val="20"/>
        </w:rPr>
      </w:pPr>
      <w:r w:rsidRPr="00705486">
        <w:rPr>
          <w:rFonts w:ascii="Verdana" w:hAnsi="Verdana"/>
          <w:b/>
          <w:sz w:val="20"/>
          <w:szCs w:val="20"/>
        </w:rPr>
        <w:t>Comcare</w:t>
      </w:r>
    </w:p>
    <w:sectPr w:rsidR="001856A4" w:rsidRPr="00705486">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8C0" w:rsidRDefault="009818C0" w:rsidP="00082481">
      <w:r>
        <w:separator/>
      </w:r>
    </w:p>
  </w:endnote>
  <w:endnote w:type="continuationSeparator" w:id="0">
    <w:p w:rsidR="009818C0" w:rsidRDefault="009818C0" w:rsidP="00082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8C0" w:rsidRDefault="009818C0" w:rsidP="00082481">
      <w:r>
        <w:separator/>
      </w:r>
    </w:p>
  </w:footnote>
  <w:footnote w:type="continuationSeparator" w:id="0">
    <w:p w:rsidR="009818C0" w:rsidRDefault="009818C0" w:rsidP="00082481">
      <w:r>
        <w:continuationSeparator/>
      </w:r>
    </w:p>
  </w:footnote>
  <w:footnote w:id="1">
    <w:p w:rsidR="00D7736C" w:rsidRPr="00D7736C" w:rsidRDefault="00D7736C">
      <w:pPr>
        <w:pStyle w:val="FootnoteText"/>
      </w:pPr>
      <w:r>
        <w:rPr>
          <w:rStyle w:val="FootnoteReference"/>
        </w:rPr>
        <w:footnoteRef/>
      </w:r>
      <w:r>
        <w:t xml:space="preserve"> UN Office of the High Commissioner for Human Rights (OHCHR), </w:t>
      </w:r>
      <w:r>
        <w:rPr>
          <w:i/>
          <w:iCs/>
        </w:rPr>
        <w:t>Fact Sheet No. 16 (Rev.1), The Committee on Economic, Social and Cultural Rights</w:t>
      </w:r>
      <w:r>
        <w:t>, May 1996, No. 16 (Rev.1), available at: http://www.refworld.org/docid/4794773cd.html [accessed 22 May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DB0" w:rsidRPr="00964DB0" w:rsidRDefault="00964DB0" w:rsidP="00964DB0">
    <w:pPr>
      <w:pStyle w:val="Header"/>
      <w:jc w:val="right"/>
      <w:rPr>
        <w:b/>
      </w:rPr>
    </w:pPr>
    <w:r>
      <w:rPr>
        <w:b/>
        <w:u w:val="single"/>
      </w:rPr>
      <w:t>ATTACHMENT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4A9E"/>
    <w:multiLevelType w:val="hybridMultilevel"/>
    <w:tmpl w:val="B00E9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B83"/>
    <w:rsid w:val="00003B1C"/>
    <w:rsid w:val="00005D04"/>
    <w:rsid w:val="000063AF"/>
    <w:rsid w:val="000068F1"/>
    <w:rsid w:val="000071DF"/>
    <w:rsid w:val="0001131F"/>
    <w:rsid w:val="00011C89"/>
    <w:rsid w:val="00011C8F"/>
    <w:rsid w:val="00014437"/>
    <w:rsid w:val="000149B5"/>
    <w:rsid w:val="00015B29"/>
    <w:rsid w:val="000216B8"/>
    <w:rsid w:val="0002262F"/>
    <w:rsid w:val="00025CA7"/>
    <w:rsid w:val="00026787"/>
    <w:rsid w:val="00027096"/>
    <w:rsid w:val="00030882"/>
    <w:rsid w:val="00036ECA"/>
    <w:rsid w:val="000372E0"/>
    <w:rsid w:val="00041E12"/>
    <w:rsid w:val="000449BF"/>
    <w:rsid w:val="00044B67"/>
    <w:rsid w:val="00046AFE"/>
    <w:rsid w:val="00051392"/>
    <w:rsid w:val="00062927"/>
    <w:rsid w:val="00062A4C"/>
    <w:rsid w:val="000636DB"/>
    <w:rsid w:val="00063C1E"/>
    <w:rsid w:val="00065701"/>
    <w:rsid w:val="0007201F"/>
    <w:rsid w:val="00072A8F"/>
    <w:rsid w:val="0007726E"/>
    <w:rsid w:val="000773C0"/>
    <w:rsid w:val="00081A76"/>
    <w:rsid w:val="00082481"/>
    <w:rsid w:val="000829E3"/>
    <w:rsid w:val="000845DE"/>
    <w:rsid w:val="000857EB"/>
    <w:rsid w:val="000931B5"/>
    <w:rsid w:val="0009384A"/>
    <w:rsid w:val="000A1FE3"/>
    <w:rsid w:val="000A2F59"/>
    <w:rsid w:val="000A2FA6"/>
    <w:rsid w:val="000A6D84"/>
    <w:rsid w:val="000A73A3"/>
    <w:rsid w:val="000B0191"/>
    <w:rsid w:val="000B1EB6"/>
    <w:rsid w:val="000B3D3F"/>
    <w:rsid w:val="000B58FC"/>
    <w:rsid w:val="000B6661"/>
    <w:rsid w:val="000B7815"/>
    <w:rsid w:val="000C3B27"/>
    <w:rsid w:val="000C3D46"/>
    <w:rsid w:val="000C58D2"/>
    <w:rsid w:val="000D05D5"/>
    <w:rsid w:val="000D2658"/>
    <w:rsid w:val="000D3EF5"/>
    <w:rsid w:val="000D4901"/>
    <w:rsid w:val="000D7BB9"/>
    <w:rsid w:val="000E0012"/>
    <w:rsid w:val="000E042D"/>
    <w:rsid w:val="000E41AB"/>
    <w:rsid w:val="000E5F53"/>
    <w:rsid w:val="000E692A"/>
    <w:rsid w:val="000E748A"/>
    <w:rsid w:val="000F2A40"/>
    <w:rsid w:val="000F3E42"/>
    <w:rsid w:val="000F40F1"/>
    <w:rsid w:val="000F5B33"/>
    <w:rsid w:val="000F6CA4"/>
    <w:rsid w:val="001000FC"/>
    <w:rsid w:val="00101039"/>
    <w:rsid w:val="00103E2B"/>
    <w:rsid w:val="0010686A"/>
    <w:rsid w:val="001071F2"/>
    <w:rsid w:val="001144FE"/>
    <w:rsid w:val="0011582D"/>
    <w:rsid w:val="00116F71"/>
    <w:rsid w:val="001178C0"/>
    <w:rsid w:val="00117B2E"/>
    <w:rsid w:val="00123C1E"/>
    <w:rsid w:val="00126422"/>
    <w:rsid w:val="00127AB1"/>
    <w:rsid w:val="001308DF"/>
    <w:rsid w:val="00132D6E"/>
    <w:rsid w:val="00134ED2"/>
    <w:rsid w:val="00135C2A"/>
    <w:rsid w:val="00140763"/>
    <w:rsid w:val="001422B6"/>
    <w:rsid w:val="00142C63"/>
    <w:rsid w:val="001431A8"/>
    <w:rsid w:val="0014432A"/>
    <w:rsid w:val="00144DB6"/>
    <w:rsid w:val="00150795"/>
    <w:rsid w:val="00150E22"/>
    <w:rsid w:val="00151183"/>
    <w:rsid w:val="001517C0"/>
    <w:rsid w:val="00152B9B"/>
    <w:rsid w:val="0015370A"/>
    <w:rsid w:val="00153A4C"/>
    <w:rsid w:val="001543F8"/>
    <w:rsid w:val="00154F0F"/>
    <w:rsid w:val="00155675"/>
    <w:rsid w:val="00156978"/>
    <w:rsid w:val="0016183F"/>
    <w:rsid w:val="001654F2"/>
    <w:rsid w:val="001659A4"/>
    <w:rsid w:val="0017393F"/>
    <w:rsid w:val="001765C5"/>
    <w:rsid w:val="00176C36"/>
    <w:rsid w:val="0018420F"/>
    <w:rsid w:val="001856A4"/>
    <w:rsid w:val="00190EB5"/>
    <w:rsid w:val="001936AB"/>
    <w:rsid w:val="00196876"/>
    <w:rsid w:val="001A08A7"/>
    <w:rsid w:val="001A3F54"/>
    <w:rsid w:val="001A6ABE"/>
    <w:rsid w:val="001A77A8"/>
    <w:rsid w:val="001B0238"/>
    <w:rsid w:val="001B42C2"/>
    <w:rsid w:val="001B5308"/>
    <w:rsid w:val="001B734C"/>
    <w:rsid w:val="001C0EE2"/>
    <w:rsid w:val="001C380E"/>
    <w:rsid w:val="001C6AED"/>
    <w:rsid w:val="001D1681"/>
    <w:rsid w:val="001D245C"/>
    <w:rsid w:val="001D31F2"/>
    <w:rsid w:val="001D51F0"/>
    <w:rsid w:val="001D6792"/>
    <w:rsid w:val="001E0976"/>
    <w:rsid w:val="001E1EF0"/>
    <w:rsid w:val="001F09A8"/>
    <w:rsid w:val="001F0CC1"/>
    <w:rsid w:val="001F0CDB"/>
    <w:rsid w:val="001F287D"/>
    <w:rsid w:val="001F3F39"/>
    <w:rsid w:val="001F7655"/>
    <w:rsid w:val="002038FD"/>
    <w:rsid w:val="00205BAA"/>
    <w:rsid w:val="00206B3F"/>
    <w:rsid w:val="00210CC5"/>
    <w:rsid w:val="00212F02"/>
    <w:rsid w:val="002157AA"/>
    <w:rsid w:val="002167F8"/>
    <w:rsid w:val="00216CA9"/>
    <w:rsid w:val="00217C31"/>
    <w:rsid w:val="00223859"/>
    <w:rsid w:val="00223D8C"/>
    <w:rsid w:val="00224CB7"/>
    <w:rsid w:val="0022573B"/>
    <w:rsid w:val="00234621"/>
    <w:rsid w:val="00236FB1"/>
    <w:rsid w:val="002370B2"/>
    <w:rsid w:val="00237D59"/>
    <w:rsid w:val="00241640"/>
    <w:rsid w:val="0024203D"/>
    <w:rsid w:val="00243349"/>
    <w:rsid w:val="00244FC7"/>
    <w:rsid w:val="00245D1C"/>
    <w:rsid w:val="00246DDF"/>
    <w:rsid w:val="00247755"/>
    <w:rsid w:val="00250194"/>
    <w:rsid w:val="002547FF"/>
    <w:rsid w:val="00254AD4"/>
    <w:rsid w:val="00261790"/>
    <w:rsid w:val="00263A12"/>
    <w:rsid w:val="00265742"/>
    <w:rsid w:val="002707BE"/>
    <w:rsid w:val="00271BBA"/>
    <w:rsid w:val="002751E4"/>
    <w:rsid w:val="002763B1"/>
    <w:rsid w:val="002764B1"/>
    <w:rsid w:val="00281EE5"/>
    <w:rsid w:val="002843FF"/>
    <w:rsid w:val="00290C63"/>
    <w:rsid w:val="002A4A87"/>
    <w:rsid w:val="002A70C8"/>
    <w:rsid w:val="002B0256"/>
    <w:rsid w:val="002B12EA"/>
    <w:rsid w:val="002B1CF4"/>
    <w:rsid w:val="002C28E7"/>
    <w:rsid w:val="002C3752"/>
    <w:rsid w:val="002C7D56"/>
    <w:rsid w:val="002D0A9E"/>
    <w:rsid w:val="002D1760"/>
    <w:rsid w:val="002D2A7E"/>
    <w:rsid w:val="002D38A3"/>
    <w:rsid w:val="002E0CCB"/>
    <w:rsid w:val="002E17BB"/>
    <w:rsid w:val="002E4FF5"/>
    <w:rsid w:val="002E7197"/>
    <w:rsid w:val="002F1F42"/>
    <w:rsid w:val="00304C32"/>
    <w:rsid w:val="003077F7"/>
    <w:rsid w:val="00314E5A"/>
    <w:rsid w:val="003151E3"/>
    <w:rsid w:val="003176AA"/>
    <w:rsid w:val="00320A13"/>
    <w:rsid w:val="003272FE"/>
    <w:rsid w:val="00333B73"/>
    <w:rsid w:val="00333E64"/>
    <w:rsid w:val="0033431B"/>
    <w:rsid w:val="00336249"/>
    <w:rsid w:val="00340009"/>
    <w:rsid w:val="00345A69"/>
    <w:rsid w:val="00345C2B"/>
    <w:rsid w:val="00347E01"/>
    <w:rsid w:val="0035169E"/>
    <w:rsid w:val="003527CC"/>
    <w:rsid w:val="00355719"/>
    <w:rsid w:val="0035704F"/>
    <w:rsid w:val="003614DB"/>
    <w:rsid w:val="00363085"/>
    <w:rsid w:val="003672EC"/>
    <w:rsid w:val="00370928"/>
    <w:rsid w:val="003724BA"/>
    <w:rsid w:val="003767A6"/>
    <w:rsid w:val="0038012E"/>
    <w:rsid w:val="00380143"/>
    <w:rsid w:val="0038234B"/>
    <w:rsid w:val="00390E83"/>
    <w:rsid w:val="0039399F"/>
    <w:rsid w:val="003A0001"/>
    <w:rsid w:val="003A1613"/>
    <w:rsid w:val="003A3131"/>
    <w:rsid w:val="003B04E4"/>
    <w:rsid w:val="003B2371"/>
    <w:rsid w:val="003B2E6D"/>
    <w:rsid w:val="003B5E6E"/>
    <w:rsid w:val="003C0753"/>
    <w:rsid w:val="003C302A"/>
    <w:rsid w:val="003C75FE"/>
    <w:rsid w:val="003D0F59"/>
    <w:rsid w:val="003E18D9"/>
    <w:rsid w:val="003E2B4E"/>
    <w:rsid w:val="003E3FF0"/>
    <w:rsid w:val="003E742B"/>
    <w:rsid w:val="003F19A5"/>
    <w:rsid w:val="003F1F87"/>
    <w:rsid w:val="003F4951"/>
    <w:rsid w:val="003F495E"/>
    <w:rsid w:val="0040210D"/>
    <w:rsid w:val="00402797"/>
    <w:rsid w:val="00402B82"/>
    <w:rsid w:val="004041D8"/>
    <w:rsid w:val="00404966"/>
    <w:rsid w:val="004053DF"/>
    <w:rsid w:val="00405C72"/>
    <w:rsid w:val="00405EE9"/>
    <w:rsid w:val="00406A3B"/>
    <w:rsid w:val="004072F0"/>
    <w:rsid w:val="00407D3D"/>
    <w:rsid w:val="00411601"/>
    <w:rsid w:val="004137A2"/>
    <w:rsid w:val="004201E5"/>
    <w:rsid w:val="00421F93"/>
    <w:rsid w:val="004224FF"/>
    <w:rsid w:val="0043204B"/>
    <w:rsid w:val="00434854"/>
    <w:rsid w:val="00436707"/>
    <w:rsid w:val="004437AD"/>
    <w:rsid w:val="00443C36"/>
    <w:rsid w:val="0044446A"/>
    <w:rsid w:val="004475BC"/>
    <w:rsid w:val="00450906"/>
    <w:rsid w:val="00452C28"/>
    <w:rsid w:val="0045650D"/>
    <w:rsid w:val="00465067"/>
    <w:rsid w:val="0046523A"/>
    <w:rsid w:val="00466923"/>
    <w:rsid w:val="0046766F"/>
    <w:rsid w:val="00470F81"/>
    <w:rsid w:val="004713BE"/>
    <w:rsid w:val="00472EF7"/>
    <w:rsid w:val="004805A1"/>
    <w:rsid w:val="004813C0"/>
    <w:rsid w:val="004836E9"/>
    <w:rsid w:val="00487040"/>
    <w:rsid w:val="00490E73"/>
    <w:rsid w:val="00493452"/>
    <w:rsid w:val="00495F6D"/>
    <w:rsid w:val="00496DEA"/>
    <w:rsid w:val="004A1AA5"/>
    <w:rsid w:val="004A2022"/>
    <w:rsid w:val="004A325B"/>
    <w:rsid w:val="004A66CF"/>
    <w:rsid w:val="004A6863"/>
    <w:rsid w:val="004B0263"/>
    <w:rsid w:val="004B2CC0"/>
    <w:rsid w:val="004B6C36"/>
    <w:rsid w:val="004B7125"/>
    <w:rsid w:val="004B7463"/>
    <w:rsid w:val="004B7578"/>
    <w:rsid w:val="004B7ECD"/>
    <w:rsid w:val="004C0DFC"/>
    <w:rsid w:val="004C4BB7"/>
    <w:rsid w:val="004C5668"/>
    <w:rsid w:val="004C60A0"/>
    <w:rsid w:val="004C7C58"/>
    <w:rsid w:val="004D04B4"/>
    <w:rsid w:val="004D2E08"/>
    <w:rsid w:val="004D3DF7"/>
    <w:rsid w:val="004D47FC"/>
    <w:rsid w:val="004E1C86"/>
    <w:rsid w:val="004E2030"/>
    <w:rsid w:val="004E7BF9"/>
    <w:rsid w:val="004F2EE9"/>
    <w:rsid w:val="004F5AD2"/>
    <w:rsid w:val="0050057B"/>
    <w:rsid w:val="0050200A"/>
    <w:rsid w:val="00502A39"/>
    <w:rsid w:val="0050436E"/>
    <w:rsid w:val="005047A4"/>
    <w:rsid w:val="00505347"/>
    <w:rsid w:val="00506267"/>
    <w:rsid w:val="005076FB"/>
    <w:rsid w:val="00510A72"/>
    <w:rsid w:val="00511B39"/>
    <w:rsid w:val="0051487E"/>
    <w:rsid w:val="00515146"/>
    <w:rsid w:val="00515A5A"/>
    <w:rsid w:val="00522865"/>
    <w:rsid w:val="00522D67"/>
    <w:rsid w:val="005237E2"/>
    <w:rsid w:val="005249B7"/>
    <w:rsid w:val="00526688"/>
    <w:rsid w:val="00526ABF"/>
    <w:rsid w:val="00531B38"/>
    <w:rsid w:val="005379FB"/>
    <w:rsid w:val="00542351"/>
    <w:rsid w:val="005430EE"/>
    <w:rsid w:val="00544B97"/>
    <w:rsid w:val="005472A6"/>
    <w:rsid w:val="00547782"/>
    <w:rsid w:val="00547ADA"/>
    <w:rsid w:val="005510F5"/>
    <w:rsid w:val="00552986"/>
    <w:rsid w:val="0055373F"/>
    <w:rsid w:val="00553CD1"/>
    <w:rsid w:val="00553CF3"/>
    <w:rsid w:val="005615BF"/>
    <w:rsid w:val="00564BF4"/>
    <w:rsid w:val="00574524"/>
    <w:rsid w:val="005760EA"/>
    <w:rsid w:val="00576A58"/>
    <w:rsid w:val="00580A67"/>
    <w:rsid w:val="00582BE1"/>
    <w:rsid w:val="005838B4"/>
    <w:rsid w:val="00583E9B"/>
    <w:rsid w:val="0059006B"/>
    <w:rsid w:val="00590530"/>
    <w:rsid w:val="0059289C"/>
    <w:rsid w:val="0059604C"/>
    <w:rsid w:val="005A50D1"/>
    <w:rsid w:val="005B2111"/>
    <w:rsid w:val="005B2465"/>
    <w:rsid w:val="005B6FFB"/>
    <w:rsid w:val="005C0915"/>
    <w:rsid w:val="005C1EAD"/>
    <w:rsid w:val="005C65F7"/>
    <w:rsid w:val="005D0104"/>
    <w:rsid w:val="005D05CA"/>
    <w:rsid w:val="005D1CC4"/>
    <w:rsid w:val="005D257C"/>
    <w:rsid w:val="005D363E"/>
    <w:rsid w:val="005D57DC"/>
    <w:rsid w:val="005E0081"/>
    <w:rsid w:val="005E7603"/>
    <w:rsid w:val="00607D53"/>
    <w:rsid w:val="006100BE"/>
    <w:rsid w:val="006171B3"/>
    <w:rsid w:val="00622DA2"/>
    <w:rsid w:val="0062493C"/>
    <w:rsid w:val="006274AB"/>
    <w:rsid w:val="0063147D"/>
    <w:rsid w:val="00636AAE"/>
    <w:rsid w:val="00637E5C"/>
    <w:rsid w:val="006410D5"/>
    <w:rsid w:val="00642341"/>
    <w:rsid w:val="006428DE"/>
    <w:rsid w:val="006443A7"/>
    <w:rsid w:val="00647B46"/>
    <w:rsid w:val="00650E73"/>
    <w:rsid w:val="0065506A"/>
    <w:rsid w:val="00664307"/>
    <w:rsid w:val="00664885"/>
    <w:rsid w:val="0067639B"/>
    <w:rsid w:val="00682E87"/>
    <w:rsid w:val="0068484F"/>
    <w:rsid w:val="00686180"/>
    <w:rsid w:val="00693F6B"/>
    <w:rsid w:val="006A59E7"/>
    <w:rsid w:val="006A6E4C"/>
    <w:rsid w:val="006A728F"/>
    <w:rsid w:val="006C0063"/>
    <w:rsid w:val="006C041B"/>
    <w:rsid w:val="006C2987"/>
    <w:rsid w:val="006C4C5C"/>
    <w:rsid w:val="006D1F62"/>
    <w:rsid w:val="006D458D"/>
    <w:rsid w:val="006E0080"/>
    <w:rsid w:val="006E128F"/>
    <w:rsid w:val="006E2C00"/>
    <w:rsid w:val="006E32CF"/>
    <w:rsid w:val="006E4269"/>
    <w:rsid w:val="006E5CFD"/>
    <w:rsid w:val="006E731C"/>
    <w:rsid w:val="006E7346"/>
    <w:rsid w:val="006E758C"/>
    <w:rsid w:val="006F503C"/>
    <w:rsid w:val="006F7E88"/>
    <w:rsid w:val="00702E5A"/>
    <w:rsid w:val="00704641"/>
    <w:rsid w:val="007050A9"/>
    <w:rsid w:val="00705486"/>
    <w:rsid w:val="00707F90"/>
    <w:rsid w:val="00710625"/>
    <w:rsid w:val="007110B7"/>
    <w:rsid w:val="00711E6E"/>
    <w:rsid w:val="00713495"/>
    <w:rsid w:val="00716C75"/>
    <w:rsid w:val="00716F21"/>
    <w:rsid w:val="007223E4"/>
    <w:rsid w:val="0072292A"/>
    <w:rsid w:val="00723221"/>
    <w:rsid w:val="00723426"/>
    <w:rsid w:val="0072706F"/>
    <w:rsid w:val="007273CE"/>
    <w:rsid w:val="00731386"/>
    <w:rsid w:val="007330FA"/>
    <w:rsid w:val="00742890"/>
    <w:rsid w:val="00742B55"/>
    <w:rsid w:val="00744359"/>
    <w:rsid w:val="00750F97"/>
    <w:rsid w:val="00751E75"/>
    <w:rsid w:val="00752F5A"/>
    <w:rsid w:val="0075321F"/>
    <w:rsid w:val="00765119"/>
    <w:rsid w:val="00771202"/>
    <w:rsid w:val="00771EA8"/>
    <w:rsid w:val="00771F4A"/>
    <w:rsid w:val="0077576A"/>
    <w:rsid w:val="007765FE"/>
    <w:rsid w:val="00780C32"/>
    <w:rsid w:val="00782AD9"/>
    <w:rsid w:val="0078321D"/>
    <w:rsid w:val="00784E39"/>
    <w:rsid w:val="0079215D"/>
    <w:rsid w:val="00792EDE"/>
    <w:rsid w:val="0079385B"/>
    <w:rsid w:val="00793F9E"/>
    <w:rsid w:val="00794BB5"/>
    <w:rsid w:val="0079511C"/>
    <w:rsid w:val="00796DB2"/>
    <w:rsid w:val="007A0E2F"/>
    <w:rsid w:val="007A3C84"/>
    <w:rsid w:val="007A53A5"/>
    <w:rsid w:val="007A629C"/>
    <w:rsid w:val="007A6A88"/>
    <w:rsid w:val="007B164D"/>
    <w:rsid w:val="007B1C56"/>
    <w:rsid w:val="007B4A00"/>
    <w:rsid w:val="007B6C9D"/>
    <w:rsid w:val="007B7204"/>
    <w:rsid w:val="007B7416"/>
    <w:rsid w:val="007C105F"/>
    <w:rsid w:val="007C25A7"/>
    <w:rsid w:val="007C2A1D"/>
    <w:rsid w:val="007C2BD1"/>
    <w:rsid w:val="007C3E7A"/>
    <w:rsid w:val="007C5437"/>
    <w:rsid w:val="007C6EC0"/>
    <w:rsid w:val="007D1BF9"/>
    <w:rsid w:val="007D5253"/>
    <w:rsid w:val="007D7422"/>
    <w:rsid w:val="007E126F"/>
    <w:rsid w:val="007E1902"/>
    <w:rsid w:val="007E3818"/>
    <w:rsid w:val="007F0FA9"/>
    <w:rsid w:val="007F3054"/>
    <w:rsid w:val="008048AA"/>
    <w:rsid w:val="008048E7"/>
    <w:rsid w:val="008054B0"/>
    <w:rsid w:val="00806768"/>
    <w:rsid w:val="00810605"/>
    <w:rsid w:val="00810D51"/>
    <w:rsid w:val="00812B31"/>
    <w:rsid w:val="00815F98"/>
    <w:rsid w:val="00822802"/>
    <w:rsid w:val="0082341B"/>
    <w:rsid w:val="00833F58"/>
    <w:rsid w:val="00836977"/>
    <w:rsid w:val="0084173E"/>
    <w:rsid w:val="00842146"/>
    <w:rsid w:val="00842EA9"/>
    <w:rsid w:val="00844FFC"/>
    <w:rsid w:val="00845754"/>
    <w:rsid w:val="00845F0A"/>
    <w:rsid w:val="008521DC"/>
    <w:rsid w:val="00855979"/>
    <w:rsid w:val="00855E03"/>
    <w:rsid w:val="0085795C"/>
    <w:rsid w:val="008608A2"/>
    <w:rsid w:val="00862F75"/>
    <w:rsid w:val="00866D31"/>
    <w:rsid w:val="00872167"/>
    <w:rsid w:val="00872FD2"/>
    <w:rsid w:val="008765CA"/>
    <w:rsid w:val="008834CE"/>
    <w:rsid w:val="00891EE4"/>
    <w:rsid w:val="00893164"/>
    <w:rsid w:val="00895295"/>
    <w:rsid w:val="00897A11"/>
    <w:rsid w:val="008A3B2D"/>
    <w:rsid w:val="008A4AAE"/>
    <w:rsid w:val="008A779A"/>
    <w:rsid w:val="008A7D16"/>
    <w:rsid w:val="008B0D2B"/>
    <w:rsid w:val="008B4692"/>
    <w:rsid w:val="008B4ACB"/>
    <w:rsid w:val="008B610D"/>
    <w:rsid w:val="008C01F3"/>
    <w:rsid w:val="008C1188"/>
    <w:rsid w:val="008C16D5"/>
    <w:rsid w:val="008C1FFC"/>
    <w:rsid w:val="008C308F"/>
    <w:rsid w:val="008C3E6D"/>
    <w:rsid w:val="008C4836"/>
    <w:rsid w:val="008D7277"/>
    <w:rsid w:val="008D7CF1"/>
    <w:rsid w:val="008E0D80"/>
    <w:rsid w:val="008E3171"/>
    <w:rsid w:val="008E6833"/>
    <w:rsid w:val="008E6ED2"/>
    <w:rsid w:val="008F0BD5"/>
    <w:rsid w:val="008F1171"/>
    <w:rsid w:val="008F3B32"/>
    <w:rsid w:val="008F7DB1"/>
    <w:rsid w:val="00901392"/>
    <w:rsid w:val="00911F03"/>
    <w:rsid w:val="00920950"/>
    <w:rsid w:val="009222C9"/>
    <w:rsid w:val="009249B0"/>
    <w:rsid w:val="00926194"/>
    <w:rsid w:val="00932371"/>
    <w:rsid w:val="00932374"/>
    <w:rsid w:val="00932CFB"/>
    <w:rsid w:val="009347A5"/>
    <w:rsid w:val="00935B29"/>
    <w:rsid w:val="00943039"/>
    <w:rsid w:val="0094695E"/>
    <w:rsid w:val="00950CD5"/>
    <w:rsid w:val="0095533C"/>
    <w:rsid w:val="009564B8"/>
    <w:rsid w:val="00962F2B"/>
    <w:rsid w:val="00964890"/>
    <w:rsid w:val="00964DB0"/>
    <w:rsid w:val="009654FF"/>
    <w:rsid w:val="00970703"/>
    <w:rsid w:val="0097373E"/>
    <w:rsid w:val="00973AE4"/>
    <w:rsid w:val="00975A6A"/>
    <w:rsid w:val="00981743"/>
    <w:rsid w:val="009818C0"/>
    <w:rsid w:val="00983254"/>
    <w:rsid w:val="00983CF6"/>
    <w:rsid w:val="00986090"/>
    <w:rsid w:val="00986A6A"/>
    <w:rsid w:val="00995820"/>
    <w:rsid w:val="009972DE"/>
    <w:rsid w:val="00997F43"/>
    <w:rsid w:val="009A5335"/>
    <w:rsid w:val="009A7509"/>
    <w:rsid w:val="009A7A30"/>
    <w:rsid w:val="009C0189"/>
    <w:rsid w:val="009C2ECA"/>
    <w:rsid w:val="009C690C"/>
    <w:rsid w:val="009D3102"/>
    <w:rsid w:val="009D4E25"/>
    <w:rsid w:val="009D6C59"/>
    <w:rsid w:val="009E0A59"/>
    <w:rsid w:val="009E24B9"/>
    <w:rsid w:val="009E30AA"/>
    <w:rsid w:val="009E50EE"/>
    <w:rsid w:val="009E5DD2"/>
    <w:rsid w:val="009E70A3"/>
    <w:rsid w:val="009E7923"/>
    <w:rsid w:val="009F0E53"/>
    <w:rsid w:val="009F24DA"/>
    <w:rsid w:val="009F3157"/>
    <w:rsid w:val="009F6F87"/>
    <w:rsid w:val="00A02280"/>
    <w:rsid w:val="00A02DFE"/>
    <w:rsid w:val="00A03AC5"/>
    <w:rsid w:val="00A0756E"/>
    <w:rsid w:val="00A12FB4"/>
    <w:rsid w:val="00A13CC6"/>
    <w:rsid w:val="00A1551C"/>
    <w:rsid w:val="00A15C54"/>
    <w:rsid w:val="00A16839"/>
    <w:rsid w:val="00A204B5"/>
    <w:rsid w:val="00A2149A"/>
    <w:rsid w:val="00A22236"/>
    <w:rsid w:val="00A24D99"/>
    <w:rsid w:val="00A2699C"/>
    <w:rsid w:val="00A27563"/>
    <w:rsid w:val="00A304D8"/>
    <w:rsid w:val="00A33688"/>
    <w:rsid w:val="00A3667C"/>
    <w:rsid w:val="00A40828"/>
    <w:rsid w:val="00A46938"/>
    <w:rsid w:val="00A505D9"/>
    <w:rsid w:val="00A513F6"/>
    <w:rsid w:val="00A518E7"/>
    <w:rsid w:val="00A54509"/>
    <w:rsid w:val="00A54E3C"/>
    <w:rsid w:val="00A63DA2"/>
    <w:rsid w:val="00A65701"/>
    <w:rsid w:val="00A66718"/>
    <w:rsid w:val="00A66A1D"/>
    <w:rsid w:val="00A70497"/>
    <w:rsid w:val="00A714F4"/>
    <w:rsid w:val="00A747FE"/>
    <w:rsid w:val="00A76C14"/>
    <w:rsid w:val="00A81EE7"/>
    <w:rsid w:val="00A8302C"/>
    <w:rsid w:val="00A96FF4"/>
    <w:rsid w:val="00A97648"/>
    <w:rsid w:val="00AA0A69"/>
    <w:rsid w:val="00AA456C"/>
    <w:rsid w:val="00AB1149"/>
    <w:rsid w:val="00AB114E"/>
    <w:rsid w:val="00AB1BDC"/>
    <w:rsid w:val="00AB2A16"/>
    <w:rsid w:val="00AC0947"/>
    <w:rsid w:val="00AC2860"/>
    <w:rsid w:val="00AC2BC3"/>
    <w:rsid w:val="00AC4747"/>
    <w:rsid w:val="00AC7171"/>
    <w:rsid w:val="00AD1B7A"/>
    <w:rsid w:val="00AD3789"/>
    <w:rsid w:val="00AD4950"/>
    <w:rsid w:val="00AD52AC"/>
    <w:rsid w:val="00AE1ED8"/>
    <w:rsid w:val="00AE2619"/>
    <w:rsid w:val="00AE271B"/>
    <w:rsid w:val="00AE6A96"/>
    <w:rsid w:val="00AF3A9F"/>
    <w:rsid w:val="00AF5688"/>
    <w:rsid w:val="00AF5B81"/>
    <w:rsid w:val="00B028B7"/>
    <w:rsid w:val="00B052DA"/>
    <w:rsid w:val="00B063FC"/>
    <w:rsid w:val="00B13197"/>
    <w:rsid w:val="00B136C4"/>
    <w:rsid w:val="00B17A57"/>
    <w:rsid w:val="00B237E4"/>
    <w:rsid w:val="00B276FF"/>
    <w:rsid w:val="00B27C4C"/>
    <w:rsid w:val="00B27E6E"/>
    <w:rsid w:val="00B3130F"/>
    <w:rsid w:val="00B33067"/>
    <w:rsid w:val="00B33E46"/>
    <w:rsid w:val="00B343EA"/>
    <w:rsid w:val="00B405E4"/>
    <w:rsid w:val="00B40A31"/>
    <w:rsid w:val="00B43FBB"/>
    <w:rsid w:val="00B471A7"/>
    <w:rsid w:val="00B509E4"/>
    <w:rsid w:val="00B51D56"/>
    <w:rsid w:val="00B5311B"/>
    <w:rsid w:val="00B53B08"/>
    <w:rsid w:val="00B543B9"/>
    <w:rsid w:val="00B553F7"/>
    <w:rsid w:val="00B65A26"/>
    <w:rsid w:val="00B70D27"/>
    <w:rsid w:val="00B76E57"/>
    <w:rsid w:val="00B833F2"/>
    <w:rsid w:val="00B872C6"/>
    <w:rsid w:val="00B95453"/>
    <w:rsid w:val="00BA0682"/>
    <w:rsid w:val="00BA0D1A"/>
    <w:rsid w:val="00BA1DB8"/>
    <w:rsid w:val="00BA50EB"/>
    <w:rsid w:val="00BB48C9"/>
    <w:rsid w:val="00BB55BF"/>
    <w:rsid w:val="00BC08EA"/>
    <w:rsid w:val="00BC144F"/>
    <w:rsid w:val="00BC47B2"/>
    <w:rsid w:val="00BC5210"/>
    <w:rsid w:val="00BC55CC"/>
    <w:rsid w:val="00BD0F5F"/>
    <w:rsid w:val="00BD1083"/>
    <w:rsid w:val="00BD1D8C"/>
    <w:rsid w:val="00BD3706"/>
    <w:rsid w:val="00BD417B"/>
    <w:rsid w:val="00BD477C"/>
    <w:rsid w:val="00BD4940"/>
    <w:rsid w:val="00BE4070"/>
    <w:rsid w:val="00BE461A"/>
    <w:rsid w:val="00BE7634"/>
    <w:rsid w:val="00BE7BB6"/>
    <w:rsid w:val="00BF1D17"/>
    <w:rsid w:val="00BF4B00"/>
    <w:rsid w:val="00BF7056"/>
    <w:rsid w:val="00BF7269"/>
    <w:rsid w:val="00C02185"/>
    <w:rsid w:val="00C15715"/>
    <w:rsid w:val="00C1730A"/>
    <w:rsid w:val="00C2688F"/>
    <w:rsid w:val="00C32EE1"/>
    <w:rsid w:val="00C339D4"/>
    <w:rsid w:val="00C34A66"/>
    <w:rsid w:val="00C35E08"/>
    <w:rsid w:val="00C37BDE"/>
    <w:rsid w:val="00C42516"/>
    <w:rsid w:val="00C43645"/>
    <w:rsid w:val="00C462B0"/>
    <w:rsid w:val="00C4650C"/>
    <w:rsid w:val="00C50B02"/>
    <w:rsid w:val="00C52339"/>
    <w:rsid w:val="00C61937"/>
    <w:rsid w:val="00C62807"/>
    <w:rsid w:val="00C730A6"/>
    <w:rsid w:val="00C7445C"/>
    <w:rsid w:val="00C766DD"/>
    <w:rsid w:val="00C825F8"/>
    <w:rsid w:val="00C82A7C"/>
    <w:rsid w:val="00C84027"/>
    <w:rsid w:val="00C860B2"/>
    <w:rsid w:val="00C86EA3"/>
    <w:rsid w:val="00C92C46"/>
    <w:rsid w:val="00C97E64"/>
    <w:rsid w:val="00CA0466"/>
    <w:rsid w:val="00CA0557"/>
    <w:rsid w:val="00CA10E7"/>
    <w:rsid w:val="00CA2283"/>
    <w:rsid w:val="00CA3EA0"/>
    <w:rsid w:val="00CA4287"/>
    <w:rsid w:val="00CA45FF"/>
    <w:rsid w:val="00CA69BF"/>
    <w:rsid w:val="00CA7608"/>
    <w:rsid w:val="00CB3E0B"/>
    <w:rsid w:val="00CB3F9F"/>
    <w:rsid w:val="00CB4DB7"/>
    <w:rsid w:val="00CB6B83"/>
    <w:rsid w:val="00CB760E"/>
    <w:rsid w:val="00CC040C"/>
    <w:rsid w:val="00CC06C8"/>
    <w:rsid w:val="00CC36C1"/>
    <w:rsid w:val="00CD140E"/>
    <w:rsid w:val="00CD243B"/>
    <w:rsid w:val="00CD7244"/>
    <w:rsid w:val="00CD7D1E"/>
    <w:rsid w:val="00CE07B9"/>
    <w:rsid w:val="00CF41DF"/>
    <w:rsid w:val="00CF43C0"/>
    <w:rsid w:val="00CF56B1"/>
    <w:rsid w:val="00CF5C11"/>
    <w:rsid w:val="00CF6F44"/>
    <w:rsid w:val="00CF723A"/>
    <w:rsid w:val="00CF7427"/>
    <w:rsid w:val="00D011CE"/>
    <w:rsid w:val="00D01C13"/>
    <w:rsid w:val="00D05E33"/>
    <w:rsid w:val="00D067D2"/>
    <w:rsid w:val="00D0781A"/>
    <w:rsid w:val="00D10032"/>
    <w:rsid w:val="00D10B84"/>
    <w:rsid w:val="00D11175"/>
    <w:rsid w:val="00D1542D"/>
    <w:rsid w:val="00D15645"/>
    <w:rsid w:val="00D15C26"/>
    <w:rsid w:val="00D20BC1"/>
    <w:rsid w:val="00D22BC8"/>
    <w:rsid w:val="00D258E5"/>
    <w:rsid w:val="00D263AA"/>
    <w:rsid w:val="00D269D0"/>
    <w:rsid w:val="00D3127A"/>
    <w:rsid w:val="00D32060"/>
    <w:rsid w:val="00D329B7"/>
    <w:rsid w:val="00D351C0"/>
    <w:rsid w:val="00D41CF6"/>
    <w:rsid w:val="00D42869"/>
    <w:rsid w:val="00D460C3"/>
    <w:rsid w:val="00D461F7"/>
    <w:rsid w:val="00D47102"/>
    <w:rsid w:val="00D477C4"/>
    <w:rsid w:val="00D47944"/>
    <w:rsid w:val="00D66AA4"/>
    <w:rsid w:val="00D766DF"/>
    <w:rsid w:val="00D76ED0"/>
    <w:rsid w:val="00D7736C"/>
    <w:rsid w:val="00D77969"/>
    <w:rsid w:val="00D81C35"/>
    <w:rsid w:val="00D83A4B"/>
    <w:rsid w:val="00D853F7"/>
    <w:rsid w:val="00D9193D"/>
    <w:rsid w:val="00D948C8"/>
    <w:rsid w:val="00D94DAE"/>
    <w:rsid w:val="00DA089F"/>
    <w:rsid w:val="00DA3924"/>
    <w:rsid w:val="00DA4770"/>
    <w:rsid w:val="00DA58AF"/>
    <w:rsid w:val="00DB1130"/>
    <w:rsid w:val="00DB46B3"/>
    <w:rsid w:val="00DB62FC"/>
    <w:rsid w:val="00DB6D13"/>
    <w:rsid w:val="00DC22D1"/>
    <w:rsid w:val="00DC3EBF"/>
    <w:rsid w:val="00DC5459"/>
    <w:rsid w:val="00DD1714"/>
    <w:rsid w:val="00DE0277"/>
    <w:rsid w:val="00DE269F"/>
    <w:rsid w:val="00DE2AC2"/>
    <w:rsid w:val="00DE362D"/>
    <w:rsid w:val="00DF3794"/>
    <w:rsid w:val="00DF47A4"/>
    <w:rsid w:val="00E00A2B"/>
    <w:rsid w:val="00E01727"/>
    <w:rsid w:val="00E04AAD"/>
    <w:rsid w:val="00E11792"/>
    <w:rsid w:val="00E12DE5"/>
    <w:rsid w:val="00E2218B"/>
    <w:rsid w:val="00E228C0"/>
    <w:rsid w:val="00E259B2"/>
    <w:rsid w:val="00E263D5"/>
    <w:rsid w:val="00E32B17"/>
    <w:rsid w:val="00E336BE"/>
    <w:rsid w:val="00E33F66"/>
    <w:rsid w:val="00E358A9"/>
    <w:rsid w:val="00E401FC"/>
    <w:rsid w:val="00E44273"/>
    <w:rsid w:val="00E44B23"/>
    <w:rsid w:val="00E45503"/>
    <w:rsid w:val="00E515CF"/>
    <w:rsid w:val="00E51714"/>
    <w:rsid w:val="00E545DC"/>
    <w:rsid w:val="00E55B73"/>
    <w:rsid w:val="00E562D7"/>
    <w:rsid w:val="00E61AC5"/>
    <w:rsid w:val="00E64072"/>
    <w:rsid w:val="00E66DAA"/>
    <w:rsid w:val="00E673DE"/>
    <w:rsid w:val="00E710BD"/>
    <w:rsid w:val="00E74E52"/>
    <w:rsid w:val="00E7619C"/>
    <w:rsid w:val="00E77C12"/>
    <w:rsid w:val="00E83B81"/>
    <w:rsid w:val="00E85937"/>
    <w:rsid w:val="00E8696F"/>
    <w:rsid w:val="00E92354"/>
    <w:rsid w:val="00E93E63"/>
    <w:rsid w:val="00E95F9C"/>
    <w:rsid w:val="00E961D7"/>
    <w:rsid w:val="00E966BB"/>
    <w:rsid w:val="00E96E1E"/>
    <w:rsid w:val="00EA0674"/>
    <w:rsid w:val="00EA0902"/>
    <w:rsid w:val="00EA56E0"/>
    <w:rsid w:val="00EA6BD9"/>
    <w:rsid w:val="00EB546A"/>
    <w:rsid w:val="00EB5679"/>
    <w:rsid w:val="00EB5C4E"/>
    <w:rsid w:val="00EB7221"/>
    <w:rsid w:val="00EC0AC5"/>
    <w:rsid w:val="00EC553B"/>
    <w:rsid w:val="00EC6412"/>
    <w:rsid w:val="00EC6460"/>
    <w:rsid w:val="00ED27D1"/>
    <w:rsid w:val="00ED3413"/>
    <w:rsid w:val="00ED3A4E"/>
    <w:rsid w:val="00ED6B40"/>
    <w:rsid w:val="00ED7592"/>
    <w:rsid w:val="00EE3379"/>
    <w:rsid w:val="00EE3748"/>
    <w:rsid w:val="00EE6F99"/>
    <w:rsid w:val="00EE736E"/>
    <w:rsid w:val="00EF028A"/>
    <w:rsid w:val="00EF07FB"/>
    <w:rsid w:val="00EF2675"/>
    <w:rsid w:val="00EF2A91"/>
    <w:rsid w:val="00EF3EAD"/>
    <w:rsid w:val="00EF6692"/>
    <w:rsid w:val="00EF77EF"/>
    <w:rsid w:val="00EF78B0"/>
    <w:rsid w:val="00F00B74"/>
    <w:rsid w:val="00F026CE"/>
    <w:rsid w:val="00F03FDB"/>
    <w:rsid w:val="00F04B16"/>
    <w:rsid w:val="00F07B2C"/>
    <w:rsid w:val="00F07DDA"/>
    <w:rsid w:val="00F10BFD"/>
    <w:rsid w:val="00F12A64"/>
    <w:rsid w:val="00F137AF"/>
    <w:rsid w:val="00F17928"/>
    <w:rsid w:val="00F17C0F"/>
    <w:rsid w:val="00F22A11"/>
    <w:rsid w:val="00F22F51"/>
    <w:rsid w:val="00F233E9"/>
    <w:rsid w:val="00F24006"/>
    <w:rsid w:val="00F27173"/>
    <w:rsid w:val="00F275D5"/>
    <w:rsid w:val="00F30BDE"/>
    <w:rsid w:val="00F33D1C"/>
    <w:rsid w:val="00F34E62"/>
    <w:rsid w:val="00F523D9"/>
    <w:rsid w:val="00F52683"/>
    <w:rsid w:val="00F5368B"/>
    <w:rsid w:val="00F56A86"/>
    <w:rsid w:val="00F6616F"/>
    <w:rsid w:val="00F73963"/>
    <w:rsid w:val="00F76E59"/>
    <w:rsid w:val="00F822B3"/>
    <w:rsid w:val="00F83DD4"/>
    <w:rsid w:val="00F8453F"/>
    <w:rsid w:val="00F87CAE"/>
    <w:rsid w:val="00F9063E"/>
    <w:rsid w:val="00F95D1F"/>
    <w:rsid w:val="00F97315"/>
    <w:rsid w:val="00FA0FF4"/>
    <w:rsid w:val="00FA1669"/>
    <w:rsid w:val="00FA294E"/>
    <w:rsid w:val="00FA340D"/>
    <w:rsid w:val="00FA342A"/>
    <w:rsid w:val="00FB093D"/>
    <w:rsid w:val="00FB1EDD"/>
    <w:rsid w:val="00FB52F7"/>
    <w:rsid w:val="00FD106F"/>
    <w:rsid w:val="00FE04E3"/>
    <w:rsid w:val="00FE2DBB"/>
    <w:rsid w:val="00FE3C5D"/>
    <w:rsid w:val="00FE4454"/>
    <w:rsid w:val="00FE68F0"/>
    <w:rsid w:val="00FE7937"/>
    <w:rsid w:val="00FF004A"/>
    <w:rsid w:val="00FF2E5F"/>
    <w:rsid w:val="00FF4F17"/>
    <w:rsid w:val="00FF7BCA"/>
    <w:rsid w:val="00FF7D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10D51"/>
    <w:rPr>
      <w:color w:val="0000FF"/>
      <w:u w:val="single"/>
    </w:rPr>
  </w:style>
  <w:style w:type="paragraph" w:styleId="BalloonText">
    <w:name w:val="Balloon Text"/>
    <w:basedOn w:val="Normal"/>
    <w:link w:val="BalloonTextChar"/>
    <w:rsid w:val="00983CF6"/>
    <w:rPr>
      <w:rFonts w:ascii="Tahoma" w:hAnsi="Tahoma" w:cs="Tahoma"/>
      <w:sz w:val="16"/>
      <w:szCs w:val="16"/>
    </w:rPr>
  </w:style>
  <w:style w:type="character" w:customStyle="1" w:styleId="BalloonTextChar">
    <w:name w:val="Balloon Text Char"/>
    <w:link w:val="BalloonText"/>
    <w:rsid w:val="00983CF6"/>
    <w:rPr>
      <w:rFonts w:ascii="Tahoma" w:hAnsi="Tahoma" w:cs="Tahoma"/>
      <w:sz w:val="16"/>
      <w:szCs w:val="16"/>
    </w:rPr>
  </w:style>
  <w:style w:type="paragraph" w:styleId="NormalWeb">
    <w:name w:val="Normal (Web)"/>
    <w:basedOn w:val="Normal"/>
    <w:uiPriority w:val="99"/>
    <w:unhideWhenUsed/>
    <w:rsid w:val="00636AAE"/>
    <w:pPr>
      <w:spacing w:before="100" w:beforeAutospacing="1" w:after="100" w:afterAutospacing="1"/>
    </w:pPr>
  </w:style>
  <w:style w:type="character" w:styleId="CommentReference">
    <w:name w:val="annotation reference"/>
    <w:rsid w:val="00F275D5"/>
    <w:rPr>
      <w:sz w:val="16"/>
      <w:szCs w:val="16"/>
    </w:rPr>
  </w:style>
  <w:style w:type="paragraph" w:styleId="CommentText">
    <w:name w:val="annotation text"/>
    <w:basedOn w:val="Normal"/>
    <w:link w:val="CommentTextChar"/>
    <w:rsid w:val="00F275D5"/>
    <w:rPr>
      <w:sz w:val="20"/>
      <w:szCs w:val="20"/>
    </w:rPr>
  </w:style>
  <w:style w:type="character" w:customStyle="1" w:styleId="CommentTextChar">
    <w:name w:val="Comment Text Char"/>
    <w:basedOn w:val="DefaultParagraphFont"/>
    <w:link w:val="CommentText"/>
    <w:rsid w:val="00F275D5"/>
  </w:style>
  <w:style w:type="paragraph" w:styleId="CommentSubject">
    <w:name w:val="annotation subject"/>
    <w:basedOn w:val="CommentText"/>
    <w:next w:val="CommentText"/>
    <w:link w:val="CommentSubjectChar"/>
    <w:rsid w:val="00F275D5"/>
    <w:rPr>
      <w:b/>
      <w:bCs/>
    </w:rPr>
  </w:style>
  <w:style w:type="character" w:customStyle="1" w:styleId="CommentSubjectChar">
    <w:name w:val="Comment Subject Char"/>
    <w:link w:val="CommentSubject"/>
    <w:rsid w:val="00F275D5"/>
    <w:rPr>
      <w:b/>
      <w:bCs/>
    </w:rPr>
  </w:style>
  <w:style w:type="paragraph" w:styleId="Revision">
    <w:name w:val="Revision"/>
    <w:hidden/>
    <w:uiPriority w:val="99"/>
    <w:semiHidden/>
    <w:rsid w:val="00780C32"/>
    <w:rPr>
      <w:sz w:val="24"/>
      <w:szCs w:val="24"/>
    </w:rPr>
  </w:style>
  <w:style w:type="paragraph" w:styleId="Header">
    <w:name w:val="header"/>
    <w:basedOn w:val="Normal"/>
    <w:link w:val="HeaderChar"/>
    <w:rsid w:val="00082481"/>
    <w:pPr>
      <w:tabs>
        <w:tab w:val="center" w:pos="4513"/>
        <w:tab w:val="right" w:pos="9026"/>
      </w:tabs>
    </w:pPr>
  </w:style>
  <w:style w:type="character" w:customStyle="1" w:styleId="HeaderChar">
    <w:name w:val="Header Char"/>
    <w:link w:val="Header"/>
    <w:rsid w:val="00082481"/>
    <w:rPr>
      <w:sz w:val="24"/>
      <w:szCs w:val="24"/>
    </w:rPr>
  </w:style>
  <w:style w:type="paragraph" w:styleId="Footer">
    <w:name w:val="footer"/>
    <w:basedOn w:val="Normal"/>
    <w:link w:val="FooterChar"/>
    <w:rsid w:val="00082481"/>
    <w:pPr>
      <w:tabs>
        <w:tab w:val="center" w:pos="4513"/>
        <w:tab w:val="right" w:pos="9026"/>
      </w:tabs>
    </w:pPr>
  </w:style>
  <w:style w:type="character" w:customStyle="1" w:styleId="FooterChar">
    <w:name w:val="Footer Char"/>
    <w:link w:val="Footer"/>
    <w:rsid w:val="00082481"/>
    <w:rPr>
      <w:sz w:val="24"/>
      <w:szCs w:val="24"/>
    </w:rPr>
  </w:style>
  <w:style w:type="paragraph" w:styleId="FootnoteText">
    <w:name w:val="footnote text"/>
    <w:basedOn w:val="Normal"/>
    <w:link w:val="FootnoteTextChar"/>
    <w:rsid w:val="00D7736C"/>
    <w:rPr>
      <w:sz w:val="20"/>
      <w:szCs w:val="20"/>
    </w:rPr>
  </w:style>
  <w:style w:type="character" w:customStyle="1" w:styleId="FootnoteTextChar">
    <w:name w:val="Footnote Text Char"/>
    <w:basedOn w:val="DefaultParagraphFont"/>
    <w:link w:val="FootnoteText"/>
    <w:rsid w:val="00D7736C"/>
  </w:style>
  <w:style w:type="character" w:styleId="FootnoteReference">
    <w:name w:val="footnote reference"/>
    <w:basedOn w:val="DefaultParagraphFont"/>
    <w:rsid w:val="00D7736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10D51"/>
    <w:rPr>
      <w:color w:val="0000FF"/>
      <w:u w:val="single"/>
    </w:rPr>
  </w:style>
  <w:style w:type="paragraph" w:styleId="BalloonText">
    <w:name w:val="Balloon Text"/>
    <w:basedOn w:val="Normal"/>
    <w:link w:val="BalloonTextChar"/>
    <w:rsid w:val="00983CF6"/>
    <w:rPr>
      <w:rFonts w:ascii="Tahoma" w:hAnsi="Tahoma" w:cs="Tahoma"/>
      <w:sz w:val="16"/>
      <w:szCs w:val="16"/>
    </w:rPr>
  </w:style>
  <w:style w:type="character" w:customStyle="1" w:styleId="BalloonTextChar">
    <w:name w:val="Balloon Text Char"/>
    <w:link w:val="BalloonText"/>
    <w:rsid w:val="00983CF6"/>
    <w:rPr>
      <w:rFonts w:ascii="Tahoma" w:hAnsi="Tahoma" w:cs="Tahoma"/>
      <w:sz w:val="16"/>
      <w:szCs w:val="16"/>
    </w:rPr>
  </w:style>
  <w:style w:type="paragraph" w:styleId="NormalWeb">
    <w:name w:val="Normal (Web)"/>
    <w:basedOn w:val="Normal"/>
    <w:uiPriority w:val="99"/>
    <w:unhideWhenUsed/>
    <w:rsid w:val="00636AAE"/>
    <w:pPr>
      <w:spacing w:before="100" w:beforeAutospacing="1" w:after="100" w:afterAutospacing="1"/>
    </w:pPr>
  </w:style>
  <w:style w:type="character" w:styleId="CommentReference">
    <w:name w:val="annotation reference"/>
    <w:rsid w:val="00F275D5"/>
    <w:rPr>
      <w:sz w:val="16"/>
      <w:szCs w:val="16"/>
    </w:rPr>
  </w:style>
  <w:style w:type="paragraph" w:styleId="CommentText">
    <w:name w:val="annotation text"/>
    <w:basedOn w:val="Normal"/>
    <w:link w:val="CommentTextChar"/>
    <w:rsid w:val="00F275D5"/>
    <w:rPr>
      <w:sz w:val="20"/>
      <w:szCs w:val="20"/>
    </w:rPr>
  </w:style>
  <w:style w:type="character" w:customStyle="1" w:styleId="CommentTextChar">
    <w:name w:val="Comment Text Char"/>
    <w:basedOn w:val="DefaultParagraphFont"/>
    <w:link w:val="CommentText"/>
    <w:rsid w:val="00F275D5"/>
  </w:style>
  <w:style w:type="paragraph" w:styleId="CommentSubject">
    <w:name w:val="annotation subject"/>
    <w:basedOn w:val="CommentText"/>
    <w:next w:val="CommentText"/>
    <w:link w:val="CommentSubjectChar"/>
    <w:rsid w:val="00F275D5"/>
    <w:rPr>
      <w:b/>
      <w:bCs/>
    </w:rPr>
  </w:style>
  <w:style w:type="character" w:customStyle="1" w:styleId="CommentSubjectChar">
    <w:name w:val="Comment Subject Char"/>
    <w:link w:val="CommentSubject"/>
    <w:rsid w:val="00F275D5"/>
    <w:rPr>
      <w:b/>
      <w:bCs/>
    </w:rPr>
  </w:style>
  <w:style w:type="paragraph" w:styleId="Revision">
    <w:name w:val="Revision"/>
    <w:hidden/>
    <w:uiPriority w:val="99"/>
    <w:semiHidden/>
    <w:rsid w:val="00780C32"/>
    <w:rPr>
      <w:sz w:val="24"/>
      <w:szCs w:val="24"/>
    </w:rPr>
  </w:style>
  <w:style w:type="paragraph" w:styleId="Header">
    <w:name w:val="header"/>
    <w:basedOn w:val="Normal"/>
    <w:link w:val="HeaderChar"/>
    <w:rsid w:val="00082481"/>
    <w:pPr>
      <w:tabs>
        <w:tab w:val="center" w:pos="4513"/>
        <w:tab w:val="right" w:pos="9026"/>
      </w:tabs>
    </w:pPr>
  </w:style>
  <w:style w:type="character" w:customStyle="1" w:styleId="HeaderChar">
    <w:name w:val="Header Char"/>
    <w:link w:val="Header"/>
    <w:rsid w:val="00082481"/>
    <w:rPr>
      <w:sz w:val="24"/>
      <w:szCs w:val="24"/>
    </w:rPr>
  </w:style>
  <w:style w:type="paragraph" w:styleId="Footer">
    <w:name w:val="footer"/>
    <w:basedOn w:val="Normal"/>
    <w:link w:val="FooterChar"/>
    <w:rsid w:val="00082481"/>
    <w:pPr>
      <w:tabs>
        <w:tab w:val="center" w:pos="4513"/>
        <w:tab w:val="right" w:pos="9026"/>
      </w:tabs>
    </w:pPr>
  </w:style>
  <w:style w:type="character" w:customStyle="1" w:styleId="FooterChar">
    <w:name w:val="Footer Char"/>
    <w:link w:val="Footer"/>
    <w:rsid w:val="00082481"/>
    <w:rPr>
      <w:sz w:val="24"/>
      <w:szCs w:val="24"/>
    </w:rPr>
  </w:style>
  <w:style w:type="paragraph" w:styleId="FootnoteText">
    <w:name w:val="footnote text"/>
    <w:basedOn w:val="Normal"/>
    <w:link w:val="FootnoteTextChar"/>
    <w:rsid w:val="00D7736C"/>
    <w:rPr>
      <w:sz w:val="20"/>
      <w:szCs w:val="20"/>
    </w:rPr>
  </w:style>
  <w:style w:type="character" w:customStyle="1" w:styleId="FootnoteTextChar">
    <w:name w:val="Footnote Text Char"/>
    <w:basedOn w:val="DefaultParagraphFont"/>
    <w:link w:val="FootnoteText"/>
    <w:rsid w:val="00D7736C"/>
  </w:style>
  <w:style w:type="character" w:styleId="FootnoteReference">
    <w:name w:val="footnote reference"/>
    <w:basedOn w:val="DefaultParagraphFont"/>
    <w:rsid w:val="00D773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68530">
      <w:bodyDiv w:val="1"/>
      <w:marLeft w:val="0"/>
      <w:marRight w:val="0"/>
      <w:marTop w:val="0"/>
      <w:marBottom w:val="0"/>
      <w:divBdr>
        <w:top w:val="none" w:sz="0" w:space="0" w:color="auto"/>
        <w:left w:val="none" w:sz="0" w:space="0" w:color="auto"/>
        <w:bottom w:val="none" w:sz="0" w:space="0" w:color="auto"/>
        <w:right w:val="none" w:sz="0" w:space="0" w:color="auto"/>
      </w:divBdr>
    </w:div>
    <w:div w:id="703335681">
      <w:bodyDiv w:val="1"/>
      <w:marLeft w:val="0"/>
      <w:marRight w:val="0"/>
      <w:marTop w:val="0"/>
      <w:marBottom w:val="0"/>
      <w:divBdr>
        <w:top w:val="none" w:sz="0" w:space="0" w:color="auto"/>
        <w:left w:val="none" w:sz="0" w:space="0" w:color="auto"/>
        <w:bottom w:val="none" w:sz="0" w:space="0" w:color="auto"/>
        <w:right w:val="none" w:sz="0" w:space="0" w:color="auto"/>
      </w:divBdr>
    </w:div>
    <w:div w:id="1635716990">
      <w:bodyDiv w:val="1"/>
      <w:marLeft w:val="0"/>
      <w:marRight w:val="0"/>
      <w:marTop w:val="0"/>
      <w:marBottom w:val="0"/>
      <w:divBdr>
        <w:top w:val="none" w:sz="0" w:space="0" w:color="auto"/>
        <w:left w:val="none" w:sz="0" w:space="0" w:color="auto"/>
        <w:bottom w:val="none" w:sz="0" w:space="0" w:color="auto"/>
        <w:right w:val="none" w:sz="0" w:space="0" w:color="auto"/>
      </w:divBdr>
    </w:div>
    <w:div w:id="2134981578">
      <w:bodyDiv w:val="1"/>
      <w:marLeft w:val="0"/>
      <w:marRight w:val="0"/>
      <w:marTop w:val="0"/>
      <w:marBottom w:val="0"/>
      <w:divBdr>
        <w:top w:val="none" w:sz="0" w:space="0" w:color="auto"/>
        <w:left w:val="none" w:sz="0" w:space="0" w:color="auto"/>
        <w:bottom w:val="none" w:sz="0" w:space="0" w:color="auto"/>
        <w:right w:val="none" w:sz="0" w:space="0" w:color="auto"/>
      </w:divBdr>
      <w:divsChild>
        <w:div w:id="1053231548">
          <w:marLeft w:val="0"/>
          <w:marRight w:val="0"/>
          <w:marTop w:val="0"/>
          <w:marBottom w:val="0"/>
          <w:divBdr>
            <w:top w:val="none" w:sz="0" w:space="0" w:color="auto"/>
            <w:left w:val="none" w:sz="0" w:space="0" w:color="auto"/>
            <w:bottom w:val="none" w:sz="0" w:space="0" w:color="auto"/>
            <w:right w:val="none" w:sz="0" w:space="0" w:color="auto"/>
          </w:divBdr>
          <w:divsChild>
            <w:div w:id="1920750469">
              <w:marLeft w:val="0"/>
              <w:marRight w:val="0"/>
              <w:marTop w:val="0"/>
              <w:marBottom w:val="0"/>
              <w:divBdr>
                <w:top w:val="none" w:sz="0" w:space="0" w:color="auto"/>
                <w:left w:val="none" w:sz="0" w:space="0" w:color="auto"/>
                <w:bottom w:val="none" w:sz="0" w:space="0" w:color="auto"/>
                <w:right w:val="none" w:sz="0" w:space="0" w:color="auto"/>
              </w:divBdr>
              <w:divsChild>
                <w:div w:id="909929619">
                  <w:marLeft w:val="0"/>
                  <w:marRight w:val="0"/>
                  <w:marTop w:val="0"/>
                  <w:marBottom w:val="0"/>
                  <w:divBdr>
                    <w:top w:val="none" w:sz="0" w:space="0" w:color="auto"/>
                    <w:left w:val="none" w:sz="0" w:space="0" w:color="auto"/>
                    <w:bottom w:val="none" w:sz="0" w:space="0" w:color="auto"/>
                    <w:right w:val="none" w:sz="0" w:space="0" w:color="auto"/>
                  </w:divBdr>
                  <w:divsChild>
                    <w:div w:id="1882475406">
                      <w:marLeft w:val="0"/>
                      <w:marRight w:val="0"/>
                      <w:marTop w:val="0"/>
                      <w:marBottom w:val="0"/>
                      <w:divBdr>
                        <w:top w:val="none" w:sz="0" w:space="0" w:color="auto"/>
                        <w:left w:val="none" w:sz="0" w:space="0" w:color="auto"/>
                        <w:bottom w:val="none" w:sz="0" w:space="0" w:color="auto"/>
                        <w:right w:val="none" w:sz="0" w:space="0" w:color="auto"/>
                      </w:divBdr>
                      <w:divsChild>
                        <w:div w:id="1783264570">
                          <w:marLeft w:val="0"/>
                          <w:marRight w:val="0"/>
                          <w:marTop w:val="0"/>
                          <w:marBottom w:val="0"/>
                          <w:divBdr>
                            <w:top w:val="none" w:sz="0" w:space="0" w:color="auto"/>
                            <w:left w:val="none" w:sz="0" w:space="0" w:color="auto"/>
                            <w:bottom w:val="none" w:sz="0" w:space="0" w:color="auto"/>
                            <w:right w:val="none" w:sz="0" w:space="0" w:color="auto"/>
                          </w:divBdr>
                          <w:divsChild>
                            <w:div w:id="1093086687">
                              <w:marLeft w:val="0"/>
                              <w:marRight w:val="0"/>
                              <w:marTop w:val="0"/>
                              <w:marBottom w:val="0"/>
                              <w:divBdr>
                                <w:top w:val="none" w:sz="0" w:space="0" w:color="auto"/>
                                <w:left w:val="none" w:sz="0" w:space="0" w:color="auto"/>
                                <w:bottom w:val="none" w:sz="0" w:space="0" w:color="auto"/>
                                <w:right w:val="none" w:sz="0" w:space="0" w:color="auto"/>
                              </w:divBdr>
                              <w:divsChild>
                                <w:div w:id="568224380">
                                  <w:marLeft w:val="0"/>
                                  <w:marRight w:val="0"/>
                                  <w:marTop w:val="0"/>
                                  <w:marBottom w:val="0"/>
                                  <w:divBdr>
                                    <w:top w:val="none" w:sz="0" w:space="0" w:color="auto"/>
                                    <w:left w:val="none" w:sz="0" w:space="0" w:color="auto"/>
                                    <w:bottom w:val="none" w:sz="0" w:space="0" w:color="auto"/>
                                    <w:right w:val="none" w:sz="0" w:space="0" w:color="auto"/>
                                  </w:divBdr>
                                  <w:divsChild>
                                    <w:div w:id="5394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5A7A5-AD56-4B96-86D4-AFB9C0126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1448</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COMCARE</Company>
  <LinksUpToDate>false</LinksUpToDate>
  <CharactersWithSpaces>8937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whitcombe.ken</dc:creator>
  <cp:lastModifiedBy>Tammy Amos</cp:lastModifiedBy>
  <cp:revision>2</cp:revision>
  <cp:lastPrinted>2014-06-18T04:02:00Z</cp:lastPrinted>
  <dcterms:created xsi:type="dcterms:W3CDTF">2014-06-20T02:04:00Z</dcterms:created>
  <dcterms:modified xsi:type="dcterms:W3CDTF">2014-06-20T02:04:00Z</dcterms:modified>
</cp:coreProperties>
</file>