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eastAsiaTheme="minorHAnsi" w:hAnsi="Times New Roman" w:cstheme="minorBidi"/>
          <w:b w:val="0"/>
          <w:sz w:val="22"/>
          <w:szCs w:val="22"/>
          <w:u w:val="single"/>
        </w:rPr>
        <w:id w:val="962787086"/>
        <w:lock w:val="contentLocked"/>
        <w:placeholder>
          <w:docPart w:val="3F24F1B361AA4406A4B36253A44AD5DA"/>
        </w:placeholder>
        <w:group/>
      </w:sdtPr>
      <w:sdtEndPr>
        <w:rPr>
          <w:rFonts w:eastAsiaTheme="minorEastAsia"/>
          <w:szCs w:val="24"/>
          <w:u w:val="none"/>
        </w:rPr>
      </w:sdtEndPr>
      <w:sdtContent>
        <w:p w:rsidR="002B1DB3" w:rsidRPr="00096B91" w:rsidRDefault="002B1DB3" w:rsidP="00B3331C">
          <w:pPr>
            <w:pStyle w:val="Title"/>
            <w:rPr>
              <w:rFonts w:ascii="Times New Roman" w:hAnsi="Times New Roman"/>
              <w:u w:val="single"/>
            </w:rPr>
          </w:pPr>
          <w:r w:rsidRPr="00096B91">
            <w:rPr>
              <w:rFonts w:ascii="Times New Roman" w:hAnsi="Times New Roman"/>
              <w:u w:val="single"/>
            </w:rPr>
            <w:t>EXPLANATORY STATEMENT</w:t>
          </w:r>
        </w:p>
        <w:p w:rsidR="002B1DB3" w:rsidRPr="00096B91" w:rsidRDefault="00520FFB" w:rsidP="00B3331C">
          <w:pPr>
            <w:jc w:val="center"/>
            <w:rPr>
              <w:rFonts w:ascii="Times New Roman" w:hAnsi="Times New Roman" w:cs="Times New Roman"/>
              <w:sz w:val="24"/>
            </w:rPr>
          </w:pPr>
        </w:p>
      </w:sdtContent>
    </w:sdt>
    <w:p w:rsidR="002B1DB3" w:rsidRPr="00096B91" w:rsidRDefault="00520FFB" w:rsidP="00B3331C">
      <w:pPr>
        <w:jc w:val="center"/>
        <w:rPr>
          <w:rFonts w:ascii="Times New Roman" w:hAnsi="Times New Roman" w:cs="Times New Roman"/>
          <w:sz w:val="24"/>
          <w:u w:val="single"/>
        </w:rPr>
      </w:pPr>
      <w:sdt>
        <w:sdtPr>
          <w:rPr>
            <w:rFonts w:ascii="Times New Roman" w:hAnsi="Times New Roman" w:cs="Times New Roman"/>
            <w:sz w:val="24"/>
            <w:u w:val="single"/>
          </w:rPr>
          <w:id w:val="962787087"/>
          <w:lock w:val="contentLocked"/>
          <w:placeholder>
            <w:docPart w:val="3F24F1B361AA4406A4B36253A44AD5DA"/>
          </w:placeholder>
          <w:group/>
        </w:sdtPr>
        <w:sdtContent>
          <w:r w:rsidR="002B1DB3" w:rsidRPr="00096B91">
            <w:rPr>
              <w:rFonts w:ascii="Times New Roman" w:hAnsi="Times New Roman" w:cs="Times New Roman"/>
              <w:sz w:val="24"/>
              <w:u w:val="single"/>
            </w:rPr>
            <w:t>Issued by Authority of the</w:t>
          </w:r>
        </w:sdtContent>
      </w:sdt>
      <w:r w:rsidR="002B1DB3" w:rsidRPr="00096B91">
        <w:rPr>
          <w:rFonts w:ascii="Times New Roman" w:hAnsi="Times New Roman" w:cs="Times New Roman"/>
          <w:sz w:val="24"/>
          <w:u w:val="single"/>
        </w:rPr>
        <w:t xml:space="preserve"> </w:t>
      </w:r>
      <w:r w:rsidR="002B1DB3" w:rsidRPr="00B3331C">
        <w:rPr>
          <w:rFonts w:ascii="Times New Roman" w:hAnsi="Times New Roman" w:cs="Times New Roman"/>
          <w:sz w:val="24"/>
          <w:u w:val="single"/>
        </w:rPr>
        <w:t xml:space="preserve">Minister </w:t>
      </w:r>
      <w:r w:rsidR="00DF7ACE">
        <w:rPr>
          <w:rFonts w:ascii="Times New Roman" w:hAnsi="Times New Roman" w:cs="Times New Roman"/>
          <w:sz w:val="24"/>
          <w:u w:val="single"/>
        </w:rPr>
        <w:t>for Agriculture</w:t>
      </w:r>
    </w:p>
    <w:p w:rsidR="002B1DB3" w:rsidRPr="00096B91" w:rsidRDefault="002B1DB3" w:rsidP="00B3331C">
      <w:pPr>
        <w:jc w:val="center"/>
        <w:rPr>
          <w:rFonts w:ascii="Times New Roman" w:hAnsi="Times New Roman" w:cs="Times New Roman"/>
          <w:sz w:val="24"/>
        </w:rPr>
      </w:pPr>
    </w:p>
    <w:p w:rsidR="002B1DB3" w:rsidRPr="003B1B23" w:rsidRDefault="00DF7ACE" w:rsidP="00B3331C">
      <w:pPr>
        <w:jc w:val="center"/>
        <w:rPr>
          <w:rFonts w:ascii="Times New Roman" w:hAnsi="Times New Roman" w:cs="Times New Roman"/>
          <w:snapToGrid w:val="0"/>
          <w:sz w:val="24"/>
        </w:rPr>
      </w:pPr>
      <w:r w:rsidRPr="009003A9">
        <w:rPr>
          <w:rFonts w:ascii="Times New Roman" w:hAnsi="Times New Roman" w:cs="Times New Roman"/>
          <w:i/>
          <w:snapToGrid w:val="0"/>
          <w:sz w:val="24"/>
        </w:rPr>
        <w:t>Farm Household Support</w:t>
      </w:r>
      <w:r w:rsidRPr="009003A9">
        <w:rPr>
          <w:rFonts w:ascii="Times New Roman" w:hAnsi="Times New Roman" w:cs="Times New Roman"/>
          <w:i/>
          <w:sz w:val="24"/>
        </w:rPr>
        <w:t xml:space="preserve"> </w:t>
      </w:r>
      <w:r w:rsidRPr="009003A9">
        <w:rPr>
          <w:rFonts w:ascii="Times New Roman" w:hAnsi="Times New Roman" w:cs="Times New Roman"/>
          <w:i/>
          <w:snapToGrid w:val="0"/>
          <w:sz w:val="24"/>
        </w:rPr>
        <w:t>Act 2014</w:t>
      </w:r>
    </w:p>
    <w:p w:rsidR="002B1DB3" w:rsidRPr="003B1B23" w:rsidRDefault="002B1DB3" w:rsidP="00B3331C">
      <w:pPr>
        <w:jc w:val="center"/>
        <w:rPr>
          <w:rFonts w:ascii="Times New Roman" w:hAnsi="Times New Roman" w:cs="Times New Roman"/>
          <w:sz w:val="24"/>
        </w:rPr>
      </w:pPr>
    </w:p>
    <w:p w:rsidR="002B1DB3" w:rsidRPr="003B1B23" w:rsidRDefault="00DF7ACE" w:rsidP="00B3331C">
      <w:pPr>
        <w:jc w:val="center"/>
        <w:rPr>
          <w:rFonts w:ascii="Times New Roman" w:hAnsi="Times New Roman" w:cs="Times New Roman"/>
          <w:i/>
          <w:sz w:val="24"/>
        </w:rPr>
      </w:pPr>
      <w:r w:rsidRPr="009003A9">
        <w:rPr>
          <w:rFonts w:ascii="Times New Roman" w:hAnsi="Times New Roman" w:cs="Times New Roman"/>
          <w:i/>
          <w:snapToGrid w:val="0"/>
          <w:sz w:val="24"/>
        </w:rPr>
        <w:t>Farm Household Support</w:t>
      </w:r>
      <w:r w:rsidRPr="009003A9">
        <w:rPr>
          <w:rFonts w:ascii="Times New Roman" w:hAnsi="Times New Roman" w:cs="Times New Roman"/>
          <w:i/>
          <w:sz w:val="24"/>
        </w:rPr>
        <w:t xml:space="preserve"> </w:t>
      </w:r>
      <w:r w:rsidR="00F842CC">
        <w:rPr>
          <w:rFonts w:ascii="Times New Roman" w:hAnsi="Times New Roman" w:cs="Times New Roman"/>
          <w:i/>
          <w:sz w:val="24"/>
        </w:rPr>
        <w:t>Minister’s</w:t>
      </w:r>
      <w:r w:rsidR="005A619E">
        <w:rPr>
          <w:rFonts w:ascii="Times New Roman" w:hAnsi="Times New Roman" w:cs="Times New Roman"/>
          <w:i/>
          <w:sz w:val="24"/>
        </w:rPr>
        <w:t xml:space="preserve"> </w:t>
      </w:r>
      <w:r w:rsidRPr="00DF7ACE">
        <w:rPr>
          <w:rFonts w:ascii="Times New Roman" w:hAnsi="Times New Roman" w:cs="Times New Roman"/>
          <w:i/>
          <w:sz w:val="24"/>
        </w:rPr>
        <w:t>Rule 2014</w:t>
      </w:r>
    </w:p>
    <w:p w:rsidR="002B1DB3" w:rsidRDefault="002B1DB3" w:rsidP="00B3331C">
      <w:pPr>
        <w:rPr>
          <w:rFonts w:ascii="Times New Roman" w:hAnsi="Times New Roman" w:cs="Times New Roman"/>
          <w:sz w:val="24"/>
        </w:rPr>
      </w:pPr>
    </w:p>
    <w:p w:rsidR="008A11A3" w:rsidRDefault="00997229" w:rsidP="00B3331C">
      <w:pPr>
        <w:tabs>
          <w:tab w:val="left" w:pos="1701"/>
          <w:tab w:val="right" w:pos="9072"/>
        </w:tabs>
        <w:rPr>
          <w:rFonts w:ascii="Times New Roman" w:hAnsi="Times New Roman" w:cs="Times New Roman"/>
          <w:snapToGrid w:val="0"/>
          <w:sz w:val="24"/>
        </w:rPr>
      </w:pPr>
      <w:r>
        <w:rPr>
          <w:rFonts w:ascii="Times New Roman" w:hAnsi="Times New Roman" w:cs="Times New Roman"/>
          <w:sz w:val="24"/>
        </w:rPr>
        <w:t>S</w:t>
      </w:r>
      <w:r w:rsidR="00EB542F">
        <w:rPr>
          <w:rFonts w:ascii="Times New Roman" w:hAnsi="Times New Roman" w:cs="Times New Roman"/>
          <w:sz w:val="24"/>
        </w:rPr>
        <w:t>ubs</w:t>
      </w:r>
      <w:r>
        <w:rPr>
          <w:rFonts w:ascii="Times New Roman" w:hAnsi="Times New Roman" w:cs="Times New Roman"/>
          <w:sz w:val="24"/>
        </w:rPr>
        <w:t>ection 106</w:t>
      </w:r>
      <w:r w:rsidR="00A16CBE">
        <w:rPr>
          <w:rFonts w:ascii="Times New Roman" w:hAnsi="Times New Roman" w:cs="Times New Roman"/>
          <w:sz w:val="24"/>
        </w:rPr>
        <w:t>(1</w:t>
      </w:r>
      <w:r w:rsidR="00EB542F">
        <w:rPr>
          <w:rFonts w:ascii="Times New Roman" w:hAnsi="Times New Roman" w:cs="Times New Roman"/>
          <w:sz w:val="24"/>
        </w:rPr>
        <w:t>)</w:t>
      </w:r>
      <w:r>
        <w:rPr>
          <w:rFonts w:ascii="Times New Roman" w:hAnsi="Times New Roman" w:cs="Times New Roman"/>
          <w:sz w:val="24"/>
        </w:rPr>
        <w:t xml:space="preserve"> of the </w:t>
      </w:r>
      <w:r w:rsidRPr="009003A9">
        <w:rPr>
          <w:rFonts w:ascii="Times New Roman" w:hAnsi="Times New Roman" w:cs="Times New Roman"/>
          <w:i/>
          <w:snapToGrid w:val="0"/>
          <w:sz w:val="24"/>
        </w:rPr>
        <w:t>Farm Household Support</w:t>
      </w:r>
      <w:r w:rsidRPr="009003A9">
        <w:rPr>
          <w:rFonts w:ascii="Times New Roman" w:hAnsi="Times New Roman" w:cs="Times New Roman"/>
          <w:i/>
          <w:sz w:val="24"/>
        </w:rPr>
        <w:t xml:space="preserve"> </w:t>
      </w:r>
      <w:r w:rsidRPr="009003A9">
        <w:rPr>
          <w:rFonts w:ascii="Times New Roman" w:hAnsi="Times New Roman" w:cs="Times New Roman"/>
          <w:i/>
          <w:snapToGrid w:val="0"/>
          <w:sz w:val="24"/>
        </w:rPr>
        <w:t>Act 2014</w:t>
      </w:r>
      <w:r>
        <w:rPr>
          <w:rFonts w:ascii="Times New Roman" w:hAnsi="Times New Roman" w:cs="Times New Roman"/>
          <w:i/>
          <w:snapToGrid w:val="0"/>
          <w:sz w:val="24"/>
        </w:rPr>
        <w:t xml:space="preserve"> </w:t>
      </w:r>
      <w:r w:rsidR="008B2552">
        <w:rPr>
          <w:rFonts w:ascii="Times New Roman" w:hAnsi="Times New Roman" w:cs="Times New Roman"/>
          <w:snapToGrid w:val="0"/>
          <w:sz w:val="24"/>
        </w:rPr>
        <w:t xml:space="preserve">(the </w:t>
      </w:r>
      <w:r w:rsidR="005D4F88">
        <w:rPr>
          <w:rFonts w:ascii="Times New Roman" w:hAnsi="Times New Roman" w:cs="Times New Roman"/>
          <w:snapToGrid w:val="0"/>
          <w:sz w:val="24"/>
        </w:rPr>
        <w:t>FHSA</w:t>
      </w:r>
      <w:r w:rsidR="008B2552">
        <w:rPr>
          <w:rFonts w:ascii="Times New Roman" w:hAnsi="Times New Roman" w:cs="Times New Roman"/>
          <w:snapToGrid w:val="0"/>
          <w:sz w:val="24"/>
        </w:rPr>
        <w:t xml:space="preserve">) </w:t>
      </w:r>
      <w:r>
        <w:rPr>
          <w:rFonts w:ascii="Times New Roman" w:hAnsi="Times New Roman" w:cs="Times New Roman"/>
          <w:snapToGrid w:val="0"/>
          <w:sz w:val="24"/>
        </w:rPr>
        <w:t xml:space="preserve">provides that the </w:t>
      </w:r>
      <w:r w:rsidR="00F842CC">
        <w:rPr>
          <w:rFonts w:ascii="Times New Roman" w:hAnsi="Times New Roman" w:cs="Times New Roman"/>
          <w:snapToGrid w:val="0"/>
          <w:sz w:val="24"/>
        </w:rPr>
        <w:t xml:space="preserve">Minister for </w:t>
      </w:r>
      <w:r>
        <w:rPr>
          <w:rFonts w:ascii="Times New Roman" w:hAnsi="Times New Roman" w:cs="Times New Roman"/>
          <w:snapToGrid w:val="0"/>
          <w:sz w:val="24"/>
        </w:rPr>
        <w:t xml:space="preserve">Agriculture may </w:t>
      </w:r>
      <w:r w:rsidR="00A16CBE">
        <w:rPr>
          <w:rFonts w:ascii="Times New Roman" w:hAnsi="Times New Roman" w:cs="Times New Roman"/>
          <w:snapToGrid w:val="0"/>
          <w:sz w:val="24"/>
        </w:rPr>
        <w:t>make</w:t>
      </w:r>
      <w:r>
        <w:rPr>
          <w:rFonts w:ascii="Times New Roman" w:hAnsi="Times New Roman" w:cs="Times New Roman"/>
          <w:snapToGrid w:val="0"/>
          <w:sz w:val="24"/>
        </w:rPr>
        <w:t xml:space="preserve"> r</w:t>
      </w:r>
      <w:r w:rsidR="0075556B">
        <w:rPr>
          <w:rFonts w:ascii="Times New Roman" w:hAnsi="Times New Roman" w:cs="Times New Roman"/>
          <w:snapToGrid w:val="0"/>
          <w:sz w:val="24"/>
        </w:rPr>
        <w:t xml:space="preserve">ules by legislative instrument which are required or permitted by the </w:t>
      </w:r>
      <w:r w:rsidR="005D4F88">
        <w:rPr>
          <w:rFonts w:ascii="Times New Roman" w:hAnsi="Times New Roman" w:cs="Times New Roman"/>
          <w:snapToGrid w:val="0"/>
          <w:sz w:val="24"/>
        </w:rPr>
        <w:t>FHSA</w:t>
      </w:r>
      <w:r w:rsidR="0075556B">
        <w:rPr>
          <w:rFonts w:ascii="Times New Roman" w:hAnsi="Times New Roman" w:cs="Times New Roman"/>
          <w:snapToGrid w:val="0"/>
          <w:sz w:val="24"/>
        </w:rPr>
        <w:t xml:space="preserve"> to be prescribed</w:t>
      </w:r>
      <w:r w:rsidR="0075556B" w:rsidRPr="0075556B">
        <w:rPr>
          <w:rFonts w:ascii="Times New Roman" w:hAnsi="Times New Roman" w:cs="Times New Roman"/>
          <w:snapToGrid w:val="0"/>
          <w:sz w:val="24"/>
        </w:rPr>
        <w:t>.</w:t>
      </w:r>
    </w:p>
    <w:p w:rsidR="008A11A3" w:rsidRDefault="008A11A3" w:rsidP="00B3331C">
      <w:pPr>
        <w:tabs>
          <w:tab w:val="left" w:pos="1701"/>
          <w:tab w:val="right" w:pos="9072"/>
        </w:tabs>
        <w:rPr>
          <w:rFonts w:ascii="Times New Roman" w:hAnsi="Times New Roman" w:cs="Times New Roman"/>
          <w:snapToGrid w:val="0"/>
          <w:sz w:val="24"/>
        </w:rPr>
      </w:pPr>
    </w:p>
    <w:p w:rsidR="005D4F88" w:rsidRDefault="00E756E3" w:rsidP="00B3331C">
      <w:pPr>
        <w:tabs>
          <w:tab w:val="right" w:pos="9072"/>
        </w:tabs>
        <w:rPr>
          <w:rFonts w:ascii="Times New Roman" w:hAnsi="Times New Roman" w:cs="Times New Roman"/>
          <w:sz w:val="24"/>
        </w:rPr>
      </w:pPr>
      <w:r w:rsidRPr="00E756E3">
        <w:rPr>
          <w:rFonts w:ascii="Times New Roman" w:hAnsi="Times New Roman" w:cs="Times New Roman"/>
          <w:sz w:val="24"/>
        </w:rPr>
        <w:t xml:space="preserve">The </w:t>
      </w:r>
      <w:r w:rsidR="005D4F88">
        <w:rPr>
          <w:rFonts w:ascii="Times New Roman" w:hAnsi="Times New Roman" w:cs="Times New Roman"/>
          <w:sz w:val="24"/>
        </w:rPr>
        <w:t>FHSA</w:t>
      </w:r>
      <w:r w:rsidRPr="00E756E3">
        <w:rPr>
          <w:rFonts w:ascii="Times New Roman" w:hAnsi="Times New Roman" w:cs="Times New Roman"/>
          <w:sz w:val="24"/>
        </w:rPr>
        <w:t xml:space="preserve"> provides the mechanism to implement the Farm Household Allowance (FHA), an income support payment for farmers and their partners who are </w:t>
      </w:r>
      <w:r>
        <w:rPr>
          <w:rFonts w:ascii="Times New Roman" w:hAnsi="Times New Roman" w:cs="Times New Roman"/>
          <w:sz w:val="24"/>
        </w:rPr>
        <w:t xml:space="preserve">experiencing </w:t>
      </w:r>
      <w:r w:rsidR="005D4F88">
        <w:rPr>
          <w:rFonts w:ascii="Times New Roman" w:hAnsi="Times New Roman" w:cs="Times New Roman"/>
          <w:sz w:val="24"/>
        </w:rPr>
        <w:t>financial hardship. The FHSA provides for:</w:t>
      </w:r>
    </w:p>
    <w:p w:rsidR="005D4F88" w:rsidRDefault="005D4F88" w:rsidP="00B3331C">
      <w:pPr>
        <w:tabs>
          <w:tab w:val="right" w:pos="9072"/>
        </w:tabs>
        <w:rPr>
          <w:rFonts w:ascii="Times New Roman" w:hAnsi="Times New Roman" w:cs="Times New Roman"/>
          <w:sz w:val="24"/>
        </w:rPr>
      </w:pPr>
    </w:p>
    <w:p w:rsidR="005D4F88" w:rsidRPr="005D4F88" w:rsidRDefault="005D4F88" w:rsidP="005D4F88">
      <w:pPr>
        <w:pStyle w:val="ListParagraph"/>
        <w:numPr>
          <w:ilvl w:val="0"/>
          <w:numId w:val="17"/>
        </w:numPr>
        <w:tabs>
          <w:tab w:val="right" w:pos="9072"/>
        </w:tabs>
        <w:spacing w:after="240"/>
        <w:ind w:left="714" w:hanging="357"/>
        <w:contextualSpacing w:val="0"/>
        <w:rPr>
          <w:rFonts w:ascii="Times New Roman" w:hAnsi="Times New Roman" w:cs="Times New Roman"/>
          <w:sz w:val="24"/>
        </w:rPr>
      </w:pPr>
      <w:r w:rsidRPr="005D4F88">
        <w:rPr>
          <w:rFonts w:ascii="Times New Roman" w:hAnsi="Times New Roman" w:cs="Times New Roman"/>
          <w:sz w:val="24"/>
        </w:rPr>
        <w:t xml:space="preserve">up to three cumulative years of income support for farmers and their partners in hardship without the need for a climatic trigger </w:t>
      </w:r>
    </w:p>
    <w:p w:rsidR="005D4F88" w:rsidRPr="005D4F88" w:rsidRDefault="005D4F88" w:rsidP="005D4F88">
      <w:pPr>
        <w:pStyle w:val="ListParagraph"/>
        <w:numPr>
          <w:ilvl w:val="0"/>
          <w:numId w:val="17"/>
        </w:numPr>
        <w:tabs>
          <w:tab w:val="right" w:pos="9072"/>
        </w:tabs>
        <w:spacing w:after="240"/>
        <w:ind w:left="714" w:hanging="357"/>
        <w:contextualSpacing w:val="0"/>
        <w:rPr>
          <w:rFonts w:ascii="Times New Roman" w:hAnsi="Times New Roman" w:cs="Times New Roman"/>
          <w:sz w:val="24"/>
        </w:rPr>
      </w:pPr>
      <w:proofErr w:type="gramStart"/>
      <w:r w:rsidRPr="005D4F88">
        <w:rPr>
          <w:rFonts w:ascii="Times New Roman" w:hAnsi="Times New Roman" w:cs="Times New Roman"/>
          <w:sz w:val="24"/>
        </w:rPr>
        <w:t>a</w:t>
      </w:r>
      <w:proofErr w:type="gramEnd"/>
      <w:r w:rsidRPr="005D4F88">
        <w:rPr>
          <w:rFonts w:ascii="Times New Roman" w:hAnsi="Times New Roman" w:cs="Times New Roman"/>
          <w:sz w:val="24"/>
        </w:rPr>
        <w:t xml:space="preserve"> requirement for a person to meet a means test, composed of an asset</w:t>
      </w:r>
      <w:r w:rsidR="00636729">
        <w:rPr>
          <w:rFonts w:ascii="Times New Roman" w:hAnsi="Times New Roman" w:cs="Times New Roman"/>
          <w:sz w:val="24"/>
        </w:rPr>
        <w:t>s</w:t>
      </w:r>
      <w:r w:rsidRPr="005D4F88">
        <w:rPr>
          <w:rFonts w:ascii="Times New Roman" w:hAnsi="Times New Roman" w:cs="Times New Roman"/>
          <w:sz w:val="24"/>
        </w:rPr>
        <w:t xml:space="preserve"> and income test, to qualify for payment. The means test restricts payment to those individuals who lack sufficient means to support themselves and ensures FHA is paid at a rate that provides equitable treatment of people in like circumstances</w:t>
      </w:r>
    </w:p>
    <w:p w:rsidR="005D4F88" w:rsidRPr="005D4F88" w:rsidRDefault="005D4F88" w:rsidP="005D4F88">
      <w:pPr>
        <w:pStyle w:val="ListParagraph"/>
        <w:numPr>
          <w:ilvl w:val="0"/>
          <w:numId w:val="17"/>
        </w:numPr>
        <w:tabs>
          <w:tab w:val="right" w:pos="9072"/>
        </w:tabs>
        <w:spacing w:after="240"/>
        <w:ind w:left="714" w:hanging="357"/>
        <w:contextualSpacing w:val="0"/>
        <w:rPr>
          <w:rFonts w:ascii="Times New Roman" w:hAnsi="Times New Roman" w:cs="Times New Roman"/>
          <w:sz w:val="24"/>
        </w:rPr>
      </w:pPr>
      <w:r w:rsidRPr="005D4F88">
        <w:rPr>
          <w:rFonts w:ascii="Times New Roman" w:hAnsi="Times New Roman" w:cs="Times New Roman"/>
          <w:sz w:val="24"/>
        </w:rPr>
        <w:t>an assets test that is higher than mainstream asset limits in recognition that farm assets are relatively illiquid compared with other types of business assets and therefore cannot readily be drawn on for self-support</w:t>
      </w:r>
    </w:p>
    <w:p w:rsidR="005D4F88" w:rsidRPr="005D4F88" w:rsidRDefault="005D4F88" w:rsidP="005D4F88">
      <w:pPr>
        <w:pStyle w:val="ListParagraph"/>
        <w:numPr>
          <w:ilvl w:val="0"/>
          <w:numId w:val="17"/>
        </w:numPr>
        <w:tabs>
          <w:tab w:val="right" w:pos="9072"/>
        </w:tabs>
        <w:spacing w:after="240"/>
        <w:ind w:left="714" w:hanging="357"/>
        <w:contextualSpacing w:val="0"/>
        <w:rPr>
          <w:rFonts w:ascii="Times New Roman" w:hAnsi="Times New Roman" w:cs="Times New Roman"/>
          <w:sz w:val="24"/>
        </w:rPr>
      </w:pPr>
      <w:proofErr w:type="gramStart"/>
      <w:r w:rsidRPr="005D4F88">
        <w:rPr>
          <w:rFonts w:ascii="Times New Roman" w:hAnsi="Times New Roman" w:cs="Times New Roman"/>
          <w:sz w:val="24"/>
        </w:rPr>
        <w:t>a</w:t>
      </w:r>
      <w:proofErr w:type="gramEnd"/>
      <w:r w:rsidRPr="005D4F88">
        <w:rPr>
          <w:rFonts w:ascii="Times New Roman" w:hAnsi="Times New Roman" w:cs="Times New Roman"/>
          <w:sz w:val="24"/>
        </w:rPr>
        <w:t xml:space="preserve"> requirement for a person to enter into, and comply with, a financial improvement agreement to qualify for payment. The agreement requires the person to undertake approved activities such as education, training or off-farm employment, designed to improve their capacity for self-reliance and takes into account the special circumstances of farmers and their partners </w:t>
      </w:r>
    </w:p>
    <w:p w:rsidR="005D4F88" w:rsidRPr="005D4F88" w:rsidRDefault="005D4F88" w:rsidP="005D4F88">
      <w:pPr>
        <w:pStyle w:val="ListParagraph"/>
        <w:numPr>
          <w:ilvl w:val="0"/>
          <w:numId w:val="17"/>
        </w:numPr>
        <w:tabs>
          <w:tab w:val="right" w:pos="9072"/>
        </w:tabs>
        <w:spacing w:after="240"/>
        <w:ind w:left="714" w:hanging="357"/>
        <w:contextualSpacing w:val="0"/>
        <w:rPr>
          <w:rFonts w:ascii="Times New Roman" w:hAnsi="Times New Roman" w:cs="Times New Roman"/>
          <w:sz w:val="24"/>
        </w:rPr>
      </w:pPr>
      <w:proofErr w:type="gramStart"/>
      <w:r w:rsidRPr="005D4F88">
        <w:rPr>
          <w:rFonts w:ascii="Times New Roman" w:hAnsi="Times New Roman" w:cs="Times New Roman"/>
          <w:sz w:val="24"/>
        </w:rPr>
        <w:t>a</w:t>
      </w:r>
      <w:proofErr w:type="gramEnd"/>
      <w:r w:rsidRPr="005D4F88">
        <w:rPr>
          <w:rFonts w:ascii="Times New Roman" w:hAnsi="Times New Roman" w:cs="Times New Roman"/>
          <w:sz w:val="24"/>
        </w:rPr>
        <w:t xml:space="preserve"> requirement for a person to have a farm financial assessment conducted. The purpose of the farm financial assessment is to evaluate options to improve the person’s financial situation and inform the development of the financial improvement agreement</w:t>
      </w:r>
    </w:p>
    <w:p w:rsidR="005D4F88" w:rsidRPr="005D4F88" w:rsidRDefault="005D4F88" w:rsidP="005D4F88">
      <w:pPr>
        <w:pStyle w:val="ListParagraph"/>
        <w:numPr>
          <w:ilvl w:val="0"/>
          <w:numId w:val="17"/>
        </w:numPr>
        <w:tabs>
          <w:tab w:val="right" w:pos="9072"/>
        </w:tabs>
        <w:spacing w:after="240"/>
        <w:ind w:left="714" w:hanging="357"/>
        <w:contextualSpacing w:val="0"/>
        <w:rPr>
          <w:rFonts w:ascii="Times New Roman" w:hAnsi="Times New Roman" w:cs="Times New Roman"/>
          <w:sz w:val="24"/>
        </w:rPr>
      </w:pPr>
      <w:r w:rsidRPr="005D4F88">
        <w:rPr>
          <w:rFonts w:ascii="Times New Roman" w:hAnsi="Times New Roman" w:cs="Times New Roman"/>
          <w:sz w:val="24"/>
        </w:rPr>
        <w:t xml:space="preserve">a farm financial assessment supplement and an activity supplement for the purpose of partially or wholly funding the farm financial assessment and compulsory activities, respectively </w:t>
      </w:r>
    </w:p>
    <w:p w:rsidR="005D4F88" w:rsidRPr="005D4F88" w:rsidRDefault="005D4F88" w:rsidP="005D4F88">
      <w:pPr>
        <w:pStyle w:val="ListParagraph"/>
        <w:numPr>
          <w:ilvl w:val="0"/>
          <w:numId w:val="17"/>
        </w:numPr>
        <w:tabs>
          <w:tab w:val="right" w:pos="9072"/>
        </w:tabs>
        <w:spacing w:after="240"/>
        <w:ind w:left="714" w:hanging="357"/>
        <w:contextualSpacing w:val="0"/>
        <w:rPr>
          <w:rFonts w:ascii="Times New Roman" w:hAnsi="Times New Roman" w:cs="Times New Roman"/>
          <w:sz w:val="24"/>
        </w:rPr>
      </w:pPr>
      <w:r w:rsidRPr="005D4F88">
        <w:rPr>
          <w:rFonts w:ascii="Times New Roman" w:hAnsi="Times New Roman" w:cs="Times New Roman"/>
          <w:sz w:val="24"/>
        </w:rPr>
        <w:t>ancillary benefits such as a health care card, telephone allowance, remote area allowance, clean energy supplement, pharmaceutical allowance and rent assistance, subject to a recipient meeting certain requirements</w:t>
      </w:r>
    </w:p>
    <w:p w:rsidR="005D4F88" w:rsidRPr="005D4F88" w:rsidRDefault="005D4F88" w:rsidP="005D4F88">
      <w:pPr>
        <w:pStyle w:val="ListParagraph"/>
        <w:numPr>
          <w:ilvl w:val="0"/>
          <w:numId w:val="17"/>
        </w:numPr>
        <w:tabs>
          <w:tab w:val="right" w:pos="9072"/>
        </w:tabs>
        <w:spacing w:after="240"/>
        <w:ind w:left="714" w:hanging="357"/>
        <w:contextualSpacing w:val="0"/>
        <w:rPr>
          <w:rFonts w:ascii="Times New Roman" w:hAnsi="Times New Roman" w:cs="Times New Roman"/>
          <w:sz w:val="24"/>
        </w:rPr>
      </w:pPr>
      <w:proofErr w:type="gramStart"/>
      <w:r w:rsidRPr="005D4F88">
        <w:rPr>
          <w:rFonts w:ascii="Times New Roman" w:hAnsi="Times New Roman" w:cs="Times New Roman"/>
          <w:sz w:val="24"/>
        </w:rPr>
        <w:t>an</w:t>
      </w:r>
      <w:proofErr w:type="gramEnd"/>
      <w:r w:rsidRPr="005D4F88">
        <w:rPr>
          <w:rFonts w:ascii="Times New Roman" w:hAnsi="Times New Roman" w:cs="Times New Roman"/>
          <w:sz w:val="24"/>
        </w:rPr>
        <w:t xml:space="preserve"> income support payment for farmers and their partners that aligns with social security law </w:t>
      </w:r>
      <w:r w:rsidRPr="00E756E3">
        <w:rPr>
          <w:rFonts w:ascii="Times New Roman" w:hAnsi="Times New Roman" w:cs="Times New Roman"/>
          <w:sz w:val="24"/>
        </w:rPr>
        <w:t>(</w:t>
      </w:r>
      <w:r>
        <w:rPr>
          <w:rFonts w:ascii="Times New Roman" w:hAnsi="Times New Roman" w:cs="Times New Roman"/>
          <w:sz w:val="24"/>
        </w:rPr>
        <w:t xml:space="preserve">that is, </w:t>
      </w:r>
      <w:r w:rsidRPr="00E756E3">
        <w:rPr>
          <w:rFonts w:ascii="Times New Roman" w:hAnsi="Times New Roman" w:cs="Times New Roman"/>
          <w:sz w:val="24"/>
        </w:rPr>
        <w:t xml:space="preserve">the </w:t>
      </w:r>
      <w:r w:rsidRPr="002E2CFA">
        <w:rPr>
          <w:rFonts w:ascii="Times New Roman" w:hAnsi="Times New Roman" w:cs="Times New Roman"/>
          <w:i/>
          <w:sz w:val="24"/>
        </w:rPr>
        <w:t>Social Security Act 1991</w:t>
      </w:r>
      <w:r w:rsidRPr="00E756E3">
        <w:rPr>
          <w:rFonts w:ascii="Times New Roman" w:hAnsi="Times New Roman" w:cs="Times New Roman"/>
          <w:sz w:val="24"/>
        </w:rPr>
        <w:t xml:space="preserve"> and the </w:t>
      </w:r>
      <w:r w:rsidRPr="002E2CFA">
        <w:rPr>
          <w:rFonts w:ascii="Times New Roman" w:hAnsi="Times New Roman" w:cs="Times New Roman"/>
          <w:i/>
          <w:sz w:val="24"/>
        </w:rPr>
        <w:t>Social Security (Administration) Act 1999</w:t>
      </w:r>
      <w:r w:rsidRPr="00E756E3">
        <w:rPr>
          <w:rFonts w:ascii="Times New Roman" w:hAnsi="Times New Roman" w:cs="Times New Roman"/>
          <w:sz w:val="24"/>
        </w:rPr>
        <w:t>)</w:t>
      </w:r>
      <w:r>
        <w:rPr>
          <w:rFonts w:ascii="Times New Roman" w:hAnsi="Times New Roman" w:cs="Times New Roman"/>
          <w:sz w:val="24"/>
        </w:rPr>
        <w:t xml:space="preserve"> </w:t>
      </w:r>
      <w:r w:rsidRPr="005D4F88">
        <w:rPr>
          <w:rFonts w:ascii="Times New Roman" w:hAnsi="Times New Roman" w:cs="Times New Roman"/>
          <w:sz w:val="24"/>
        </w:rPr>
        <w:t xml:space="preserve">where possible. This approach ensures recipients are </w:t>
      </w:r>
      <w:r w:rsidRPr="005D4F88">
        <w:rPr>
          <w:rFonts w:ascii="Times New Roman" w:hAnsi="Times New Roman" w:cs="Times New Roman"/>
          <w:sz w:val="24"/>
        </w:rPr>
        <w:lastRenderedPageBreak/>
        <w:t>treated equitably and have access to the same benefits and services as mainstream income support recipients.</w:t>
      </w:r>
    </w:p>
    <w:p w:rsidR="005D4F88" w:rsidRDefault="002E4CC1" w:rsidP="00B3331C">
      <w:pPr>
        <w:tabs>
          <w:tab w:val="right" w:pos="9072"/>
        </w:tabs>
        <w:rPr>
          <w:rFonts w:ascii="Times New Roman" w:hAnsi="Times New Roman" w:cs="Times New Roman"/>
          <w:sz w:val="24"/>
        </w:rPr>
      </w:pPr>
      <w:r>
        <w:rPr>
          <w:rFonts w:ascii="Times New Roman" w:hAnsi="Times New Roman" w:cs="Times New Roman"/>
          <w:sz w:val="24"/>
        </w:rPr>
        <w:t xml:space="preserve">The </w:t>
      </w:r>
      <w:r w:rsidR="00DF141C" w:rsidRPr="009003A9">
        <w:rPr>
          <w:rFonts w:ascii="Times New Roman" w:hAnsi="Times New Roman" w:cs="Times New Roman"/>
          <w:i/>
          <w:snapToGrid w:val="0"/>
          <w:sz w:val="24"/>
        </w:rPr>
        <w:t xml:space="preserve">Farm Household </w:t>
      </w:r>
      <w:r w:rsidR="00B0722D">
        <w:rPr>
          <w:rFonts w:ascii="Times New Roman" w:hAnsi="Times New Roman" w:cs="Times New Roman"/>
          <w:i/>
          <w:snapToGrid w:val="0"/>
          <w:sz w:val="24"/>
        </w:rPr>
        <w:t xml:space="preserve">Support Minister's </w:t>
      </w:r>
      <w:r w:rsidR="00DF141C" w:rsidRPr="00DF7ACE">
        <w:rPr>
          <w:rFonts w:ascii="Times New Roman" w:hAnsi="Times New Roman" w:cs="Times New Roman"/>
          <w:i/>
          <w:sz w:val="24"/>
        </w:rPr>
        <w:t>Rule 2014</w:t>
      </w:r>
      <w:r w:rsidR="00DF141C">
        <w:rPr>
          <w:rFonts w:ascii="Times New Roman" w:hAnsi="Times New Roman" w:cs="Times New Roman"/>
          <w:i/>
          <w:sz w:val="24"/>
        </w:rPr>
        <w:t xml:space="preserve"> </w:t>
      </w:r>
      <w:r w:rsidR="00DF141C">
        <w:rPr>
          <w:rFonts w:ascii="Times New Roman" w:hAnsi="Times New Roman" w:cs="Times New Roman"/>
          <w:sz w:val="24"/>
        </w:rPr>
        <w:t>(</w:t>
      </w:r>
      <w:r w:rsidR="00781078">
        <w:rPr>
          <w:rFonts w:ascii="Times New Roman" w:hAnsi="Times New Roman" w:cs="Times New Roman"/>
          <w:sz w:val="24"/>
        </w:rPr>
        <w:t>t</w:t>
      </w:r>
      <w:r w:rsidR="00DF141C">
        <w:rPr>
          <w:rFonts w:ascii="Times New Roman" w:hAnsi="Times New Roman" w:cs="Times New Roman"/>
          <w:sz w:val="24"/>
        </w:rPr>
        <w:t xml:space="preserve">he </w:t>
      </w:r>
      <w:r w:rsidR="006D072E">
        <w:rPr>
          <w:rFonts w:ascii="Times New Roman" w:hAnsi="Times New Roman" w:cs="Times New Roman"/>
          <w:sz w:val="24"/>
        </w:rPr>
        <w:t>r</w:t>
      </w:r>
      <w:r w:rsidR="00DF141C">
        <w:rPr>
          <w:rFonts w:ascii="Times New Roman" w:hAnsi="Times New Roman" w:cs="Times New Roman"/>
          <w:sz w:val="24"/>
        </w:rPr>
        <w:t>ule) prescribe</w:t>
      </w:r>
      <w:r w:rsidR="00781078">
        <w:rPr>
          <w:rFonts w:ascii="Times New Roman" w:hAnsi="Times New Roman" w:cs="Times New Roman"/>
          <w:sz w:val="24"/>
        </w:rPr>
        <w:t>s</w:t>
      </w:r>
      <w:r w:rsidR="00DF141C">
        <w:rPr>
          <w:rFonts w:ascii="Times New Roman" w:hAnsi="Times New Roman" w:cs="Times New Roman"/>
          <w:sz w:val="24"/>
        </w:rPr>
        <w:t>:</w:t>
      </w:r>
    </w:p>
    <w:p w:rsidR="00DF141C" w:rsidRDefault="00DF141C" w:rsidP="00B3331C">
      <w:pPr>
        <w:tabs>
          <w:tab w:val="right" w:pos="9072"/>
        </w:tabs>
        <w:rPr>
          <w:rFonts w:ascii="Times New Roman" w:hAnsi="Times New Roman" w:cs="Times New Roman"/>
          <w:sz w:val="24"/>
        </w:rPr>
      </w:pPr>
    </w:p>
    <w:p w:rsidR="002B1DB3" w:rsidRDefault="00B0722D" w:rsidP="00781078">
      <w:pPr>
        <w:pStyle w:val="ListParagraph"/>
        <w:numPr>
          <w:ilvl w:val="0"/>
          <w:numId w:val="17"/>
        </w:numPr>
        <w:tabs>
          <w:tab w:val="right" w:pos="9072"/>
        </w:tabs>
        <w:spacing w:after="240"/>
        <w:ind w:left="714" w:hanging="357"/>
        <w:contextualSpacing w:val="0"/>
        <w:rPr>
          <w:rFonts w:ascii="Times New Roman" w:hAnsi="Times New Roman" w:cs="Times New Roman"/>
          <w:sz w:val="24"/>
        </w:rPr>
      </w:pPr>
      <w:r w:rsidRPr="00B0722D">
        <w:rPr>
          <w:rFonts w:ascii="Times New Roman" w:hAnsi="Times New Roman" w:cs="Times New Roman"/>
          <w:sz w:val="24"/>
        </w:rPr>
        <w:t xml:space="preserve">the meaning of </w:t>
      </w:r>
      <w:r>
        <w:rPr>
          <w:rFonts w:ascii="Times New Roman" w:hAnsi="Times New Roman" w:cs="Times New Roman"/>
          <w:sz w:val="24"/>
        </w:rPr>
        <w:t>‘</w:t>
      </w:r>
      <w:r w:rsidRPr="00B0722D">
        <w:rPr>
          <w:rFonts w:ascii="Times New Roman" w:hAnsi="Times New Roman" w:cs="Times New Roman"/>
          <w:sz w:val="24"/>
        </w:rPr>
        <w:t>prescribed adviser</w:t>
      </w:r>
      <w:r>
        <w:rPr>
          <w:rFonts w:ascii="Times New Roman" w:hAnsi="Times New Roman" w:cs="Times New Roman"/>
          <w:sz w:val="24"/>
        </w:rPr>
        <w:t>’ in the FHSA</w:t>
      </w:r>
    </w:p>
    <w:p w:rsidR="00B0722D" w:rsidRDefault="00B0722D" w:rsidP="00781078">
      <w:pPr>
        <w:pStyle w:val="ListParagraph"/>
        <w:numPr>
          <w:ilvl w:val="0"/>
          <w:numId w:val="17"/>
        </w:numPr>
        <w:tabs>
          <w:tab w:val="right" w:pos="9072"/>
        </w:tabs>
        <w:spacing w:after="240"/>
        <w:ind w:left="714" w:hanging="357"/>
        <w:contextualSpacing w:val="0"/>
        <w:rPr>
          <w:rFonts w:ascii="Times New Roman" w:hAnsi="Times New Roman" w:cs="Times New Roman"/>
          <w:sz w:val="24"/>
        </w:rPr>
      </w:pPr>
      <w:r w:rsidRPr="00B0722D">
        <w:rPr>
          <w:rFonts w:ascii="Times New Roman" w:hAnsi="Times New Roman" w:cs="Times New Roman"/>
          <w:sz w:val="24"/>
        </w:rPr>
        <w:t>allowable deductions from ordinary income and off-farm income</w:t>
      </w:r>
    </w:p>
    <w:p w:rsidR="00B0722D" w:rsidRDefault="00B0722D" w:rsidP="00781078">
      <w:pPr>
        <w:pStyle w:val="ListParagraph"/>
        <w:numPr>
          <w:ilvl w:val="0"/>
          <w:numId w:val="17"/>
        </w:numPr>
        <w:tabs>
          <w:tab w:val="right" w:pos="9072"/>
        </w:tabs>
        <w:spacing w:after="240"/>
        <w:ind w:left="714" w:hanging="357"/>
        <w:contextualSpacing w:val="0"/>
        <w:rPr>
          <w:rFonts w:ascii="Times New Roman" w:hAnsi="Times New Roman" w:cs="Times New Roman"/>
          <w:sz w:val="24"/>
        </w:rPr>
      </w:pPr>
      <w:proofErr w:type="gramStart"/>
      <w:r w:rsidRPr="00B0722D">
        <w:rPr>
          <w:rFonts w:ascii="Times New Roman" w:hAnsi="Times New Roman" w:cs="Times New Roman"/>
          <w:sz w:val="24"/>
        </w:rPr>
        <w:t>the</w:t>
      </w:r>
      <w:proofErr w:type="gramEnd"/>
      <w:r w:rsidRPr="00B0722D">
        <w:rPr>
          <w:rFonts w:ascii="Times New Roman" w:hAnsi="Times New Roman" w:cs="Times New Roman"/>
          <w:sz w:val="24"/>
        </w:rPr>
        <w:t xml:space="preserve"> maximum amount of two supplements payable along with FHA: activity supplement and farm financial assessment supplement</w:t>
      </w:r>
      <w:r>
        <w:rPr>
          <w:rFonts w:ascii="Times New Roman" w:hAnsi="Times New Roman" w:cs="Times New Roman"/>
          <w:sz w:val="24"/>
        </w:rPr>
        <w:t>.</w:t>
      </w:r>
    </w:p>
    <w:p w:rsidR="0034712E" w:rsidRPr="0034712E" w:rsidRDefault="0034712E" w:rsidP="00B3331C">
      <w:pPr>
        <w:tabs>
          <w:tab w:val="left" w:pos="1701"/>
          <w:tab w:val="right" w:pos="9072"/>
        </w:tabs>
        <w:rPr>
          <w:rFonts w:ascii="Times New Roman" w:hAnsi="Times New Roman" w:cs="Times New Roman"/>
          <w:sz w:val="24"/>
        </w:rPr>
      </w:pPr>
      <w:r>
        <w:rPr>
          <w:rFonts w:ascii="Times New Roman" w:hAnsi="Times New Roman" w:cs="Times New Roman"/>
          <w:sz w:val="24"/>
        </w:rPr>
        <w:t xml:space="preserve">Details of the </w:t>
      </w:r>
      <w:r w:rsidR="006D072E">
        <w:rPr>
          <w:rFonts w:ascii="Times New Roman" w:hAnsi="Times New Roman" w:cs="Times New Roman"/>
          <w:sz w:val="24"/>
        </w:rPr>
        <w:t>r</w:t>
      </w:r>
      <w:r>
        <w:rPr>
          <w:rFonts w:ascii="Times New Roman" w:hAnsi="Times New Roman" w:cs="Times New Roman"/>
          <w:sz w:val="24"/>
        </w:rPr>
        <w:t xml:space="preserve">ule are set out in the </w:t>
      </w:r>
      <w:r w:rsidRPr="0034712E">
        <w:rPr>
          <w:rFonts w:ascii="Times New Roman" w:hAnsi="Times New Roman" w:cs="Times New Roman"/>
          <w:sz w:val="24"/>
          <w:u w:val="single"/>
        </w:rPr>
        <w:t>A</w:t>
      </w:r>
      <w:r>
        <w:rPr>
          <w:rFonts w:ascii="Times New Roman" w:hAnsi="Times New Roman" w:cs="Times New Roman"/>
          <w:sz w:val="24"/>
          <w:u w:val="single"/>
        </w:rPr>
        <w:t>t</w:t>
      </w:r>
      <w:r w:rsidRPr="0034712E">
        <w:rPr>
          <w:rFonts w:ascii="Times New Roman" w:hAnsi="Times New Roman" w:cs="Times New Roman"/>
          <w:sz w:val="24"/>
          <w:u w:val="single"/>
        </w:rPr>
        <w:t>tachment</w:t>
      </w:r>
      <w:r w:rsidR="00F06ACF">
        <w:rPr>
          <w:rFonts w:ascii="Times New Roman" w:hAnsi="Times New Roman" w:cs="Times New Roman"/>
          <w:sz w:val="24"/>
          <w:u w:val="single"/>
        </w:rPr>
        <w:t xml:space="preserve"> A</w:t>
      </w:r>
      <w:r>
        <w:rPr>
          <w:rFonts w:ascii="Times New Roman" w:hAnsi="Times New Roman" w:cs="Times New Roman"/>
          <w:sz w:val="24"/>
        </w:rPr>
        <w:t>.</w:t>
      </w:r>
    </w:p>
    <w:p w:rsidR="0034712E" w:rsidRDefault="0034712E" w:rsidP="00B3331C">
      <w:pPr>
        <w:tabs>
          <w:tab w:val="left" w:pos="1701"/>
          <w:tab w:val="right" w:pos="9072"/>
        </w:tabs>
        <w:rPr>
          <w:rFonts w:ascii="Times New Roman" w:hAnsi="Times New Roman" w:cs="Times New Roman"/>
          <w:b/>
          <w:sz w:val="24"/>
        </w:rPr>
      </w:pPr>
    </w:p>
    <w:p w:rsidR="0034712E" w:rsidRDefault="0034712E" w:rsidP="00B3331C">
      <w:pPr>
        <w:tabs>
          <w:tab w:val="left" w:pos="1701"/>
          <w:tab w:val="right" w:pos="9072"/>
        </w:tabs>
        <w:rPr>
          <w:rFonts w:ascii="Times New Roman" w:hAnsi="Times New Roman" w:cs="Times New Roman"/>
          <w:sz w:val="24"/>
        </w:rPr>
      </w:pPr>
      <w:r>
        <w:rPr>
          <w:rFonts w:ascii="Times New Roman" w:hAnsi="Times New Roman" w:cs="Times New Roman"/>
          <w:sz w:val="24"/>
        </w:rPr>
        <w:t xml:space="preserve">The </w:t>
      </w:r>
      <w:r w:rsidR="006D072E">
        <w:rPr>
          <w:rFonts w:ascii="Times New Roman" w:hAnsi="Times New Roman" w:cs="Times New Roman"/>
          <w:sz w:val="24"/>
        </w:rPr>
        <w:t>r</w:t>
      </w:r>
      <w:r>
        <w:rPr>
          <w:rFonts w:ascii="Times New Roman" w:hAnsi="Times New Roman" w:cs="Times New Roman"/>
          <w:sz w:val="24"/>
        </w:rPr>
        <w:t xml:space="preserve">ule commences on the commencement of section 3 of the FHSA, being </w:t>
      </w:r>
      <w:r w:rsidRPr="00B7294E">
        <w:rPr>
          <w:rFonts w:ascii="Times New Roman" w:hAnsi="Times New Roman" w:cs="Times New Roman"/>
          <w:sz w:val="24"/>
        </w:rPr>
        <w:t>1 July 2014</w:t>
      </w:r>
      <w:r>
        <w:rPr>
          <w:rFonts w:ascii="Times New Roman" w:hAnsi="Times New Roman" w:cs="Times New Roman"/>
          <w:sz w:val="24"/>
        </w:rPr>
        <w:t>.</w:t>
      </w:r>
      <w:r w:rsidR="00B7294E">
        <w:rPr>
          <w:rFonts w:ascii="Times New Roman" w:hAnsi="Times New Roman" w:cs="Times New Roman"/>
          <w:sz w:val="24"/>
        </w:rPr>
        <w:t xml:space="preserve"> </w:t>
      </w:r>
    </w:p>
    <w:p w:rsidR="00395E54" w:rsidRPr="0031429D" w:rsidRDefault="00395E54" w:rsidP="00B3331C">
      <w:pPr>
        <w:tabs>
          <w:tab w:val="left" w:pos="1701"/>
          <w:tab w:val="right" w:pos="9072"/>
        </w:tabs>
        <w:rPr>
          <w:rFonts w:ascii="Times New Roman" w:hAnsi="Times New Roman" w:cs="Times New Roman"/>
          <w:sz w:val="24"/>
        </w:rPr>
      </w:pPr>
    </w:p>
    <w:p w:rsidR="0034712E" w:rsidRPr="0034712E" w:rsidRDefault="0034712E" w:rsidP="0034712E">
      <w:pPr>
        <w:tabs>
          <w:tab w:val="left" w:pos="1701"/>
          <w:tab w:val="right" w:pos="9072"/>
        </w:tabs>
        <w:rPr>
          <w:rFonts w:ascii="Times New Roman" w:hAnsi="Times New Roman" w:cs="Times New Roman"/>
          <w:sz w:val="24"/>
        </w:rPr>
      </w:pPr>
      <w:r w:rsidRPr="0034712E">
        <w:rPr>
          <w:rFonts w:ascii="Times New Roman" w:hAnsi="Times New Roman" w:cs="Times New Roman"/>
          <w:sz w:val="24"/>
        </w:rPr>
        <w:t>The Department of Agriculture consulted industry stakeholders and Australian Government agencies in develop</w:t>
      </w:r>
      <w:r w:rsidR="006D072E">
        <w:rPr>
          <w:rFonts w:ascii="Times New Roman" w:hAnsi="Times New Roman" w:cs="Times New Roman"/>
          <w:sz w:val="24"/>
        </w:rPr>
        <w:t xml:space="preserve">ing the policy supporting FHA. </w:t>
      </w:r>
      <w:r w:rsidRPr="0034712E">
        <w:rPr>
          <w:rFonts w:ascii="Times New Roman" w:hAnsi="Times New Roman" w:cs="Times New Roman"/>
          <w:sz w:val="24"/>
        </w:rPr>
        <w:t>Following the 2008-09 national review of drought policy, in 2010 the Australian Government, in partnership with the Western</w:t>
      </w:r>
      <w:r w:rsidR="00395E54" w:rsidRPr="00B7294E">
        <w:rPr>
          <w:rFonts w:ascii="Times New Roman" w:hAnsi="Times New Roman" w:cs="Times New Roman"/>
          <w:sz w:val="24"/>
        </w:rPr>
        <w:t> </w:t>
      </w:r>
      <w:r w:rsidRPr="0034712E">
        <w:rPr>
          <w:rFonts w:ascii="Times New Roman" w:hAnsi="Times New Roman" w:cs="Times New Roman"/>
          <w:sz w:val="24"/>
        </w:rPr>
        <w:t>Australian government, conducted a two year pilot of drought reform measures in</w:t>
      </w:r>
      <w:r w:rsidR="006D072E">
        <w:rPr>
          <w:rFonts w:ascii="Times New Roman" w:hAnsi="Times New Roman" w:cs="Times New Roman"/>
          <w:sz w:val="24"/>
        </w:rPr>
        <w:t xml:space="preserve"> </w:t>
      </w:r>
      <w:r w:rsidR="00636729">
        <w:rPr>
          <w:rFonts w:ascii="Times New Roman" w:hAnsi="Times New Roman" w:cs="Times New Roman"/>
          <w:sz w:val="24"/>
        </w:rPr>
        <w:t>regions</w:t>
      </w:r>
      <w:r w:rsidR="006D072E">
        <w:rPr>
          <w:rFonts w:ascii="Times New Roman" w:hAnsi="Times New Roman" w:cs="Times New Roman"/>
          <w:sz w:val="24"/>
        </w:rPr>
        <w:t xml:space="preserve"> of Western Australia. </w:t>
      </w:r>
      <w:r w:rsidRPr="0034712E">
        <w:rPr>
          <w:rFonts w:ascii="Times New Roman" w:hAnsi="Times New Roman" w:cs="Times New Roman"/>
          <w:sz w:val="24"/>
        </w:rPr>
        <w:t>The pilot was reviewed in 2011 by an independent panel, which reported strong support for an income support payment for farm families in hardship that is based on demonstrated individual need r</w:t>
      </w:r>
      <w:r w:rsidR="006D072E">
        <w:rPr>
          <w:rFonts w:ascii="Times New Roman" w:hAnsi="Times New Roman" w:cs="Times New Roman"/>
          <w:sz w:val="24"/>
        </w:rPr>
        <w:t xml:space="preserve">ather than a climatic trigger. </w:t>
      </w:r>
      <w:r w:rsidRPr="0034712E">
        <w:rPr>
          <w:rFonts w:ascii="Times New Roman" w:hAnsi="Times New Roman" w:cs="Times New Roman"/>
          <w:sz w:val="24"/>
        </w:rPr>
        <w:t>FHA was developed in response to the national review of drought policy and the Western Australian pilot revi</w:t>
      </w:r>
      <w:r w:rsidR="006D072E">
        <w:rPr>
          <w:rFonts w:ascii="Times New Roman" w:hAnsi="Times New Roman" w:cs="Times New Roman"/>
          <w:sz w:val="24"/>
        </w:rPr>
        <w:t xml:space="preserve">ew. </w:t>
      </w:r>
      <w:r w:rsidRPr="0034712E">
        <w:rPr>
          <w:rFonts w:ascii="Times New Roman" w:hAnsi="Times New Roman" w:cs="Times New Roman"/>
          <w:sz w:val="24"/>
        </w:rPr>
        <w:t>The major policy settings for FHA have been developed with significant input from the central and social policy agencies of the Australian Government, and in consultation with industry peak bodies, including the National Farmers’ Federation, and state/territory government agriculture departments.</w:t>
      </w:r>
    </w:p>
    <w:p w:rsidR="0034712E" w:rsidRPr="0034712E" w:rsidRDefault="0034712E" w:rsidP="0034712E">
      <w:pPr>
        <w:tabs>
          <w:tab w:val="left" w:pos="1701"/>
          <w:tab w:val="right" w:pos="9072"/>
        </w:tabs>
        <w:rPr>
          <w:rFonts w:ascii="Times New Roman" w:hAnsi="Times New Roman" w:cs="Times New Roman"/>
          <w:sz w:val="24"/>
        </w:rPr>
      </w:pPr>
    </w:p>
    <w:p w:rsidR="0034712E" w:rsidRPr="0034712E" w:rsidRDefault="0034712E" w:rsidP="0034712E">
      <w:pPr>
        <w:tabs>
          <w:tab w:val="left" w:pos="1701"/>
          <w:tab w:val="right" w:pos="9072"/>
        </w:tabs>
        <w:rPr>
          <w:rFonts w:ascii="Times New Roman" w:hAnsi="Times New Roman" w:cs="Times New Roman"/>
          <w:sz w:val="24"/>
        </w:rPr>
      </w:pPr>
      <w:r w:rsidRPr="0034712E">
        <w:rPr>
          <w:rFonts w:ascii="Times New Roman" w:hAnsi="Times New Roman" w:cs="Times New Roman"/>
          <w:sz w:val="24"/>
        </w:rPr>
        <w:t xml:space="preserve">The Office of Best Practice Regulation (OBPR) was consulted and considers that the </w:t>
      </w:r>
      <w:r w:rsidR="008B56DA">
        <w:rPr>
          <w:rFonts w:ascii="Times New Roman" w:hAnsi="Times New Roman" w:cs="Times New Roman"/>
          <w:sz w:val="24"/>
        </w:rPr>
        <w:t>r</w:t>
      </w:r>
      <w:r>
        <w:rPr>
          <w:rFonts w:ascii="Times New Roman" w:hAnsi="Times New Roman" w:cs="Times New Roman"/>
          <w:sz w:val="24"/>
        </w:rPr>
        <w:t xml:space="preserve">ule </w:t>
      </w:r>
      <w:r w:rsidRPr="0034712E">
        <w:rPr>
          <w:rFonts w:ascii="Times New Roman" w:hAnsi="Times New Roman" w:cs="Times New Roman"/>
          <w:sz w:val="24"/>
        </w:rPr>
        <w:t>has minor impacts and therefore a Regulation Impact Statement is not required (OBPR Reference Number: 16411).</w:t>
      </w:r>
    </w:p>
    <w:p w:rsidR="0034712E" w:rsidRPr="0034712E" w:rsidRDefault="0034712E" w:rsidP="0034712E">
      <w:pPr>
        <w:tabs>
          <w:tab w:val="left" w:pos="1701"/>
          <w:tab w:val="right" w:pos="9072"/>
        </w:tabs>
        <w:rPr>
          <w:rFonts w:ascii="Times New Roman" w:hAnsi="Times New Roman" w:cs="Times New Roman"/>
          <w:sz w:val="24"/>
        </w:rPr>
      </w:pPr>
    </w:p>
    <w:p w:rsidR="002B1DB3" w:rsidRPr="0031429D" w:rsidRDefault="0034712E" w:rsidP="0034712E">
      <w:pPr>
        <w:tabs>
          <w:tab w:val="left" w:pos="1701"/>
          <w:tab w:val="right" w:pos="9072"/>
        </w:tabs>
        <w:rPr>
          <w:rFonts w:ascii="Times New Roman" w:hAnsi="Times New Roman" w:cs="Times New Roman"/>
          <w:sz w:val="24"/>
        </w:rPr>
      </w:pPr>
      <w:r w:rsidRPr="0034712E">
        <w:rPr>
          <w:rFonts w:ascii="Times New Roman" w:hAnsi="Times New Roman" w:cs="Times New Roman"/>
          <w:sz w:val="24"/>
        </w:rPr>
        <w:t xml:space="preserve">The Office of Parliamentary Counsel (OPC) was consulted in the development of the </w:t>
      </w:r>
      <w:r w:rsidR="00CD6716">
        <w:rPr>
          <w:rFonts w:ascii="Times New Roman" w:hAnsi="Times New Roman" w:cs="Times New Roman"/>
          <w:sz w:val="24"/>
        </w:rPr>
        <w:t>r</w:t>
      </w:r>
      <w:r>
        <w:rPr>
          <w:rFonts w:ascii="Times New Roman" w:hAnsi="Times New Roman" w:cs="Times New Roman"/>
          <w:sz w:val="24"/>
        </w:rPr>
        <w:t>ule</w:t>
      </w:r>
      <w:r w:rsidRPr="0034712E">
        <w:rPr>
          <w:rFonts w:ascii="Times New Roman" w:hAnsi="Times New Roman" w:cs="Times New Roman"/>
          <w:sz w:val="24"/>
        </w:rPr>
        <w:t xml:space="preserve">. No other consultation was undertaken because the </w:t>
      </w:r>
      <w:r w:rsidR="00CD6716">
        <w:rPr>
          <w:rFonts w:ascii="Times New Roman" w:hAnsi="Times New Roman" w:cs="Times New Roman"/>
          <w:sz w:val="24"/>
        </w:rPr>
        <w:t>r</w:t>
      </w:r>
      <w:r>
        <w:rPr>
          <w:rFonts w:ascii="Times New Roman" w:hAnsi="Times New Roman" w:cs="Times New Roman"/>
          <w:sz w:val="24"/>
        </w:rPr>
        <w:t xml:space="preserve">ule </w:t>
      </w:r>
      <w:r w:rsidRPr="0034712E">
        <w:rPr>
          <w:rFonts w:ascii="Times New Roman" w:hAnsi="Times New Roman" w:cs="Times New Roman"/>
          <w:sz w:val="24"/>
        </w:rPr>
        <w:t xml:space="preserve">is of a minor or machinery nature and appropriate consultation was undertaken in relation to the </w:t>
      </w:r>
      <w:r>
        <w:rPr>
          <w:rFonts w:ascii="Times New Roman" w:hAnsi="Times New Roman" w:cs="Times New Roman"/>
          <w:sz w:val="24"/>
        </w:rPr>
        <w:t>major policy settings for FHA</w:t>
      </w:r>
      <w:r w:rsidRPr="0034712E">
        <w:rPr>
          <w:rFonts w:ascii="Times New Roman" w:hAnsi="Times New Roman" w:cs="Times New Roman"/>
          <w:sz w:val="24"/>
        </w:rPr>
        <w:t>.</w:t>
      </w:r>
    </w:p>
    <w:p w:rsidR="002B1DB3" w:rsidRPr="0031429D" w:rsidRDefault="002B1DB3" w:rsidP="00B3331C">
      <w:pPr>
        <w:tabs>
          <w:tab w:val="right" w:pos="9072"/>
        </w:tabs>
        <w:rPr>
          <w:rFonts w:ascii="Times New Roman" w:hAnsi="Times New Roman" w:cs="Times New Roman"/>
          <w:sz w:val="24"/>
        </w:rPr>
      </w:pPr>
    </w:p>
    <w:p w:rsidR="007D49E6" w:rsidRDefault="007D49E6" w:rsidP="007D49E6">
      <w:pPr>
        <w:rPr>
          <w:rFonts w:ascii="Times New Roman" w:hAnsi="Times New Roman"/>
          <w:sz w:val="24"/>
        </w:rPr>
      </w:pPr>
      <w:r>
        <w:rPr>
          <w:rFonts w:ascii="Times New Roman" w:hAnsi="Times New Roman"/>
          <w:sz w:val="24"/>
        </w:rPr>
        <w:t>Th</w:t>
      </w:r>
      <w:r w:rsidR="0036576A">
        <w:rPr>
          <w:rFonts w:ascii="Times New Roman" w:hAnsi="Times New Roman"/>
          <w:sz w:val="24"/>
        </w:rPr>
        <w:t xml:space="preserve">is rule </w:t>
      </w:r>
      <w:r>
        <w:rPr>
          <w:rFonts w:ascii="Times New Roman" w:hAnsi="Times New Roman"/>
          <w:sz w:val="24"/>
        </w:rPr>
        <w:t xml:space="preserve">is compatible with the human rights and freedoms recognised or declared under section 3 of the </w:t>
      </w:r>
      <w:r>
        <w:rPr>
          <w:rFonts w:ascii="Times New Roman" w:hAnsi="Times New Roman"/>
          <w:i/>
          <w:iCs/>
          <w:sz w:val="24"/>
        </w:rPr>
        <w:t>Human Rights (Parliamentary Scrutiny) Act 2011</w:t>
      </w:r>
      <w:r>
        <w:rPr>
          <w:rFonts w:ascii="Times New Roman" w:hAnsi="Times New Roman"/>
          <w:sz w:val="24"/>
        </w:rPr>
        <w:t xml:space="preserve">. A full statement of compatibility is set out in the </w:t>
      </w:r>
      <w:r>
        <w:rPr>
          <w:rFonts w:ascii="Times New Roman" w:hAnsi="Times New Roman"/>
          <w:sz w:val="24"/>
          <w:u w:val="single"/>
        </w:rPr>
        <w:t>Attachment B</w:t>
      </w:r>
      <w:r>
        <w:rPr>
          <w:rFonts w:ascii="Times New Roman" w:hAnsi="Times New Roman"/>
          <w:sz w:val="24"/>
        </w:rPr>
        <w:t xml:space="preserve">. </w:t>
      </w:r>
      <w:r>
        <w:rPr>
          <w:rStyle w:val="CommentReference"/>
        </w:rPr>
        <w:t> </w:t>
      </w:r>
    </w:p>
    <w:p w:rsidR="002B1DB3" w:rsidRDefault="002B1DB3" w:rsidP="00B3331C">
      <w:pPr>
        <w:rPr>
          <w:rFonts w:ascii="Times New Roman" w:hAnsi="Times New Roman" w:cs="Times New Roman"/>
          <w:sz w:val="24"/>
        </w:rPr>
      </w:pPr>
    </w:p>
    <w:p w:rsidR="005117FD" w:rsidRDefault="005117FD">
      <w:pPr>
        <w:rPr>
          <w:rFonts w:ascii="Times" w:eastAsia="Times New Roman" w:hAnsi="Times" w:cs="Times New Roman"/>
          <w:b/>
          <w:caps/>
          <w:color w:val="000000"/>
          <w:sz w:val="24"/>
          <w:szCs w:val="20"/>
          <w:u w:val="single"/>
        </w:rPr>
      </w:pPr>
      <w:r>
        <w:rPr>
          <w:rFonts w:ascii="Times" w:hAnsi="Times"/>
          <w:b/>
          <w:caps/>
          <w:u w:val="single"/>
        </w:rPr>
        <w:br w:type="page"/>
      </w:r>
    </w:p>
    <w:p w:rsidR="002B1DB3" w:rsidRPr="00116E1D" w:rsidRDefault="002B1DB3" w:rsidP="00B3331C">
      <w:pPr>
        <w:pStyle w:val="Normal-em"/>
        <w:jc w:val="right"/>
        <w:rPr>
          <w:rFonts w:ascii="Times" w:hAnsi="Times"/>
          <w:b/>
          <w:caps/>
          <w:u w:val="single"/>
        </w:rPr>
      </w:pPr>
      <w:r w:rsidRPr="00116E1D">
        <w:rPr>
          <w:rFonts w:ascii="Times" w:hAnsi="Times"/>
          <w:b/>
          <w:caps/>
          <w:u w:val="single"/>
        </w:rPr>
        <w:lastRenderedPageBreak/>
        <w:t>Attachment</w:t>
      </w:r>
      <w:r w:rsidR="004A547B">
        <w:rPr>
          <w:rFonts w:ascii="Times" w:hAnsi="Times"/>
          <w:b/>
          <w:caps/>
          <w:u w:val="single"/>
        </w:rPr>
        <w:t xml:space="preserve"> A</w:t>
      </w:r>
    </w:p>
    <w:p w:rsidR="002B1DB3" w:rsidRPr="00836D6E" w:rsidRDefault="002B1DB3" w:rsidP="00B3331C">
      <w:pPr>
        <w:pStyle w:val="Normal-em"/>
        <w:rPr>
          <w:color w:val="auto"/>
          <w:szCs w:val="24"/>
        </w:rPr>
      </w:pPr>
    </w:p>
    <w:p w:rsidR="002B1DB3" w:rsidRPr="00836D6E" w:rsidRDefault="002B1DB3" w:rsidP="00B3331C">
      <w:pPr>
        <w:pStyle w:val="Normal-em"/>
        <w:rPr>
          <w:b/>
          <w:iCs/>
          <w:color w:val="auto"/>
          <w:szCs w:val="24"/>
          <w:u w:val="single"/>
        </w:rPr>
      </w:pPr>
      <w:r w:rsidRPr="00836D6E">
        <w:rPr>
          <w:b/>
          <w:iCs/>
          <w:color w:val="auto"/>
          <w:szCs w:val="24"/>
          <w:u w:val="single"/>
        </w:rPr>
        <w:t xml:space="preserve">Details of the </w:t>
      </w:r>
      <w:r w:rsidR="00910CE9" w:rsidRPr="00910CE9">
        <w:rPr>
          <w:b/>
          <w:i/>
          <w:iCs/>
          <w:color w:val="auto"/>
          <w:szCs w:val="24"/>
          <w:u w:val="single"/>
        </w:rPr>
        <w:t xml:space="preserve">Farm Household Support </w:t>
      </w:r>
      <w:r w:rsidR="009A2562">
        <w:rPr>
          <w:b/>
          <w:i/>
          <w:iCs/>
          <w:color w:val="auto"/>
          <w:szCs w:val="24"/>
          <w:u w:val="single"/>
        </w:rPr>
        <w:t xml:space="preserve">Minister’s </w:t>
      </w:r>
      <w:r w:rsidR="00910CE9" w:rsidRPr="00910CE9">
        <w:rPr>
          <w:b/>
          <w:i/>
          <w:iCs/>
          <w:color w:val="auto"/>
          <w:szCs w:val="24"/>
          <w:u w:val="single"/>
        </w:rPr>
        <w:t>Rule 2014</w:t>
      </w:r>
    </w:p>
    <w:p w:rsidR="002B1DB3" w:rsidRPr="00836D6E" w:rsidRDefault="002B1DB3" w:rsidP="00B3331C">
      <w:pPr>
        <w:pStyle w:val="Normal-em"/>
        <w:rPr>
          <w:color w:val="auto"/>
          <w:szCs w:val="24"/>
        </w:rPr>
      </w:pPr>
    </w:p>
    <w:p w:rsidR="00ED382D" w:rsidRPr="00ED382D" w:rsidRDefault="00ED382D" w:rsidP="00B3331C">
      <w:pPr>
        <w:pStyle w:val="Normal-em"/>
        <w:ind w:left="1440" w:hanging="1440"/>
        <w:rPr>
          <w:b/>
          <w:color w:val="auto"/>
          <w:szCs w:val="24"/>
        </w:rPr>
      </w:pPr>
      <w:r>
        <w:rPr>
          <w:b/>
          <w:color w:val="auto"/>
          <w:szCs w:val="24"/>
        </w:rPr>
        <w:t>Part 1 – Preliminary</w:t>
      </w:r>
    </w:p>
    <w:p w:rsidR="00ED382D" w:rsidRDefault="00ED382D" w:rsidP="00B3331C">
      <w:pPr>
        <w:pStyle w:val="Normal-em"/>
        <w:ind w:left="1440" w:hanging="1440"/>
        <w:rPr>
          <w:color w:val="auto"/>
          <w:szCs w:val="24"/>
          <w:u w:val="single"/>
        </w:rPr>
      </w:pPr>
    </w:p>
    <w:p w:rsidR="002B1DB3" w:rsidRPr="00836D6E" w:rsidRDefault="002060F6" w:rsidP="00B3331C">
      <w:pPr>
        <w:pStyle w:val="Normal-em"/>
        <w:ind w:left="1440" w:hanging="1440"/>
        <w:rPr>
          <w:color w:val="auto"/>
          <w:szCs w:val="24"/>
          <w:u w:val="single"/>
        </w:rPr>
      </w:pPr>
      <w:r>
        <w:rPr>
          <w:color w:val="auto"/>
          <w:szCs w:val="24"/>
          <w:u w:val="single"/>
        </w:rPr>
        <w:t xml:space="preserve">Section 1 – Name of </w:t>
      </w:r>
      <w:r w:rsidR="00CD6716">
        <w:rPr>
          <w:color w:val="auto"/>
          <w:szCs w:val="24"/>
          <w:u w:val="single"/>
        </w:rPr>
        <w:t>r</w:t>
      </w:r>
      <w:r>
        <w:rPr>
          <w:color w:val="auto"/>
          <w:szCs w:val="24"/>
          <w:u w:val="single"/>
        </w:rPr>
        <w:t>ule</w:t>
      </w:r>
    </w:p>
    <w:p w:rsidR="002B1DB3" w:rsidRPr="00836D6E" w:rsidRDefault="002B1DB3" w:rsidP="00B3331C">
      <w:pPr>
        <w:pStyle w:val="Normal-em"/>
        <w:ind w:left="1440" w:hanging="1440"/>
        <w:rPr>
          <w:b/>
          <w:color w:val="auto"/>
          <w:szCs w:val="24"/>
        </w:rPr>
      </w:pPr>
    </w:p>
    <w:p w:rsidR="002B1DB3" w:rsidRPr="00836D6E" w:rsidRDefault="002B1DB3" w:rsidP="00B3331C">
      <w:pPr>
        <w:pStyle w:val="Normal-em"/>
        <w:rPr>
          <w:i/>
          <w:iCs/>
          <w:color w:val="auto"/>
          <w:szCs w:val="24"/>
        </w:rPr>
      </w:pPr>
      <w:r w:rsidRPr="00836D6E">
        <w:rPr>
          <w:color w:val="auto"/>
          <w:szCs w:val="24"/>
        </w:rPr>
        <w:t xml:space="preserve">This </w:t>
      </w:r>
      <w:r w:rsidR="00A16CBE">
        <w:rPr>
          <w:color w:val="auto"/>
          <w:szCs w:val="24"/>
        </w:rPr>
        <w:t>s</w:t>
      </w:r>
      <w:r w:rsidRPr="00836D6E">
        <w:rPr>
          <w:color w:val="auto"/>
          <w:szCs w:val="24"/>
        </w:rPr>
        <w:t>ection provide</w:t>
      </w:r>
      <w:r>
        <w:rPr>
          <w:color w:val="auto"/>
          <w:szCs w:val="24"/>
        </w:rPr>
        <w:t>s</w:t>
      </w:r>
      <w:r w:rsidRPr="00836D6E">
        <w:rPr>
          <w:color w:val="auto"/>
          <w:szCs w:val="24"/>
        </w:rPr>
        <w:t xml:space="preserve"> </w:t>
      </w:r>
      <w:r w:rsidR="002060F6">
        <w:rPr>
          <w:color w:val="auto"/>
          <w:szCs w:val="24"/>
        </w:rPr>
        <w:t xml:space="preserve">that </w:t>
      </w:r>
      <w:r w:rsidRPr="00836D6E">
        <w:rPr>
          <w:color w:val="auto"/>
          <w:szCs w:val="24"/>
        </w:rPr>
        <w:t xml:space="preserve">the title of </w:t>
      </w:r>
      <w:r w:rsidR="002060F6">
        <w:rPr>
          <w:color w:val="auto"/>
          <w:szCs w:val="24"/>
        </w:rPr>
        <w:t xml:space="preserve">the </w:t>
      </w:r>
      <w:r w:rsidR="00CD6716">
        <w:rPr>
          <w:color w:val="auto"/>
          <w:szCs w:val="24"/>
        </w:rPr>
        <w:t>r</w:t>
      </w:r>
      <w:r w:rsidR="002060F6">
        <w:rPr>
          <w:color w:val="auto"/>
          <w:szCs w:val="24"/>
        </w:rPr>
        <w:t xml:space="preserve">ule is the </w:t>
      </w:r>
      <w:r w:rsidR="002060F6" w:rsidRPr="002060F6">
        <w:rPr>
          <w:i/>
          <w:color w:val="auto"/>
          <w:szCs w:val="24"/>
        </w:rPr>
        <w:t xml:space="preserve">Farm Household Support </w:t>
      </w:r>
      <w:r w:rsidR="005117FD">
        <w:rPr>
          <w:i/>
          <w:color w:val="auto"/>
          <w:szCs w:val="24"/>
        </w:rPr>
        <w:t xml:space="preserve">Minister’s </w:t>
      </w:r>
      <w:r w:rsidR="002060F6" w:rsidRPr="002060F6">
        <w:rPr>
          <w:i/>
          <w:color w:val="auto"/>
          <w:szCs w:val="24"/>
        </w:rPr>
        <w:t>Rule 2014</w:t>
      </w:r>
      <w:r>
        <w:rPr>
          <w:color w:val="auto"/>
          <w:szCs w:val="24"/>
        </w:rPr>
        <w:t>.</w:t>
      </w:r>
    </w:p>
    <w:p w:rsidR="002B1DB3" w:rsidRPr="00836D6E" w:rsidRDefault="002B1DB3" w:rsidP="00B3331C">
      <w:pPr>
        <w:pStyle w:val="Normal-em"/>
        <w:rPr>
          <w:color w:val="auto"/>
          <w:szCs w:val="24"/>
        </w:rPr>
      </w:pPr>
    </w:p>
    <w:p w:rsidR="002B1DB3" w:rsidRPr="00836D6E" w:rsidRDefault="002B1DB3" w:rsidP="00B3331C">
      <w:pPr>
        <w:pStyle w:val="Normal-em"/>
        <w:rPr>
          <w:color w:val="auto"/>
          <w:szCs w:val="24"/>
          <w:u w:val="single"/>
        </w:rPr>
      </w:pPr>
      <w:r w:rsidRPr="00836D6E">
        <w:rPr>
          <w:color w:val="auto"/>
          <w:szCs w:val="24"/>
          <w:u w:val="single"/>
        </w:rPr>
        <w:t>Section 2 – Commencement</w:t>
      </w:r>
    </w:p>
    <w:p w:rsidR="002B1DB3" w:rsidRPr="00836D6E" w:rsidRDefault="002B1DB3" w:rsidP="00B3331C">
      <w:pPr>
        <w:pStyle w:val="Normal-em"/>
        <w:rPr>
          <w:color w:val="auto"/>
          <w:szCs w:val="24"/>
        </w:rPr>
      </w:pPr>
    </w:p>
    <w:p w:rsidR="002B1DB3" w:rsidRPr="00836D6E" w:rsidRDefault="002B1DB3" w:rsidP="00B3331C">
      <w:pPr>
        <w:pStyle w:val="Normal-em"/>
        <w:rPr>
          <w:color w:val="auto"/>
          <w:szCs w:val="24"/>
          <w:highlight w:val="yellow"/>
        </w:rPr>
      </w:pPr>
      <w:r w:rsidRPr="00836D6E">
        <w:rPr>
          <w:color w:val="auto"/>
          <w:szCs w:val="24"/>
        </w:rPr>
        <w:t xml:space="preserve">This </w:t>
      </w:r>
      <w:r w:rsidR="00A16CBE">
        <w:rPr>
          <w:color w:val="auto"/>
          <w:szCs w:val="24"/>
        </w:rPr>
        <w:t>s</w:t>
      </w:r>
      <w:r w:rsidRPr="00836D6E">
        <w:rPr>
          <w:color w:val="auto"/>
          <w:szCs w:val="24"/>
        </w:rPr>
        <w:t>ection provide</w:t>
      </w:r>
      <w:r>
        <w:rPr>
          <w:color w:val="auto"/>
          <w:szCs w:val="24"/>
        </w:rPr>
        <w:t>s</w:t>
      </w:r>
      <w:r w:rsidRPr="00836D6E">
        <w:rPr>
          <w:color w:val="auto"/>
          <w:szCs w:val="24"/>
        </w:rPr>
        <w:t xml:space="preserve"> </w:t>
      </w:r>
      <w:r w:rsidR="002060F6">
        <w:rPr>
          <w:color w:val="auto"/>
          <w:szCs w:val="24"/>
        </w:rPr>
        <w:t xml:space="preserve">that the </w:t>
      </w:r>
      <w:r w:rsidR="00CD6716">
        <w:rPr>
          <w:color w:val="auto"/>
          <w:szCs w:val="24"/>
        </w:rPr>
        <w:t>r</w:t>
      </w:r>
      <w:r w:rsidR="002060F6">
        <w:rPr>
          <w:color w:val="auto"/>
          <w:szCs w:val="24"/>
        </w:rPr>
        <w:t>ule commences on the commencement of section 3 of the FHSA. This section commences on 1 July 2014</w:t>
      </w:r>
      <w:r>
        <w:rPr>
          <w:color w:val="auto"/>
          <w:szCs w:val="24"/>
        </w:rPr>
        <w:t>.</w:t>
      </w:r>
    </w:p>
    <w:p w:rsidR="002B1DB3" w:rsidRPr="00836D6E" w:rsidRDefault="002B1DB3" w:rsidP="00B3331C">
      <w:pPr>
        <w:pStyle w:val="Normal-em"/>
        <w:rPr>
          <w:color w:val="auto"/>
          <w:szCs w:val="24"/>
        </w:rPr>
      </w:pPr>
    </w:p>
    <w:p w:rsidR="002B1DB3" w:rsidRPr="00836D6E" w:rsidRDefault="002B1DB3" w:rsidP="00B3331C">
      <w:pPr>
        <w:pStyle w:val="Normal-em"/>
        <w:ind w:left="1440" w:hanging="1440"/>
        <w:rPr>
          <w:color w:val="auto"/>
          <w:szCs w:val="24"/>
          <w:u w:val="single"/>
        </w:rPr>
      </w:pPr>
      <w:r w:rsidRPr="00836D6E">
        <w:rPr>
          <w:color w:val="auto"/>
          <w:szCs w:val="24"/>
          <w:u w:val="single"/>
        </w:rPr>
        <w:t xml:space="preserve">Section 3 – </w:t>
      </w:r>
      <w:r w:rsidR="00ED382D">
        <w:rPr>
          <w:color w:val="auto"/>
          <w:szCs w:val="24"/>
          <w:u w:val="single"/>
        </w:rPr>
        <w:t>Authority</w:t>
      </w:r>
    </w:p>
    <w:p w:rsidR="002B1DB3" w:rsidRPr="00836D6E" w:rsidRDefault="002B1DB3" w:rsidP="00B3331C">
      <w:pPr>
        <w:pStyle w:val="Normal-em"/>
        <w:rPr>
          <w:color w:val="auto"/>
          <w:szCs w:val="24"/>
        </w:rPr>
      </w:pPr>
    </w:p>
    <w:p w:rsidR="002B1DB3" w:rsidRPr="00836D6E" w:rsidRDefault="00A16CBE" w:rsidP="00B3331C">
      <w:pPr>
        <w:pStyle w:val="Normal-em"/>
        <w:rPr>
          <w:iCs/>
          <w:color w:val="auto"/>
          <w:szCs w:val="24"/>
        </w:rPr>
      </w:pPr>
      <w:r>
        <w:rPr>
          <w:color w:val="auto"/>
          <w:szCs w:val="24"/>
        </w:rPr>
        <w:t>This s</w:t>
      </w:r>
      <w:r w:rsidR="002B1DB3" w:rsidRPr="00836D6E">
        <w:rPr>
          <w:color w:val="auto"/>
          <w:szCs w:val="24"/>
        </w:rPr>
        <w:t>ection provide</w:t>
      </w:r>
      <w:r w:rsidR="002B1DB3">
        <w:rPr>
          <w:color w:val="auto"/>
          <w:szCs w:val="24"/>
        </w:rPr>
        <w:t>s</w:t>
      </w:r>
      <w:r w:rsidR="002B1DB3" w:rsidRPr="00836D6E">
        <w:rPr>
          <w:color w:val="auto"/>
          <w:szCs w:val="24"/>
        </w:rPr>
        <w:t xml:space="preserve"> </w:t>
      </w:r>
      <w:r w:rsidR="00ED382D">
        <w:rPr>
          <w:color w:val="auto"/>
          <w:szCs w:val="24"/>
        </w:rPr>
        <w:t xml:space="preserve">that the </w:t>
      </w:r>
      <w:r w:rsidR="00CD6716">
        <w:rPr>
          <w:color w:val="auto"/>
          <w:szCs w:val="24"/>
        </w:rPr>
        <w:t>r</w:t>
      </w:r>
      <w:r w:rsidR="00ED382D">
        <w:rPr>
          <w:color w:val="auto"/>
          <w:szCs w:val="24"/>
        </w:rPr>
        <w:t xml:space="preserve">ule is made under the </w:t>
      </w:r>
      <w:r w:rsidR="00ED382D" w:rsidRPr="00ED382D">
        <w:rPr>
          <w:i/>
          <w:color w:val="auto"/>
          <w:szCs w:val="24"/>
        </w:rPr>
        <w:t>Farm Household Support Act 2014</w:t>
      </w:r>
      <w:r w:rsidR="002B1DB3">
        <w:rPr>
          <w:color w:val="auto"/>
          <w:szCs w:val="24"/>
        </w:rPr>
        <w:t>.</w:t>
      </w:r>
    </w:p>
    <w:p w:rsidR="002B1DB3" w:rsidRPr="00836D6E" w:rsidRDefault="002B1DB3" w:rsidP="00B3331C">
      <w:pPr>
        <w:pStyle w:val="Normal-em"/>
        <w:rPr>
          <w:iCs/>
          <w:color w:val="auto"/>
          <w:szCs w:val="24"/>
        </w:rPr>
      </w:pPr>
    </w:p>
    <w:p w:rsidR="00ED382D" w:rsidRPr="00836D6E" w:rsidRDefault="00ED382D" w:rsidP="00ED382D">
      <w:pPr>
        <w:pStyle w:val="Normal-em"/>
        <w:ind w:left="1440" w:hanging="1440"/>
        <w:rPr>
          <w:color w:val="auto"/>
          <w:szCs w:val="24"/>
          <w:u w:val="single"/>
        </w:rPr>
      </w:pPr>
      <w:r w:rsidRPr="00836D6E">
        <w:rPr>
          <w:color w:val="auto"/>
          <w:szCs w:val="24"/>
          <w:u w:val="single"/>
        </w:rPr>
        <w:t xml:space="preserve">Section </w:t>
      </w:r>
      <w:r>
        <w:rPr>
          <w:color w:val="auto"/>
          <w:szCs w:val="24"/>
          <w:u w:val="single"/>
        </w:rPr>
        <w:t>4</w:t>
      </w:r>
      <w:r w:rsidRPr="00836D6E">
        <w:rPr>
          <w:color w:val="auto"/>
          <w:szCs w:val="24"/>
          <w:u w:val="single"/>
        </w:rPr>
        <w:t xml:space="preserve"> – </w:t>
      </w:r>
      <w:r>
        <w:rPr>
          <w:color w:val="auto"/>
          <w:szCs w:val="24"/>
          <w:u w:val="single"/>
        </w:rPr>
        <w:t>Definitions</w:t>
      </w:r>
    </w:p>
    <w:p w:rsidR="00ED382D" w:rsidRDefault="00ED382D" w:rsidP="00ED382D">
      <w:pPr>
        <w:pStyle w:val="Normal-em"/>
        <w:rPr>
          <w:color w:val="auto"/>
          <w:szCs w:val="24"/>
        </w:rPr>
      </w:pPr>
    </w:p>
    <w:p w:rsidR="00327648" w:rsidRDefault="00A16CBE" w:rsidP="00ED382D">
      <w:pPr>
        <w:pStyle w:val="Normal-em"/>
        <w:rPr>
          <w:color w:val="auto"/>
          <w:szCs w:val="24"/>
        </w:rPr>
      </w:pPr>
      <w:r>
        <w:rPr>
          <w:color w:val="auto"/>
          <w:szCs w:val="24"/>
        </w:rPr>
        <w:t>This s</w:t>
      </w:r>
      <w:r w:rsidR="00327648">
        <w:rPr>
          <w:color w:val="auto"/>
          <w:szCs w:val="24"/>
        </w:rPr>
        <w:t>ection i</w:t>
      </w:r>
      <w:r>
        <w:rPr>
          <w:color w:val="auto"/>
          <w:szCs w:val="24"/>
        </w:rPr>
        <w:t>nserts the following definition</w:t>
      </w:r>
      <w:r w:rsidR="00327648">
        <w:rPr>
          <w:color w:val="auto"/>
          <w:szCs w:val="24"/>
        </w:rPr>
        <w:t xml:space="preserve"> for the purposes of the </w:t>
      </w:r>
      <w:r w:rsidR="00CD6716">
        <w:rPr>
          <w:color w:val="auto"/>
          <w:szCs w:val="24"/>
        </w:rPr>
        <w:t>r</w:t>
      </w:r>
      <w:r w:rsidR="00327648">
        <w:rPr>
          <w:color w:val="auto"/>
          <w:szCs w:val="24"/>
        </w:rPr>
        <w:t>ule:</w:t>
      </w:r>
    </w:p>
    <w:p w:rsidR="00FF540F" w:rsidRPr="00A16CBE" w:rsidRDefault="00FF540F" w:rsidP="00FF540F">
      <w:pPr>
        <w:pStyle w:val="Definition"/>
        <w:ind w:left="0"/>
        <w:rPr>
          <w:sz w:val="24"/>
          <w:szCs w:val="24"/>
        </w:rPr>
      </w:pPr>
      <w:r w:rsidRPr="00A16CBE">
        <w:rPr>
          <w:b/>
          <w:i/>
          <w:sz w:val="24"/>
          <w:szCs w:val="24"/>
        </w:rPr>
        <w:t>Act</w:t>
      </w:r>
      <w:r w:rsidRPr="00A16CBE">
        <w:rPr>
          <w:sz w:val="24"/>
          <w:szCs w:val="24"/>
        </w:rPr>
        <w:t xml:space="preserve"> means the </w:t>
      </w:r>
      <w:r w:rsidRPr="00A16CBE">
        <w:rPr>
          <w:i/>
          <w:sz w:val="24"/>
          <w:szCs w:val="24"/>
        </w:rPr>
        <w:t>Farm Household Support Act 2014</w:t>
      </w:r>
      <w:r w:rsidRPr="00A16CBE">
        <w:rPr>
          <w:sz w:val="24"/>
          <w:szCs w:val="24"/>
        </w:rPr>
        <w:t>.</w:t>
      </w:r>
    </w:p>
    <w:p w:rsidR="003712DE" w:rsidRPr="00A16CBE" w:rsidRDefault="003712DE" w:rsidP="003712DE">
      <w:pPr>
        <w:pStyle w:val="Definition"/>
        <w:ind w:left="0"/>
        <w:rPr>
          <w:sz w:val="24"/>
          <w:szCs w:val="24"/>
        </w:rPr>
      </w:pPr>
      <w:proofErr w:type="gramStart"/>
      <w:r w:rsidRPr="00A16CBE">
        <w:rPr>
          <w:b/>
          <w:i/>
          <w:sz w:val="24"/>
          <w:szCs w:val="24"/>
        </w:rPr>
        <w:t>professional</w:t>
      </w:r>
      <w:proofErr w:type="gramEnd"/>
      <w:r w:rsidRPr="00A16CBE">
        <w:rPr>
          <w:b/>
          <w:i/>
          <w:sz w:val="24"/>
          <w:szCs w:val="24"/>
        </w:rPr>
        <w:t xml:space="preserve"> body</w:t>
      </w:r>
      <w:r w:rsidRPr="00A16CBE">
        <w:rPr>
          <w:sz w:val="24"/>
          <w:szCs w:val="24"/>
        </w:rPr>
        <w:t xml:space="preserve"> means a body that has the following characteristics:</w:t>
      </w:r>
    </w:p>
    <w:p w:rsidR="003712DE" w:rsidRPr="00A16CBE" w:rsidRDefault="003712DE" w:rsidP="003712DE">
      <w:pPr>
        <w:pStyle w:val="Definition"/>
        <w:ind w:left="0"/>
        <w:rPr>
          <w:sz w:val="24"/>
          <w:szCs w:val="24"/>
        </w:rPr>
      </w:pPr>
      <w:r w:rsidRPr="00A16CBE">
        <w:rPr>
          <w:sz w:val="24"/>
          <w:szCs w:val="24"/>
        </w:rPr>
        <w:tab/>
        <w:t>(a)</w:t>
      </w:r>
      <w:r w:rsidRPr="00A16CBE">
        <w:rPr>
          <w:sz w:val="24"/>
          <w:szCs w:val="24"/>
        </w:rPr>
        <w:tab/>
      </w:r>
      <w:proofErr w:type="gramStart"/>
      <w:r w:rsidRPr="00A16CBE">
        <w:rPr>
          <w:sz w:val="24"/>
          <w:szCs w:val="24"/>
        </w:rPr>
        <w:t>its</w:t>
      </w:r>
      <w:proofErr w:type="gramEnd"/>
      <w:r w:rsidRPr="00A16CBE">
        <w:rPr>
          <w:sz w:val="24"/>
          <w:szCs w:val="24"/>
        </w:rPr>
        <w:t xml:space="preserve"> membe</w:t>
      </w:r>
      <w:r w:rsidR="008B56DA" w:rsidRPr="00A16CBE">
        <w:rPr>
          <w:sz w:val="24"/>
          <w:szCs w:val="24"/>
        </w:rPr>
        <w:t>rs practise the same profession</w:t>
      </w:r>
    </w:p>
    <w:p w:rsidR="003712DE" w:rsidRPr="00A16CBE" w:rsidRDefault="003712DE" w:rsidP="003712DE">
      <w:pPr>
        <w:pStyle w:val="Definition"/>
        <w:ind w:left="1440" w:hanging="720"/>
        <w:rPr>
          <w:sz w:val="24"/>
          <w:szCs w:val="24"/>
        </w:rPr>
      </w:pPr>
      <w:r w:rsidRPr="00A16CBE">
        <w:rPr>
          <w:sz w:val="24"/>
          <w:szCs w:val="24"/>
        </w:rPr>
        <w:t>(b)</w:t>
      </w:r>
      <w:r w:rsidRPr="00A16CBE">
        <w:rPr>
          <w:sz w:val="24"/>
          <w:szCs w:val="24"/>
        </w:rPr>
        <w:tab/>
      </w:r>
      <w:proofErr w:type="gramStart"/>
      <w:r w:rsidRPr="00A16CBE">
        <w:rPr>
          <w:sz w:val="24"/>
          <w:szCs w:val="24"/>
        </w:rPr>
        <w:t>it</w:t>
      </w:r>
      <w:proofErr w:type="gramEnd"/>
      <w:r w:rsidRPr="00A16CBE">
        <w:rPr>
          <w:sz w:val="24"/>
          <w:szCs w:val="24"/>
        </w:rPr>
        <w:t xml:space="preserve"> has enough membership to be considered representative (but not necessarily solely representative) of the profession practised by it</w:t>
      </w:r>
      <w:r w:rsidR="008B56DA" w:rsidRPr="00A16CBE">
        <w:rPr>
          <w:sz w:val="24"/>
          <w:szCs w:val="24"/>
        </w:rPr>
        <w:t>s members</w:t>
      </w:r>
    </w:p>
    <w:p w:rsidR="003712DE" w:rsidRPr="00A16CBE" w:rsidRDefault="003712DE" w:rsidP="003712DE">
      <w:pPr>
        <w:pStyle w:val="Definition"/>
        <w:ind w:left="0"/>
        <w:rPr>
          <w:sz w:val="24"/>
          <w:szCs w:val="24"/>
        </w:rPr>
      </w:pPr>
      <w:r w:rsidRPr="00A16CBE">
        <w:rPr>
          <w:sz w:val="24"/>
          <w:szCs w:val="24"/>
        </w:rPr>
        <w:tab/>
        <w:t>(c)</w:t>
      </w:r>
      <w:r w:rsidRPr="00A16CBE">
        <w:rPr>
          <w:sz w:val="24"/>
          <w:szCs w:val="24"/>
        </w:rPr>
        <w:tab/>
      </w:r>
      <w:proofErr w:type="gramStart"/>
      <w:r w:rsidRPr="00A16CBE">
        <w:rPr>
          <w:sz w:val="24"/>
          <w:szCs w:val="24"/>
        </w:rPr>
        <w:t>it</w:t>
      </w:r>
      <w:proofErr w:type="gramEnd"/>
      <w:r w:rsidRPr="00A16CBE">
        <w:rPr>
          <w:sz w:val="24"/>
          <w:szCs w:val="24"/>
        </w:rPr>
        <w:t xml:space="preserve"> sets its own admission requirements, incl</w:t>
      </w:r>
      <w:r w:rsidR="008B56DA" w:rsidRPr="00A16CBE">
        <w:rPr>
          <w:sz w:val="24"/>
          <w:szCs w:val="24"/>
        </w:rPr>
        <w:t>uding acceptable qualifications</w:t>
      </w:r>
    </w:p>
    <w:p w:rsidR="003712DE" w:rsidRPr="00A16CBE" w:rsidRDefault="003712DE" w:rsidP="003712DE">
      <w:pPr>
        <w:pStyle w:val="Definition"/>
        <w:ind w:left="0"/>
        <w:rPr>
          <w:sz w:val="24"/>
          <w:szCs w:val="24"/>
        </w:rPr>
      </w:pPr>
      <w:r w:rsidRPr="00A16CBE">
        <w:rPr>
          <w:sz w:val="24"/>
          <w:szCs w:val="24"/>
        </w:rPr>
        <w:tab/>
        <w:t>(d)</w:t>
      </w:r>
      <w:r w:rsidRPr="00A16CBE">
        <w:rPr>
          <w:sz w:val="24"/>
          <w:szCs w:val="24"/>
        </w:rPr>
        <w:tab/>
      </w:r>
      <w:proofErr w:type="gramStart"/>
      <w:r w:rsidRPr="00A16CBE">
        <w:rPr>
          <w:sz w:val="24"/>
          <w:szCs w:val="24"/>
        </w:rPr>
        <w:t>it</w:t>
      </w:r>
      <w:proofErr w:type="gramEnd"/>
      <w:r w:rsidRPr="00A16CBE">
        <w:rPr>
          <w:sz w:val="24"/>
          <w:szCs w:val="24"/>
        </w:rPr>
        <w:t xml:space="preserve"> sets standards </w:t>
      </w:r>
      <w:r w:rsidR="008B56DA" w:rsidRPr="00A16CBE">
        <w:rPr>
          <w:sz w:val="24"/>
          <w:szCs w:val="24"/>
        </w:rPr>
        <w:t>of practice and ethical conduct</w:t>
      </w:r>
    </w:p>
    <w:p w:rsidR="003712DE" w:rsidRPr="00A16CBE" w:rsidRDefault="003712DE" w:rsidP="003712DE">
      <w:pPr>
        <w:pStyle w:val="Definition"/>
        <w:ind w:left="0"/>
        <w:rPr>
          <w:sz w:val="24"/>
          <w:szCs w:val="24"/>
        </w:rPr>
      </w:pPr>
      <w:r w:rsidRPr="00A16CBE">
        <w:rPr>
          <w:sz w:val="24"/>
          <w:szCs w:val="24"/>
        </w:rPr>
        <w:tab/>
        <w:t>(e)</w:t>
      </w:r>
      <w:r w:rsidRPr="00A16CBE">
        <w:rPr>
          <w:sz w:val="24"/>
          <w:szCs w:val="24"/>
        </w:rPr>
        <w:tab/>
      </w:r>
      <w:proofErr w:type="gramStart"/>
      <w:r w:rsidRPr="00A16CBE">
        <w:rPr>
          <w:sz w:val="24"/>
          <w:szCs w:val="24"/>
        </w:rPr>
        <w:t>it</w:t>
      </w:r>
      <w:proofErr w:type="gramEnd"/>
      <w:r w:rsidRPr="00A16CBE">
        <w:rPr>
          <w:sz w:val="24"/>
          <w:szCs w:val="24"/>
        </w:rPr>
        <w:t xml:space="preserve"> aims to maintain the standard of the prof</w:t>
      </w:r>
      <w:r w:rsidR="008B56DA" w:rsidRPr="00A16CBE">
        <w:rPr>
          <w:sz w:val="24"/>
          <w:szCs w:val="24"/>
        </w:rPr>
        <w:t>ession practised by its members</w:t>
      </w:r>
    </w:p>
    <w:p w:rsidR="003712DE" w:rsidRPr="00A16CBE" w:rsidRDefault="003712DE" w:rsidP="003712DE">
      <w:pPr>
        <w:pStyle w:val="Definition"/>
        <w:ind w:left="1440" w:hanging="720"/>
        <w:rPr>
          <w:sz w:val="24"/>
          <w:szCs w:val="24"/>
        </w:rPr>
      </w:pPr>
      <w:r w:rsidRPr="00A16CBE">
        <w:rPr>
          <w:sz w:val="24"/>
          <w:szCs w:val="24"/>
        </w:rPr>
        <w:t>(f)</w:t>
      </w:r>
      <w:r w:rsidRPr="00A16CBE">
        <w:rPr>
          <w:sz w:val="24"/>
          <w:szCs w:val="24"/>
        </w:rPr>
        <w:tab/>
      </w:r>
      <w:proofErr w:type="gramStart"/>
      <w:r w:rsidRPr="00A16CBE">
        <w:rPr>
          <w:sz w:val="24"/>
          <w:szCs w:val="24"/>
        </w:rPr>
        <w:t>it</w:t>
      </w:r>
      <w:proofErr w:type="gramEnd"/>
      <w:r w:rsidRPr="00A16CBE">
        <w:rPr>
          <w:sz w:val="24"/>
          <w:szCs w:val="24"/>
        </w:rPr>
        <w:t xml:space="preserve"> has written rules, articles of association, by laws or c</w:t>
      </w:r>
      <w:r w:rsidR="008B56DA" w:rsidRPr="00A16CBE">
        <w:rPr>
          <w:sz w:val="24"/>
          <w:szCs w:val="24"/>
        </w:rPr>
        <w:t>odes of conduct for its members</w:t>
      </w:r>
    </w:p>
    <w:p w:rsidR="003712DE" w:rsidRPr="00A16CBE" w:rsidRDefault="003712DE" w:rsidP="003712DE">
      <w:pPr>
        <w:pStyle w:val="Definition"/>
        <w:ind w:left="1440" w:hanging="720"/>
        <w:rPr>
          <w:sz w:val="24"/>
          <w:szCs w:val="24"/>
        </w:rPr>
      </w:pPr>
      <w:r w:rsidRPr="00A16CBE">
        <w:rPr>
          <w:sz w:val="24"/>
          <w:szCs w:val="24"/>
        </w:rPr>
        <w:t>(g)</w:t>
      </w:r>
      <w:r w:rsidRPr="00A16CBE">
        <w:rPr>
          <w:sz w:val="24"/>
          <w:szCs w:val="24"/>
        </w:rPr>
        <w:tab/>
      </w:r>
      <w:proofErr w:type="gramStart"/>
      <w:r w:rsidRPr="00A16CBE">
        <w:rPr>
          <w:sz w:val="24"/>
          <w:szCs w:val="24"/>
        </w:rPr>
        <w:t>it</w:t>
      </w:r>
      <w:proofErr w:type="gramEnd"/>
      <w:r w:rsidRPr="00A16CBE">
        <w:rPr>
          <w:sz w:val="24"/>
          <w:szCs w:val="24"/>
        </w:rPr>
        <w:t xml:space="preserve"> has the ability to impose sanctions on members who contravene the body’s written rules, articles of associati</w:t>
      </w:r>
      <w:r w:rsidR="008B56DA" w:rsidRPr="00A16CBE">
        <w:rPr>
          <w:sz w:val="24"/>
          <w:szCs w:val="24"/>
        </w:rPr>
        <w:t>on, by laws or codes of conduct</w:t>
      </w:r>
    </w:p>
    <w:p w:rsidR="003712DE" w:rsidRPr="00A16CBE" w:rsidRDefault="003712DE" w:rsidP="003712DE">
      <w:pPr>
        <w:pStyle w:val="Definition"/>
        <w:ind w:left="0"/>
        <w:rPr>
          <w:sz w:val="24"/>
          <w:szCs w:val="24"/>
        </w:rPr>
      </w:pPr>
      <w:r w:rsidRPr="00A16CBE">
        <w:rPr>
          <w:sz w:val="24"/>
          <w:szCs w:val="24"/>
        </w:rPr>
        <w:tab/>
        <w:t>(h)</w:t>
      </w:r>
      <w:r w:rsidRPr="00A16CBE">
        <w:rPr>
          <w:sz w:val="24"/>
          <w:szCs w:val="24"/>
        </w:rPr>
        <w:tab/>
      </w:r>
      <w:proofErr w:type="gramStart"/>
      <w:r w:rsidRPr="00A16CBE">
        <w:rPr>
          <w:sz w:val="24"/>
          <w:szCs w:val="24"/>
        </w:rPr>
        <w:t>it</w:t>
      </w:r>
      <w:proofErr w:type="gramEnd"/>
      <w:r w:rsidRPr="00A16CBE">
        <w:rPr>
          <w:sz w:val="24"/>
          <w:szCs w:val="24"/>
        </w:rPr>
        <w:t xml:space="preserve"> is not conducted for profit.</w:t>
      </w:r>
    </w:p>
    <w:p w:rsidR="00327648" w:rsidRPr="00920010" w:rsidRDefault="00920010" w:rsidP="00920010">
      <w:pPr>
        <w:rPr>
          <w:rFonts w:ascii="Times New Roman" w:eastAsia="Times New Roman" w:hAnsi="Times New Roman" w:cs="Times New Roman"/>
          <w:sz w:val="24"/>
        </w:rPr>
      </w:pPr>
      <w:r>
        <w:br w:type="page"/>
      </w:r>
    </w:p>
    <w:p w:rsidR="00327648" w:rsidRPr="00836D6E" w:rsidRDefault="00327648" w:rsidP="00327648">
      <w:pPr>
        <w:pStyle w:val="Normal-em"/>
        <w:ind w:left="1440" w:hanging="1440"/>
        <w:rPr>
          <w:color w:val="auto"/>
          <w:szCs w:val="24"/>
          <w:u w:val="single"/>
        </w:rPr>
      </w:pPr>
      <w:r w:rsidRPr="00836D6E">
        <w:rPr>
          <w:color w:val="auto"/>
          <w:szCs w:val="24"/>
          <w:u w:val="single"/>
        </w:rPr>
        <w:lastRenderedPageBreak/>
        <w:t xml:space="preserve">Section </w:t>
      </w:r>
      <w:r>
        <w:rPr>
          <w:color w:val="auto"/>
          <w:szCs w:val="24"/>
          <w:u w:val="single"/>
        </w:rPr>
        <w:t>5</w:t>
      </w:r>
      <w:r w:rsidRPr="00836D6E">
        <w:rPr>
          <w:color w:val="auto"/>
          <w:szCs w:val="24"/>
          <w:u w:val="single"/>
        </w:rPr>
        <w:t xml:space="preserve"> – </w:t>
      </w:r>
      <w:r w:rsidRPr="00327648">
        <w:rPr>
          <w:color w:val="auto"/>
          <w:szCs w:val="24"/>
          <w:u w:val="single"/>
        </w:rPr>
        <w:t xml:space="preserve">Meaning of </w:t>
      </w:r>
      <w:r>
        <w:rPr>
          <w:color w:val="auto"/>
          <w:szCs w:val="24"/>
          <w:u w:val="single"/>
        </w:rPr>
        <w:t>‘</w:t>
      </w:r>
      <w:r w:rsidRPr="00327648">
        <w:rPr>
          <w:color w:val="auto"/>
          <w:szCs w:val="24"/>
          <w:u w:val="single"/>
        </w:rPr>
        <w:t>prescribed adviser</w:t>
      </w:r>
      <w:r>
        <w:rPr>
          <w:color w:val="auto"/>
          <w:szCs w:val="24"/>
          <w:u w:val="single"/>
        </w:rPr>
        <w:t>’</w:t>
      </w:r>
    </w:p>
    <w:p w:rsidR="00327648" w:rsidRPr="00836D6E" w:rsidRDefault="00327648" w:rsidP="00ED382D">
      <w:pPr>
        <w:pStyle w:val="Normal-em"/>
        <w:rPr>
          <w:color w:val="auto"/>
          <w:szCs w:val="24"/>
        </w:rPr>
      </w:pPr>
    </w:p>
    <w:p w:rsidR="009F3EBA" w:rsidRDefault="00ED382D" w:rsidP="00ED382D">
      <w:pPr>
        <w:pStyle w:val="Normal-em"/>
        <w:rPr>
          <w:color w:val="auto"/>
          <w:szCs w:val="24"/>
        </w:rPr>
      </w:pPr>
      <w:r w:rsidRPr="00836D6E">
        <w:rPr>
          <w:color w:val="auto"/>
          <w:szCs w:val="24"/>
        </w:rPr>
        <w:t xml:space="preserve">Section </w:t>
      </w:r>
      <w:r w:rsidR="00327648">
        <w:rPr>
          <w:color w:val="auto"/>
          <w:szCs w:val="24"/>
        </w:rPr>
        <w:t>5</w:t>
      </w:r>
      <w:r>
        <w:rPr>
          <w:color w:val="auto"/>
          <w:szCs w:val="24"/>
        </w:rPr>
        <w:t xml:space="preserve"> </w:t>
      </w:r>
      <w:r w:rsidR="00FA7662">
        <w:rPr>
          <w:color w:val="auto"/>
          <w:szCs w:val="24"/>
        </w:rPr>
        <w:t xml:space="preserve">provides that a person is a </w:t>
      </w:r>
      <w:r w:rsidR="00327648" w:rsidRPr="0016456A">
        <w:rPr>
          <w:b/>
          <w:i/>
          <w:color w:val="auto"/>
          <w:szCs w:val="24"/>
        </w:rPr>
        <w:t>prescribed adviser</w:t>
      </w:r>
      <w:r w:rsidR="00327648" w:rsidRPr="00327648">
        <w:rPr>
          <w:color w:val="auto"/>
          <w:szCs w:val="24"/>
        </w:rPr>
        <w:t xml:space="preserve"> </w:t>
      </w:r>
      <w:r w:rsidR="00327648">
        <w:rPr>
          <w:color w:val="auto"/>
          <w:szCs w:val="24"/>
        </w:rPr>
        <w:t xml:space="preserve">for the purpose of </w:t>
      </w:r>
      <w:r w:rsidR="00A05152">
        <w:rPr>
          <w:color w:val="auto"/>
          <w:szCs w:val="24"/>
        </w:rPr>
        <w:t>th</w:t>
      </w:r>
      <w:r w:rsidR="00010078">
        <w:rPr>
          <w:color w:val="auto"/>
          <w:szCs w:val="24"/>
        </w:rPr>
        <w:t>e definition</w:t>
      </w:r>
      <w:r w:rsidR="00FA7662">
        <w:rPr>
          <w:color w:val="auto"/>
          <w:szCs w:val="24"/>
        </w:rPr>
        <w:t xml:space="preserve"> of that term in </w:t>
      </w:r>
      <w:r w:rsidR="009F3EBA">
        <w:rPr>
          <w:color w:val="auto"/>
          <w:szCs w:val="24"/>
        </w:rPr>
        <w:t xml:space="preserve">subsection 5(1) of </w:t>
      </w:r>
      <w:r w:rsidR="00327648" w:rsidRPr="00327648">
        <w:rPr>
          <w:color w:val="auto"/>
          <w:szCs w:val="24"/>
        </w:rPr>
        <w:t xml:space="preserve">the </w:t>
      </w:r>
      <w:r w:rsidR="00FA7662">
        <w:rPr>
          <w:color w:val="auto"/>
          <w:szCs w:val="24"/>
        </w:rPr>
        <w:t>FHSA if</w:t>
      </w:r>
      <w:r w:rsidR="009F3EBA">
        <w:rPr>
          <w:color w:val="auto"/>
          <w:szCs w:val="24"/>
        </w:rPr>
        <w:t xml:space="preserve"> the person:</w:t>
      </w:r>
    </w:p>
    <w:p w:rsidR="00327648" w:rsidRPr="009F3EBA" w:rsidRDefault="009F3EBA" w:rsidP="009F3EBA">
      <w:pPr>
        <w:pStyle w:val="Definition"/>
        <w:ind w:left="0" w:firstLine="720"/>
        <w:rPr>
          <w:sz w:val="24"/>
          <w:szCs w:val="24"/>
        </w:rPr>
      </w:pPr>
      <w:r w:rsidRPr="009F3EBA">
        <w:rPr>
          <w:sz w:val="24"/>
          <w:szCs w:val="24"/>
        </w:rPr>
        <w:t>(a)</w:t>
      </w:r>
      <w:r w:rsidRPr="009F3EBA">
        <w:rPr>
          <w:sz w:val="24"/>
          <w:szCs w:val="24"/>
        </w:rPr>
        <w:tab/>
      </w:r>
      <w:proofErr w:type="gramStart"/>
      <w:r w:rsidRPr="009F3EBA">
        <w:rPr>
          <w:sz w:val="24"/>
          <w:szCs w:val="24"/>
        </w:rPr>
        <w:t>has</w:t>
      </w:r>
      <w:proofErr w:type="gramEnd"/>
      <w:r w:rsidRPr="009F3EBA">
        <w:rPr>
          <w:sz w:val="24"/>
          <w:szCs w:val="24"/>
        </w:rPr>
        <w:t xml:space="preserve"> relevant financial qualifications; and</w:t>
      </w:r>
    </w:p>
    <w:p w:rsidR="00FA7662" w:rsidRPr="009F3EBA" w:rsidRDefault="00FA7662" w:rsidP="009F3EBA">
      <w:pPr>
        <w:pStyle w:val="Definition"/>
        <w:ind w:left="1440" w:hanging="720"/>
        <w:rPr>
          <w:sz w:val="24"/>
          <w:szCs w:val="24"/>
        </w:rPr>
      </w:pPr>
      <w:r w:rsidRPr="009F3EBA">
        <w:rPr>
          <w:sz w:val="24"/>
          <w:szCs w:val="24"/>
        </w:rPr>
        <w:t>(</w:t>
      </w:r>
      <w:r w:rsidR="009F3EBA" w:rsidRPr="009F3EBA">
        <w:rPr>
          <w:sz w:val="24"/>
          <w:szCs w:val="24"/>
        </w:rPr>
        <w:t>b</w:t>
      </w:r>
      <w:r w:rsidRPr="009F3EBA">
        <w:rPr>
          <w:sz w:val="24"/>
          <w:szCs w:val="24"/>
        </w:rPr>
        <w:t>)</w:t>
      </w:r>
      <w:r w:rsidRPr="009F3EBA">
        <w:rPr>
          <w:sz w:val="24"/>
          <w:szCs w:val="24"/>
        </w:rPr>
        <w:tab/>
      </w:r>
      <w:proofErr w:type="gramStart"/>
      <w:r w:rsidR="009F3EBA" w:rsidRPr="009F3EBA">
        <w:rPr>
          <w:sz w:val="24"/>
          <w:szCs w:val="24"/>
        </w:rPr>
        <w:t>is</w:t>
      </w:r>
      <w:proofErr w:type="gramEnd"/>
      <w:r w:rsidR="009F3EBA" w:rsidRPr="009F3EBA">
        <w:rPr>
          <w:sz w:val="24"/>
          <w:szCs w:val="24"/>
        </w:rPr>
        <w:t xml:space="preserve"> a member of a professional body whose members normally provide financial advice.</w:t>
      </w:r>
    </w:p>
    <w:p w:rsidR="00327648" w:rsidRDefault="009F3EBA" w:rsidP="009F3EBA">
      <w:pPr>
        <w:pStyle w:val="Normal-em"/>
        <w:rPr>
          <w:color w:val="auto"/>
          <w:szCs w:val="24"/>
        </w:rPr>
      </w:pPr>
      <w:r>
        <w:rPr>
          <w:color w:val="auto"/>
          <w:szCs w:val="24"/>
        </w:rPr>
        <w:t xml:space="preserve">An </w:t>
      </w:r>
      <w:r w:rsidRPr="009F3EBA">
        <w:rPr>
          <w:color w:val="auto"/>
          <w:szCs w:val="24"/>
        </w:rPr>
        <w:t>example of a relevant financial qualification is a qualification</w:t>
      </w:r>
      <w:r>
        <w:rPr>
          <w:color w:val="auto"/>
          <w:szCs w:val="24"/>
        </w:rPr>
        <w:t xml:space="preserve"> </w:t>
      </w:r>
      <w:r w:rsidRPr="009F3EBA">
        <w:rPr>
          <w:color w:val="auto"/>
          <w:szCs w:val="24"/>
        </w:rPr>
        <w:t>from a tertiary institution in a field that is relevant to giving financial advice; and</w:t>
      </w:r>
      <w:r>
        <w:rPr>
          <w:color w:val="auto"/>
          <w:szCs w:val="24"/>
        </w:rPr>
        <w:t xml:space="preserve"> </w:t>
      </w:r>
      <w:r w:rsidRPr="009F3EBA">
        <w:rPr>
          <w:color w:val="auto"/>
          <w:szCs w:val="24"/>
        </w:rPr>
        <w:t>that is recognised by a professional body whose members normally give financial advice.</w:t>
      </w:r>
    </w:p>
    <w:p w:rsidR="00ED382D" w:rsidRDefault="00ED382D" w:rsidP="00ED382D">
      <w:pPr>
        <w:pStyle w:val="Normal-em"/>
        <w:rPr>
          <w:iCs/>
          <w:color w:val="auto"/>
          <w:szCs w:val="24"/>
        </w:rPr>
      </w:pPr>
    </w:p>
    <w:p w:rsidR="004B2362" w:rsidRDefault="00080725" w:rsidP="00080725">
      <w:pPr>
        <w:pStyle w:val="Normal-em"/>
        <w:rPr>
          <w:b/>
          <w:color w:val="auto"/>
          <w:szCs w:val="24"/>
        </w:rPr>
      </w:pPr>
      <w:r>
        <w:rPr>
          <w:b/>
          <w:color w:val="auto"/>
          <w:szCs w:val="24"/>
        </w:rPr>
        <w:t xml:space="preserve">Part 2 – </w:t>
      </w:r>
      <w:r w:rsidR="004B2362">
        <w:rPr>
          <w:b/>
          <w:color w:val="auto"/>
          <w:szCs w:val="24"/>
        </w:rPr>
        <w:t>Farm Household Allowance</w:t>
      </w:r>
    </w:p>
    <w:p w:rsidR="00AA3C71" w:rsidRPr="00586C3E" w:rsidRDefault="00AA3C71" w:rsidP="00AA3C71">
      <w:pPr>
        <w:pStyle w:val="PlainText"/>
        <w:spacing w:before="2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Section 67 of the FHSA </w:t>
      </w:r>
      <w:r w:rsidRPr="00586C3E">
        <w:rPr>
          <w:rFonts w:ascii="Times New Roman" w:eastAsia="Times New Roman" w:hAnsi="Times New Roman" w:cs="Times New Roman"/>
          <w:bCs/>
          <w:sz w:val="24"/>
          <w:szCs w:val="24"/>
        </w:rPr>
        <w:t>provides the framework for possible deductions from the calculation of ordinary income</w:t>
      </w:r>
      <w:r>
        <w:rPr>
          <w:rFonts w:ascii="Times New Roman" w:eastAsia="Times New Roman" w:hAnsi="Times New Roman" w:cs="Times New Roman"/>
          <w:bCs/>
          <w:sz w:val="24"/>
          <w:szCs w:val="24"/>
        </w:rPr>
        <w:t xml:space="preserve"> for the purpose of the income test that applies to the FHA</w:t>
      </w:r>
      <w:r w:rsidRPr="00586C3E">
        <w:rPr>
          <w:rFonts w:ascii="Times New Roman" w:eastAsia="Times New Roman" w:hAnsi="Times New Roman" w:cs="Times New Roman"/>
          <w:bCs/>
          <w:sz w:val="24"/>
          <w:szCs w:val="24"/>
        </w:rPr>
        <w:t xml:space="preserve">. In the same way that section 1075 of the </w:t>
      </w:r>
      <w:r w:rsidRPr="006E4016">
        <w:rPr>
          <w:rFonts w:ascii="Times New Roman" w:eastAsia="Times New Roman" w:hAnsi="Times New Roman" w:cs="Times New Roman"/>
          <w:bCs/>
          <w:i/>
          <w:sz w:val="24"/>
          <w:szCs w:val="24"/>
        </w:rPr>
        <w:t xml:space="preserve">Social Security Act </w:t>
      </w:r>
      <w:r w:rsidR="006E4016" w:rsidRPr="006E4016">
        <w:rPr>
          <w:rFonts w:ascii="Times New Roman" w:eastAsia="Times New Roman" w:hAnsi="Times New Roman" w:cs="Times New Roman"/>
          <w:bCs/>
          <w:i/>
          <w:sz w:val="24"/>
          <w:szCs w:val="24"/>
        </w:rPr>
        <w:t>1991</w:t>
      </w:r>
      <w:r w:rsidR="006E4016">
        <w:rPr>
          <w:rFonts w:ascii="Times New Roman" w:eastAsia="Times New Roman" w:hAnsi="Times New Roman" w:cs="Times New Roman"/>
          <w:bCs/>
          <w:sz w:val="24"/>
          <w:szCs w:val="24"/>
        </w:rPr>
        <w:t xml:space="preserve"> </w:t>
      </w:r>
      <w:r w:rsidRPr="00586C3E">
        <w:rPr>
          <w:rFonts w:ascii="Times New Roman" w:eastAsia="Times New Roman" w:hAnsi="Times New Roman" w:cs="Times New Roman"/>
          <w:bCs/>
          <w:sz w:val="24"/>
          <w:szCs w:val="24"/>
        </w:rPr>
        <w:t xml:space="preserve">specifies permissible reductions for business income for items such as losses and outgoings that relate to the business, </w:t>
      </w:r>
      <w:r w:rsidR="00AC4F5E">
        <w:rPr>
          <w:rFonts w:ascii="Times New Roman" w:eastAsia="Times New Roman" w:hAnsi="Times New Roman" w:cs="Times New Roman"/>
          <w:bCs/>
          <w:sz w:val="24"/>
          <w:szCs w:val="24"/>
        </w:rPr>
        <w:t>subsection</w:t>
      </w:r>
      <w:r w:rsidR="00F236CE">
        <w:rPr>
          <w:rFonts w:ascii="Times New Roman" w:eastAsia="Times New Roman" w:hAnsi="Times New Roman" w:cs="Times New Roman"/>
          <w:bCs/>
          <w:sz w:val="24"/>
          <w:szCs w:val="24"/>
        </w:rPr>
        <w:t xml:space="preserve"> </w:t>
      </w:r>
      <w:r w:rsidR="00AC4F5E">
        <w:rPr>
          <w:rFonts w:ascii="Times New Roman" w:eastAsia="Times New Roman" w:hAnsi="Times New Roman" w:cs="Times New Roman"/>
          <w:bCs/>
          <w:sz w:val="24"/>
          <w:szCs w:val="24"/>
        </w:rPr>
        <w:t xml:space="preserve">67(2) </w:t>
      </w:r>
      <w:r w:rsidRPr="00586C3E">
        <w:rPr>
          <w:rFonts w:ascii="Times New Roman" w:eastAsia="Times New Roman" w:hAnsi="Times New Roman" w:cs="Times New Roman"/>
          <w:bCs/>
          <w:sz w:val="24"/>
          <w:szCs w:val="24"/>
        </w:rPr>
        <w:t xml:space="preserve">allows the Minister to </w:t>
      </w:r>
      <w:r w:rsidR="00AC4F5E">
        <w:rPr>
          <w:rFonts w:ascii="Times New Roman" w:eastAsia="Times New Roman" w:hAnsi="Times New Roman" w:cs="Times New Roman"/>
          <w:bCs/>
          <w:sz w:val="24"/>
          <w:szCs w:val="24"/>
        </w:rPr>
        <w:t>prescribe a kind of amount to be an allowable deduction</w:t>
      </w:r>
      <w:r w:rsidRPr="00586C3E">
        <w:rPr>
          <w:rFonts w:ascii="Times New Roman" w:eastAsia="Times New Roman" w:hAnsi="Times New Roman" w:cs="Times New Roman"/>
          <w:bCs/>
          <w:sz w:val="24"/>
          <w:szCs w:val="24"/>
        </w:rPr>
        <w:t>.</w:t>
      </w:r>
    </w:p>
    <w:p w:rsidR="00AA3C71" w:rsidRPr="00586C3E" w:rsidRDefault="00AA3C71" w:rsidP="00AA3C71">
      <w:pPr>
        <w:pStyle w:val="PlainText"/>
        <w:rPr>
          <w:rFonts w:ascii="Times New Roman" w:eastAsia="Times New Roman" w:hAnsi="Times New Roman" w:cs="Times New Roman"/>
          <w:bCs/>
          <w:sz w:val="24"/>
          <w:szCs w:val="24"/>
        </w:rPr>
      </w:pPr>
    </w:p>
    <w:p w:rsidR="00AA3C71" w:rsidRPr="00586C3E" w:rsidRDefault="00AA3C71" w:rsidP="00AA3C71">
      <w:pPr>
        <w:pStyle w:val="PlainText"/>
        <w:rPr>
          <w:rFonts w:ascii="Times New Roman" w:eastAsia="Times New Roman" w:hAnsi="Times New Roman" w:cs="Times New Roman"/>
          <w:bCs/>
          <w:sz w:val="24"/>
          <w:szCs w:val="24"/>
        </w:rPr>
      </w:pPr>
      <w:r w:rsidRPr="00586C3E">
        <w:rPr>
          <w:rFonts w:ascii="Times New Roman" w:eastAsia="Times New Roman" w:hAnsi="Times New Roman" w:cs="Times New Roman"/>
          <w:bCs/>
          <w:sz w:val="24"/>
          <w:szCs w:val="24"/>
        </w:rPr>
        <w:t xml:space="preserve">In prescribing a kind of </w:t>
      </w:r>
      <w:r w:rsidR="007C6F56">
        <w:rPr>
          <w:rFonts w:ascii="Times New Roman" w:eastAsia="Times New Roman" w:hAnsi="Times New Roman" w:cs="Times New Roman"/>
          <w:bCs/>
          <w:sz w:val="24"/>
          <w:szCs w:val="24"/>
        </w:rPr>
        <w:t>amount</w:t>
      </w:r>
      <w:r w:rsidRPr="00586C3E">
        <w:rPr>
          <w:rFonts w:ascii="Times New Roman" w:eastAsia="Times New Roman" w:hAnsi="Times New Roman" w:cs="Times New Roman"/>
          <w:bCs/>
          <w:sz w:val="24"/>
          <w:szCs w:val="24"/>
        </w:rPr>
        <w:t xml:space="preserve">, any criteria that a deduction must satisfy to be considered as a deduction may also be prescribed. The Minister’s rules may also prescribe a maximum amount that will apply to a kind of deduction. </w:t>
      </w:r>
    </w:p>
    <w:p w:rsidR="00AA3C71" w:rsidRDefault="00AA3C71" w:rsidP="00AA3C71">
      <w:pPr>
        <w:pStyle w:val="Normal-em"/>
        <w:rPr>
          <w:iCs/>
          <w:color w:val="auto"/>
          <w:szCs w:val="24"/>
        </w:rPr>
      </w:pPr>
    </w:p>
    <w:p w:rsidR="002B1DB3" w:rsidRPr="00224A82" w:rsidRDefault="00ED382D" w:rsidP="00B3331C">
      <w:pPr>
        <w:pStyle w:val="Normal-em"/>
        <w:rPr>
          <w:color w:val="auto"/>
          <w:szCs w:val="24"/>
        </w:rPr>
      </w:pPr>
      <w:r>
        <w:rPr>
          <w:color w:val="auto"/>
          <w:szCs w:val="24"/>
          <w:u w:val="single"/>
        </w:rPr>
        <w:t xml:space="preserve">Section </w:t>
      </w:r>
      <w:r w:rsidR="00327648">
        <w:rPr>
          <w:color w:val="auto"/>
          <w:szCs w:val="24"/>
          <w:u w:val="single"/>
        </w:rPr>
        <w:t>6</w:t>
      </w:r>
      <w:r>
        <w:rPr>
          <w:color w:val="auto"/>
          <w:szCs w:val="24"/>
          <w:u w:val="single"/>
        </w:rPr>
        <w:t xml:space="preserve"> – </w:t>
      </w:r>
      <w:r w:rsidR="00327648" w:rsidRPr="00327648">
        <w:rPr>
          <w:color w:val="auto"/>
          <w:szCs w:val="24"/>
          <w:u w:val="single"/>
        </w:rPr>
        <w:t>Rate of farm household allowance—allowable deductions from ordinary income generally</w:t>
      </w:r>
    </w:p>
    <w:p w:rsidR="00D36826" w:rsidRDefault="00D36826" w:rsidP="00B3331C">
      <w:pPr>
        <w:pStyle w:val="Normal-em"/>
        <w:rPr>
          <w:iCs/>
          <w:color w:val="auto"/>
          <w:szCs w:val="24"/>
        </w:rPr>
      </w:pPr>
    </w:p>
    <w:p w:rsidR="004E5C49" w:rsidRDefault="00A16CBE" w:rsidP="004E5C49">
      <w:pPr>
        <w:pStyle w:val="Normal-em"/>
      </w:pPr>
      <w:r>
        <w:rPr>
          <w:iCs/>
          <w:color w:val="auto"/>
          <w:szCs w:val="24"/>
        </w:rPr>
        <w:t>This section</w:t>
      </w:r>
      <w:r w:rsidR="00AA3C71">
        <w:rPr>
          <w:iCs/>
          <w:color w:val="auto"/>
          <w:szCs w:val="24"/>
        </w:rPr>
        <w:t xml:space="preserve"> prescribes that</w:t>
      </w:r>
      <w:r w:rsidR="002C11FD">
        <w:rPr>
          <w:iCs/>
          <w:color w:val="auto"/>
          <w:szCs w:val="24"/>
        </w:rPr>
        <w:t xml:space="preserve"> </w:t>
      </w:r>
      <w:r w:rsidR="004E5C49">
        <w:t>f</w:t>
      </w:r>
      <w:r w:rsidR="004E5C49" w:rsidRPr="00DE4314">
        <w:t>or section</w:t>
      </w:r>
      <w:r w:rsidR="00F236CE">
        <w:t xml:space="preserve"> </w:t>
      </w:r>
      <w:r w:rsidR="004E5C49" w:rsidRPr="0000323C">
        <w:t>67</w:t>
      </w:r>
      <w:r w:rsidR="004E5C49">
        <w:t xml:space="preserve"> </w:t>
      </w:r>
      <w:r w:rsidR="004E5C49" w:rsidRPr="0000323C">
        <w:t>of</w:t>
      </w:r>
      <w:r w:rsidR="004E5C49" w:rsidRPr="00DE4314">
        <w:t xml:space="preserve"> the Act, an</w:t>
      </w:r>
      <w:r w:rsidR="004E5C49">
        <w:t xml:space="preserve"> allowable deduction from a </w:t>
      </w:r>
      <w:r w:rsidR="004E5C49" w:rsidRPr="00DE4314">
        <w:t>person’s ordinary income under section</w:t>
      </w:r>
      <w:r w:rsidR="00F236CE">
        <w:t xml:space="preserve"> </w:t>
      </w:r>
      <w:r w:rsidR="004E5C49" w:rsidRPr="00DE4314">
        <w:t xml:space="preserve">1075 of the Social Security Act, </w:t>
      </w:r>
      <w:r w:rsidR="004E5C49">
        <w:t xml:space="preserve">is also an allowable deduction under this Act. </w:t>
      </w:r>
    </w:p>
    <w:p w:rsidR="004E5C49" w:rsidRDefault="004E5C49" w:rsidP="004E5C49">
      <w:pPr>
        <w:pStyle w:val="Normal-em"/>
      </w:pPr>
    </w:p>
    <w:p w:rsidR="004E5C49" w:rsidRDefault="004E5C49" w:rsidP="004E5C49">
      <w:pPr>
        <w:pStyle w:val="Normal-em"/>
      </w:pPr>
      <w:r>
        <w:t xml:space="preserve">Reinstating section 1075 through the Minister’s </w:t>
      </w:r>
      <w:r w:rsidR="00A24ADE">
        <w:t>r</w:t>
      </w:r>
      <w:r>
        <w:t xml:space="preserve">ule means that deductions that are permissible in relation to business income under social security law apply in relation to the income test for FHA. </w:t>
      </w:r>
    </w:p>
    <w:p w:rsidR="004E5C49" w:rsidRDefault="004E5C49" w:rsidP="004E5C49">
      <w:pPr>
        <w:pStyle w:val="Normal-em"/>
      </w:pPr>
    </w:p>
    <w:p w:rsidR="004E5C49" w:rsidRDefault="004E5C49" w:rsidP="004E5C49">
      <w:pPr>
        <w:pStyle w:val="Normal-em"/>
        <w:rPr>
          <w:iCs/>
          <w:color w:val="auto"/>
          <w:szCs w:val="24"/>
        </w:rPr>
      </w:pPr>
      <w:r>
        <w:t xml:space="preserve">The application of section 1075 through the </w:t>
      </w:r>
      <w:r w:rsidR="00A24ADE">
        <w:t>r</w:t>
      </w:r>
      <w:r>
        <w:t xml:space="preserve">ule, rather than legislation, provides a mechanism to ensure there are no unintended consequences arising from the interaction between the Social Security Act and a rule made under </w:t>
      </w:r>
      <w:r w:rsidRPr="00DE4314">
        <w:t>subsection 67(2</w:t>
      </w:r>
      <w:r>
        <w:t>) of the Act; including that at Section 7 of the rule.</w:t>
      </w:r>
    </w:p>
    <w:p w:rsidR="00080725" w:rsidRDefault="00080725" w:rsidP="00B3331C">
      <w:pPr>
        <w:pStyle w:val="Normal-em"/>
        <w:rPr>
          <w:iCs/>
          <w:color w:val="auto"/>
          <w:szCs w:val="24"/>
        </w:rPr>
      </w:pPr>
    </w:p>
    <w:p w:rsidR="00080725" w:rsidRPr="00836D6E" w:rsidRDefault="00080725" w:rsidP="00080725">
      <w:pPr>
        <w:pStyle w:val="Normal-em"/>
        <w:rPr>
          <w:color w:val="auto"/>
          <w:szCs w:val="24"/>
        </w:rPr>
      </w:pPr>
      <w:r>
        <w:rPr>
          <w:color w:val="auto"/>
          <w:szCs w:val="24"/>
          <w:u w:val="single"/>
        </w:rPr>
        <w:t xml:space="preserve">Section </w:t>
      </w:r>
      <w:r w:rsidR="00327648">
        <w:rPr>
          <w:color w:val="auto"/>
          <w:szCs w:val="24"/>
          <w:u w:val="single"/>
        </w:rPr>
        <w:t>7</w:t>
      </w:r>
      <w:r>
        <w:rPr>
          <w:color w:val="auto"/>
          <w:szCs w:val="24"/>
          <w:u w:val="single"/>
        </w:rPr>
        <w:t xml:space="preserve"> – </w:t>
      </w:r>
      <w:r w:rsidR="00327648" w:rsidRPr="00327648">
        <w:rPr>
          <w:color w:val="auto"/>
          <w:szCs w:val="24"/>
          <w:u w:val="single"/>
        </w:rPr>
        <w:t>Rate of farm household allowanc</w:t>
      </w:r>
      <w:r w:rsidR="008B56DA">
        <w:rPr>
          <w:color w:val="auto"/>
          <w:szCs w:val="24"/>
          <w:u w:val="single"/>
        </w:rPr>
        <w:t>e—allowable deductions from off-</w:t>
      </w:r>
      <w:r w:rsidR="00327648" w:rsidRPr="00327648">
        <w:rPr>
          <w:color w:val="auto"/>
          <w:szCs w:val="24"/>
          <w:u w:val="single"/>
        </w:rPr>
        <w:t>farm income</w:t>
      </w:r>
    </w:p>
    <w:p w:rsidR="00080725" w:rsidRPr="00836D6E" w:rsidRDefault="00080725" w:rsidP="00B3331C">
      <w:pPr>
        <w:pStyle w:val="Normal-em"/>
        <w:rPr>
          <w:iCs/>
          <w:color w:val="auto"/>
          <w:szCs w:val="24"/>
        </w:rPr>
      </w:pPr>
    </w:p>
    <w:p w:rsidR="004E5C49" w:rsidRDefault="00A16CBE" w:rsidP="004E5C49">
      <w:pPr>
        <w:pStyle w:val="Normal-em"/>
        <w:rPr>
          <w:iCs/>
          <w:color w:val="auto"/>
          <w:szCs w:val="24"/>
        </w:rPr>
      </w:pPr>
      <w:r>
        <w:rPr>
          <w:iCs/>
          <w:color w:val="auto"/>
          <w:szCs w:val="24"/>
        </w:rPr>
        <w:t xml:space="preserve">This section </w:t>
      </w:r>
      <w:r w:rsidR="004E5C49">
        <w:rPr>
          <w:iCs/>
          <w:color w:val="auto"/>
          <w:szCs w:val="24"/>
        </w:rPr>
        <w:t>allows for deductions to be made from off-farm income in some circumstances where that income has been used to pay interest on a loan related to the farm enterprise. The effect of this is to ensure that a person’s rate of payment accurately reflects the money available to that person for their self-support. This setting recognises that farmers experiencing fin</w:t>
      </w:r>
      <w:r>
        <w:rPr>
          <w:iCs/>
          <w:color w:val="auto"/>
          <w:szCs w:val="24"/>
        </w:rPr>
        <w:t>anci</w:t>
      </w:r>
      <w:r w:rsidR="004E5C49">
        <w:rPr>
          <w:iCs/>
          <w:color w:val="auto"/>
          <w:szCs w:val="24"/>
        </w:rPr>
        <w:t xml:space="preserve">al hardship often rely on off-farm income to support the farm </w:t>
      </w:r>
      <w:r>
        <w:rPr>
          <w:iCs/>
          <w:color w:val="auto"/>
          <w:szCs w:val="24"/>
        </w:rPr>
        <w:t>enterprise rather than for self-</w:t>
      </w:r>
      <w:r w:rsidR="004E5C49">
        <w:rPr>
          <w:iCs/>
          <w:color w:val="auto"/>
          <w:szCs w:val="24"/>
        </w:rPr>
        <w:t xml:space="preserve">support. Without the rule provided for by this section, a person’s off-farm income may cause them to be ineligible for FHA. </w:t>
      </w:r>
    </w:p>
    <w:p w:rsidR="004E5C49" w:rsidRDefault="004E5C49" w:rsidP="004E5C49">
      <w:pPr>
        <w:pStyle w:val="Normal-em"/>
        <w:rPr>
          <w:iCs/>
          <w:color w:val="auto"/>
          <w:szCs w:val="24"/>
        </w:rPr>
      </w:pPr>
    </w:p>
    <w:p w:rsidR="004E5C49" w:rsidRDefault="004E5C49" w:rsidP="004E5C49">
      <w:pPr>
        <w:pStyle w:val="Normal-em"/>
        <w:rPr>
          <w:iCs/>
          <w:color w:val="auto"/>
          <w:szCs w:val="24"/>
        </w:rPr>
      </w:pPr>
      <w:r>
        <w:rPr>
          <w:iCs/>
          <w:color w:val="auto"/>
          <w:szCs w:val="24"/>
        </w:rPr>
        <w:lastRenderedPageBreak/>
        <w:t>The circumstances where the deduction will apply are:</w:t>
      </w:r>
    </w:p>
    <w:p w:rsidR="004E5C49" w:rsidRDefault="004E5C49" w:rsidP="004E5C49">
      <w:pPr>
        <w:pStyle w:val="Normal-em"/>
        <w:numPr>
          <w:ilvl w:val="0"/>
          <w:numId w:val="18"/>
        </w:numPr>
        <w:rPr>
          <w:iCs/>
          <w:color w:val="auto"/>
          <w:szCs w:val="24"/>
        </w:rPr>
      </w:pPr>
      <w:r>
        <w:rPr>
          <w:iCs/>
          <w:color w:val="auto"/>
          <w:szCs w:val="24"/>
        </w:rPr>
        <w:t xml:space="preserve">the person’s ordinary income when worked out in accordance with section 67 is less than zero; and </w:t>
      </w:r>
    </w:p>
    <w:p w:rsidR="004E5C49" w:rsidRDefault="004E5C49" w:rsidP="004E5C49">
      <w:pPr>
        <w:pStyle w:val="Normal-em"/>
        <w:numPr>
          <w:ilvl w:val="0"/>
          <w:numId w:val="18"/>
        </w:numPr>
        <w:rPr>
          <w:iCs/>
          <w:color w:val="auto"/>
          <w:szCs w:val="24"/>
        </w:rPr>
      </w:pPr>
      <w:r>
        <w:rPr>
          <w:iCs/>
          <w:color w:val="auto"/>
          <w:szCs w:val="24"/>
        </w:rPr>
        <w:t>the amount of the deduction is equivalent to the amount payable as interest on a loan made by a commercial lender, to a maximum amount of $80,000 (combined for a person and their partner for a tax year); and</w:t>
      </w:r>
    </w:p>
    <w:p w:rsidR="004E5C49" w:rsidRDefault="004E5C49" w:rsidP="004E5C49">
      <w:pPr>
        <w:pStyle w:val="Normal-em"/>
        <w:numPr>
          <w:ilvl w:val="0"/>
          <w:numId w:val="18"/>
        </w:numPr>
        <w:rPr>
          <w:iCs/>
          <w:color w:val="auto"/>
          <w:szCs w:val="24"/>
        </w:rPr>
      </w:pPr>
      <w:r>
        <w:rPr>
          <w:iCs/>
          <w:color w:val="auto"/>
          <w:szCs w:val="24"/>
        </w:rPr>
        <w:t xml:space="preserve">the amount of interest payable must be payable </w:t>
      </w:r>
      <w:r w:rsidR="00636729">
        <w:rPr>
          <w:iCs/>
          <w:color w:val="auto"/>
          <w:szCs w:val="24"/>
        </w:rPr>
        <w:t>under a written contract that ca</w:t>
      </w:r>
      <w:r>
        <w:rPr>
          <w:iCs/>
          <w:color w:val="auto"/>
          <w:szCs w:val="24"/>
        </w:rPr>
        <w:t>me into effect at least one year prior to the claim; and</w:t>
      </w:r>
    </w:p>
    <w:p w:rsidR="004E5C49" w:rsidRDefault="004E5C49" w:rsidP="004E5C49">
      <w:pPr>
        <w:pStyle w:val="Normal-em"/>
        <w:numPr>
          <w:ilvl w:val="0"/>
          <w:numId w:val="18"/>
        </w:numPr>
        <w:rPr>
          <w:iCs/>
          <w:color w:val="auto"/>
          <w:szCs w:val="24"/>
        </w:rPr>
      </w:pPr>
      <w:r>
        <w:rPr>
          <w:iCs/>
          <w:color w:val="auto"/>
          <w:szCs w:val="24"/>
        </w:rPr>
        <w:t xml:space="preserve">the Secretary is satisfied the contract cannot be renegotiated to reduce the amount of interest </w:t>
      </w:r>
      <w:r w:rsidR="008B56DA">
        <w:rPr>
          <w:iCs/>
          <w:color w:val="auto"/>
          <w:szCs w:val="24"/>
        </w:rPr>
        <w:t>payable during a tax year; and</w:t>
      </w:r>
    </w:p>
    <w:p w:rsidR="004E5C49" w:rsidRDefault="004E5C49" w:rsidP="004E5C49">
      <w:pPr>
        <w:pStyle w:val="Normal-em"/>
        <w:numPr>
          <w:ilvl w:val="0"/>
          <w:numId w:val="18"/>
        </w:numPr>
        <w:rPr>
          <w:iCs/>
          <w:color w:val="auto"/>
          <w:szCs w:val="24"/>
        </w:rPr>
      </w:pPr>
      <w:r>
        <w:rPr>
          <w:iCs/>
          <w:color w:val="auto"/>
          <w:szCs w:val="24"/>
        </w:rPr>
        <w:t>The loan is secured by a farm asset of the farm enterprise; and</w:t>
      </w:r>
    </w:p>
    <w:p w:rsidR="004E5C49" w:rsidRDefault="004E5C49" w:rsidP="004E5C49">
      <w:pPr>
        <w:pStyle w:val="Normal-em"/>
        <w:numPr>
          <w:ilvl w:val="0"/>
          <w:numId w:val="18"/>
        </w:numPr>
        <w:rPr>
          <w:iCs/>
          <w:color w:val="auto"/>
          <w:szCs w:val="24"/>
        </w:rPr>
      </w:pPr>
      <w:r>
        <w:rPr>
          <w:iCs/>
          <w:color w:val="auto"/>
          <w:szCs w:val="24"/>
        </w:rPr>
        <w:t>The lender does not have a right or interest in the farm or any asset owned by</w:t>
      </w:r>
      <w:r w:rsidR="00A16CBE">
        <w:rPr>
          <w:iCs/>
          <w:color w:val="auto"/>
          <w:szCs w:val="24"/>
        </w:rPr>
        <w:t xml:space="preserve"> the person (or their partner).</w:t>
      </w:r>
    </w:p>
    <w:p w:rsidR="002B1DB3" w:rsidRDefault="002B1DB3" w:rsidP="00B3331C">
      <w:pPr>
        <w:rPr>
          <w:rFonts w:ascii="Times New Roman" w:hAnsi="Times New Roman" w:cs="Times New Roman"/>
          <w:sz w:val="24"/>
        </w:rPr>
      </w:pPr>
    </w:p>
    <w:p w:rsidR="004B2362" w:rsidRDefault="004B2362" w:rsidP="004B2362">
      <w:pPr>
        <w:pStyle w:val="Normal-em"/>
        <w:rPr>
          <w:b/>
          <w:color w:val="auto"/>
          <w:szCs w:val="24"/>
        </w:rPr>
      </w:pPr>
      <w:r>
        <w:rPr>
          <w:b/>
          <w:color w:val="auto"/>
          <w:szCs w:val="24"/>
        </w:rPr>
        <w:t>Part 3 – Activity supplement</w:t>
      </w:r>
    </w:p>
    <w:p w:rsidR="004B2362" w:rsidRDefault="004B2362" w:rsidP="004B2362">
      <w:pPr>
        <w:pStyle w:val="Normal-em"/>
        <w:rPr>
          <w:b/>
          <w:color w:val="auto"/>
          <w:szCs w:val="24"/>
        </w:rPr>
      </w:pPr>
    </w:p>
    <w:p w:rsidR="004B2362" w:rsidRPr="00836D6E" w:rsidRDefault="004B2362" w:rsidP="004B2362">
      <w:pPr>
        <w:pStyle w:val="Normal-em"/>
        <w:rPr>
          <w:color w:val="auto"/>
          <w:szCs w:val="24"/>
        </w:rPr>
      </w:pPr>
      <w:r>
        <w:rPr>
          <w:color w:val="auto"/>
          <w:szCs w:val="24"/>
          <w:u w:val="single"/>
        </w:rPr>
        <w:t xml:space="preserve">Section </w:t>
      </w:r>
      <w:r w:rsidR="00327648">
        <w:rPr>
          <w:color w:val="auto"/>
          <w:szCs w:val="24"/>
          <w:u w:val="single"/>
        </w:rPr>
        <w:t>8</w:t>
      </w:r>
      <w:r>
        <w:rPr>
          <w:color w:val="auto"/>
          <w:szCs w:val="24"/>
          <w:u w:val="single"/>
        </w:rPr>
        <w:t xml:space="preserve"> – </w:t>
      </w:r>
      <w:r w:rsidR="00327648" w:rsidRPr="00327648">
        <w:rPr>
          <w:color w:val="auto"/>
          <w:szCs w:val="24"/>
          <w:u w:val="single"/>
        </w:rPr>
        <w:t>Maximum amount of activity supplement</w:t>
      </w:r>
    </w:p>
    <w:p w:rsidR="004B2362" w:rsidRDefault="004B2362" w:rsidP="004B2362">
      <w:pPr>
        <w:pStyle w:val="Normal-em"/>
        <w:rPr>
          <w:iCs/>
          <w:color w:val="auto"/>
          <w:szCs w:val="24"/>
        </w:rPr>
      </w:pPr>
    </w:p>
    <w:p w:rsidR="00A94A7C" w:rsidRDefault="009A1039" w:rsidP="004B2362">
      <w:pPr>
        <w:pStyle w:val="Normal-em"/>
        <w:rPr>
          <w:iCs/>
          <w:color w:val="auto"/>
          <w:szCs w:val="24"/>
        </w:rPr>
      </w:pPr>
      <w:r>
        <w:rPr>
          <w:iCs/>
          <w:color w:val="auto"/>
          <w:szCs w:val="24"/>
        </w:rPr>
        <w:t xml:space="preserve">Section 82 of the FHSA </w:t>
      </w:r>
      <w:r w:rsidRPr="009A1039">
        <w:rPr>
          <w:iCs/>
          <w:color w:val="auto"/>
          <w:szCs w:val="24"/>
        </w:rPr>
        <w:t xml:space="preserve">provides for the amount of activity supplement payable to a qualified person. The amount of the supplement is the lesser of: the maximum amount prescribed in the Minister’s Rules; the cost of the activity; or the person’s </w:t>
      </w:r>
      <w:r w:rsidR="00A16CBE">
        <w:rPr>
          <w:iCs/>
          <w:color w:val="auto"/>
          <w:szCs w:val="24"/>
        </w:rPr>
        <w:t>remaining activity supplement.</w:t>
      </w:r>
    </w:p>
    <w:p w:rsidR="009A1039" w:rsidRDefault="009A1039" w:rsidP="004B2362">
      <w:pPr>
        <w:pStyle w:val="Normal-em"/>
        <w:rPr>
          <w:iCs/>
          <w:color w:val="auto"/>
          <w:szCs w:val="24"/>
        </w:rPr>
      </w:pPr>
    </w:p>
    <w:p w:rsidR="009A1039" w:rsidRDefault="009A1039" w:rsidP="004B2362">
      <w:pPr>
        <w:pStyle w:val="Normal-em"/>
        <w:rPr>
          <w:iCs/>
          <w:color w:val="auto"/>
          <w:szCs w:val="24"/>
        </w:rPr>
      </w:pPr>
      <w:r>
        <w:rPr>
          <w:iCs/>
          <w:color w:val="auto"/>
          <w:szCs w:val="24"/>
        </w:rPr>
        <w:t xml:space="preserve">Section </w:t>
      </w:r>
      <w:r w:rsidR="00A94A7C">
        <w:rPr>
          <w:iCs/>
          <w:color w:val="auto"/>
          <w:szCs w:val="24"/>
        </w:rPr>
        <w:t>8 prescribes that</w:t>
      </w:r>
      <w:r w:rsidR="002C11FD">
        <w:rPr>
          <w:iCs/>
          <w:color w:val="auto"/>
          <w:szCs w:val="24"/>
        </w:rPr>
        <w:t>,</w:t>
      </w:r>
      <w:r w:rsidR="00A94A7C">
        <w:rPr>
          <w:iCs/>
          <w:color w:val="auto"/>
          <w:szCs w:val="24"/>
        </w:rPr>
        <w:t xml:space="preserve"> for par</w:t>
      </w:r>
      <w:r w:rsidR="00A16CBE">
        <w:rPr>
          <w:iCs/>
          <w:color w:val="auto"/>
          <w:szCs w:val="24"/>
        </w:rPr>
        <w:t>agraph 82(1</w:t>
      </w:r>
      <w:proofErr w:type="gramStart"/>
      <w:r w:rsidR="00A16CBE">
        <w:rPr>
          <w:iCs/>
          <w:color w:val="auto"/>
          <w:szCs w:val="24"/>
        </w:rPr>
        <w:t>)(</w:t>
      </w:r>
      <w:proofErr w:type="gramEnd"/>
      <w:r w:rsidR="00A16CBE">
        <w:rPr>
          <w:iCs/>
          <w:color w:val="auto"/>
          <w:szCs w:val="24"/>
        </w:rPr>
        <w:t xml:space="preserve">a) of the FHSA, $3 </w:t>
      </w:r>
      <w:r w:rsidR="00A94A7C">
        <w:rPr>
          <w:iCs/>
          <w:color w:val="auto"/>
          <w:szCs w:val="24"/>
        </w:rPr>
        <w:t>000 is the maximum amount of activity supplement.</w:t>
      </w:r>
    </w:p>
    <w:p w:rsidR="00327648" w:rsidRDefault="00327648" w:rsidP="004B2362">
      <w:pPr>
        <w:pStyle w:val="Normal-em"/>
        <w:rPr>
          <w:iCs/>
          <w:color w:val="auto"/>
          <w:szCs w:val="24"/>
        </w:rPr>
      </w:pPr>
    </w:p>
    <w:p w:rsidR="00327648" w:rsidRDefault="00327648" w:rsidP="00A94A7C">
      <w:pPr>
        <w:pStyle w:val="Normal-em"/>
        <w:keepNext/>
        <w:rPr>
          <w:b/>
          <w:color w:val="auto"/>
          <w:szCs w:val="24"/>
        </w:rPr>
      </w:pPr>
      <w:r>
        <w:rPr>
          <w:b/>
          <w:color w:val="auto"/>
          <w:szCs w:val="24"/>
        </w:rPr>
        <w:t>Part 4 – Farm financial assessments</w:t>
      </w:r>
    </w:p>
    <w:p w:rsidR="00327648" w:rsidRDefault="00327648" w:rsidP="00327648">
      <w:pPr>
        <w:pStyle w:val="Normal-em"/>
        <w:rPr>
          <w:b/>
          <w:color w:val="auto"/>
          <w:szCs w:val="24"/>
        </w:rPr>
      </w:pPr>
    </w:p>
    <w:p w:rsidR="00327648" w:rsidRPr="00836D6E" w:rsidRDefault="00327648" w:rsidP="00327648">
      <w:pPr>
        <w:pStyle w:val="Normal-em"/>
        <w:rPr>
          <w:color w:val="auto"/>
          <w:szCs w:val="24"/>
        </w:rPr>
      </w:pPr>
      <w:r>
        <w:rPr>
          <w:color w:val="auto"/>
          <w:szCs w:val="24"/>
          <w:u w:val="single"/>
        </w:rPr>
        <w:t xml:space="preserve">Section 9 – </w:t>
      </w:r>
      <w:r w:rsidRPr="00327648">
        <w:rPr>
          <w:color w:val="auto"/>
          <w:szCs w:val="24"/>
          <w:u w:val="single"/>
        </w:rPr>
        <w:t>Maximum amount of farm financial assessment supplement</w:t>
      </w:r>
    </w:p>
    <w:p w:rsidR="00327648" w:rsidRDefault="00327648" w:rsidP="00327648">
      <w:pPr>
        <w:pStyle w:val="Normal-em"/>
        <w:rPr>
          <w:iCs/>
          <w:color w:val="auto"/>
          <w:szCs w:val="24"/>
        </w:rPr>
      </w:pPr>
    </w:p>
    <w:p w:rsidR="00327648" w:rsidRDefault="002C11FD" w:rsidP="00327648">
      <w:pPr>
        <w:pStyle w:val="Normal-em"/>
        <w:rPr>
          <w:iCs/>
          <w:color w:val="auto"/>
          <w:szCs w:val="24"/>
        </w:rPr>
      </w:pPr>
      <w:r>
        <w:rPr>
          <w:iCs/>
          <w:color w:val="auto"/>
          <w:szCs w:val="24"/>
        </w:rPr>
        <w:t xml:space="preserve">Section 89 of the FHSA </w:t>
      </w:r>
      <w:r w:rsidRPr="002C11FD">
        <w:rPr>
          <w:iCs/>
          <w:color w:val="auto"/>
          <w:szCs w:val="24"/>
        </w:rPr>
        <w:t xml:space="preserve">provides that the value of the farm financial assessment supplement is the lesser of the maximum value prescribed by the Minister’s </w:t>
      </w:r>
      <w:r w:rsidR="0056245D">
        <w:rPr>
          <w:iCs/>
          <w:color w:val="auto"/>
          <w:szCs w:val="24"/>
        </w:rPr>
        <w:t>r</w:t>
      </w:r>
      <w:r w:rsidRPr="002C11FD">
        <w:rPr>
          <w:iCs/>
          <w:color w:val="auto"/>
          <w:szCs w:val="24"/>
        </w:rPr>
        <w:t>ules or the cost of the farm financial assessment.</w:t>
      </w:r>
    </w:p>
    <w:p w:rsidR="004B2362" w:rsidRDefault="004B2362" w:rsidP="00B3331C">
      <w:pPr>
        <w:rPr>
          <w:rFonts w:ascii="Times New Roman" w:hAnsi="Times New Roman" w:cs="Times New Roman"/>
          <w:sz w:val="24"/>
        </w:rPr>
      </w:pPr>
    </w:p>
    <w:p w:rsidR="002C11FD" w:rsidRDefault="002C11FD" w:rsidP="002C11FD">
      <w:pPr>
        <w:pStyle w:val="Normal-em"/>
        <w:rPr>
          <w:iCs/>
          <w:color w:val="auto"/>
          <w:szCs w:val="24"/>
        </w:rPr>
      </w:pPr>
      <w:r>
        <w:rPr>
          <w:iCs/>
          <w:color w:val="auto"/>
          <w:szCs w:val="24"/>
        </w:rPr>
        <w:t xml:space="preserve">Section 9 prescribes that, for </w:t>
      </w:r>
      <w:r w:rsidR="00A16CBE">
        <w:rPr>
          <w:iCs/>
          <w:color w:val="auto"/>
          <w:szCs w:val="24"/>
        </w:rPr>
        <w:t xml:space="preserve">paragraph 89(a) of the FHSA, $1 </w:t>
      </w:r>
      <w:r>
        <w:rPr>
          <w:iCs/>
          <w:color w:val="auto"/>
          <w:szCs w:val="24"/>
        </w:rPr>
        <w:t>500 is the maximum amount of farm financial assessment supplement.</w:t>
      </w:r>
    </w:p>
    <w:p w:rsidR="002C11FD" w:rsidRDefault="002C11FD" w:rsidP="00B3331C">
      <w:pPr>
        <w:rPr>
          <w:rFonts w:ascii="Times New Roman" w:hAnsi="Times New Roman" w:cs="Times New Roman"/>
          <w:sz w:val="24"/>
        </w:rPr>
      </w:pPr>
    </w:p>
    <w:p w:rsidR="005C2B44" w:rsidRDefault="005C2B44">
      <w:pPr>
        <w:rPr>
          <w:rFonts w:ascii="Times New Roman" w:hAnsi="Times New Roman" w:cs="Times New Roman"/>
          <w:vanish/>
          <w:sz w:val="24"/>
        </w:rPr>
      </w:pPr>
    </w:p>
    <w:p w:rsidR="00F06ACF" w:rsidRDefault="00F06ACF">
      <w:pPr>
        <w:rPr>
          <w:rFonts w:ascii="Times" w:eastAsia="Times New Roman" w:hAnsi="Times" w:cs="Times New Roman"/>
          <w:b/>
          <w:caps/>
          <w:color w:val="000000"/>
          <w:sz w:val="24"/>
          <w:szCs w:val="20"/>
          <w:u w:val="single"/>
        </w:rPr>
      </w:pPr>
      <w:r>
        <w:rPr>
          <w:rFonts w:ascii="Times" w:hAnsi="Times"/>
          <w:b/>
          <w:caps/>
          <w:u w:val="single"/>
        </w:rPr>
        <w:br w:type="page"/>
      </w:r>
    </w:p>
    <w:p w:rsidR="005C2B44" w:rsidRPr="00116E1D" w:rsidRDefault="005C2B44" w:rsidP="005C2B44">
      <w:pPr>
        <w:pStyle w:val="Normal-em"/>
        <w:jc w:val="right"/>
        <w:rPr>
          <w:rFonts w:ascii="Times" w:hAnsi="Times"/>
          <w:b/>
          <w:caps/>
          <w:u w:val="single"/>
        </w:rPr>
      </w:pPr>
      <w:r w:rsidRPr="00116E1D">
        <w:rPr>
          <w:rFonts w:ascii="Times" w:hAnsi="Times"/>
          <w:b/>
          <w:caps/>
          <w:u w:val="single"/>
        </w:rPr>
        <w:lastRenderedPageBreak/>
        <w:t>Attachment</w:t>
      </w:r>
      <w:r>
        <w:rPr>
          <w:rFonts w:ascii="Times" w:hAnsi="Times"/>
          <w:b/>
          <w:caps/>
          <w:u w:val="single"/>
        </w:rPr>
        <w:t xml:space="preserve"> B</w:t>
      </w:r>
    </w:p>
    <w:p w:rsidR="002B1DB3" w:rsidRPr="009A57ED" w:rsidRDefault="002B1DB3" w:rsidP="00B3331C">
      <w:pPr>
        <w:rPr>
          <w:rFonts w:ascii="Times New Roman" w:hAnsi="Times New Roman" w:cs="Times New Roman"/>
          <w:vanish/>
          <w:sz w:val="24"/>
        </w:rPr>
      </w:pPr>
    </w:p>
    <w:p w:rsidR="002B1DB3" w:rsidRDefault="002B1DB3" w:rsidP="00B3331C">
      <w:pPr>
        <w:spacing w:before="360" w:after="120"/>
        <w:jc w:val="center"/>
        <w:rPr>
          <w:rFonts w:ascii="Times New Roman" w:hAnsi="Times New Roman"/>
          <w:b/>
          <w:sz w:val="28"/>
          <w:szCs w:val="28"/>
        </w:rPr>
      </w:pPr>
      <w:r w:rsidRPr="00E4135E">
        <w:rPr>
          <w:rFonts w:ascii="Times New Roman" w:hAnsi="Times New Roman"/>
          <w:b/>
          <w:sz w:val="28"/>
          <w:szCs w:val="28"/>
        </w:rPr>
        <w:t>Statement of Compatibility with Human Rights</w:t>
      </w:r>
    </w:p>
    <w:p w:rsidR="00DD1CC4" w:rsidRPr="00DD1CC4" w:rsidRDefault="00DD1CC4" w:rsidP="00DD1CC4">
      <w:pPr>
        <w:jc w:val="center"/>
        <w:rPr>
          <w:rFonts w:ascii="Times New Roman" w:hAnsi="Times New Roman"/>
          <w:sz w:val="24"/>
        </w:rPr>
      </w:pPr>
    </w:p>
    <w:p w:rsidR="002B1DB3" w:rsidRPr="00E4135E" w:rsidRDefault="002B1DB3" w:rsidP="00F16CEE">
      <w:pPr>
        <w:jc w:val="center"/>
        <w:rPr>
          <w:rFonts w:ascii="Times New Roman" w:hAnsi="Times New Roman"/>
          <w:sz w:val="24"/>
        </w:rPr>
      </w:pPr>
      <w:r w:rsidRPr="00E4135E">
        <w:rPr>
          <w:rFonts w:ascii="Times New Roman" w:hAnsi="Times New Roman"/>
          <w:i/>
          <w:sz w:val="24"/>
        </w:rPr>
        <w:t>Prepared in accordance with Part 3 of the Human Rights (Parliamentary Scrutiny) Act 2011</w:t>
      </w:r>
    </w:p>
    <w:p w:rsidR="002B1DB3" w:rsidRPr="00E4135E" w:rsidRDefault="002B1DB3" w:rsidP="00F16CEE">
      <w:pPr>
        <w:jc w:val="center"/>
        <w:rPr>
          <w:rFonts w:ascii="Times New Roman" w:hAnsi="Times New Roman"/>
          <w:sz w:val="24"/>
        </w:rPr>
      </w:pPr>
    </w:p>
    <w:p w:rsidR="002B1DB3" w:rsidRPr="00636729" w:rsidRDefault="002E4CC1" w:rsidP="00F16CEE">
      <w:pPr>
        <w:jc w:val="center"/>
        <w:rPr>
          <w:rFonts w:ascii="Times New Roman" w:hAnsi="Times New Roman"/>
          <w:b/>
          <w:i/>
          <w:sz w:val="24"/>
        </w:rPr>
      </w:pPr>
      <w:r w:rsidRPr="00636729">
        <w:rPr>
          <w:rFonts w:ascii="Times New Roman" w:hAnsi="Times New Roman"/>
          <w:b/>
          <w:i/>
          <w:sz w:val="24"/>
        </w:rPr>
        <w:t xml:space="preserve">Farm Household Support </w:t>
      </w:r>
      <w:r w:rsidR="00D83D21" w:rsidRPr="00636729">
        <w:rPr>
          <w:rFonts w:ascii="Times New Roman" w:hAnsi="Times New Roman"/>
          <w:b/>
          <w:i/>
          <w:sz w:val="24"/>
        </w:rPr>
        <w:t xml:space="preserve">Minister’s </w:t>
      </w:r>
      <w:r w:rsidRPr="00636729">
        <w:rPr>
          <w:rFonts w:ascii="Times New Roman" w:hAnsi="Times New Roman"/>
          <w:b/>
          <w:i/>
          <w:sz w:val="24"/>
        </w:rPr>
        <w:t>Rule 2014</w:t>
      </w:r>
    </w:p>
    <w:sdt>
      <w:sdtPr>
        <w:rPr>
          <w:rFonts w:ascii="Times New Roman" w:hAnsi="Times New Roman"/>
          <w:sz w:val="24"/>
        </w:rPr>
        <w:id w:val="962787082"/>
        <w:lock w:val="contentLocked"/>
        <w:placeholder>
          <w:docPart w:val="3F24F1B361AA4406A4B36253A44AD5DA"/>
        </w:placeholder>
        <w:group/>
      </w:sdtPr>
      <w:sdtEndPr>
        <w:rPr>
          <w:b/>
        </w:rPr>
      </w:sdtEndPr>
      <w:sdtContent>
        <w:p w:rsidR="002B1DB3" w:rsidRPr="00E4135E" w:rsidRDefault="002B1DB3" w:rsidP="00B3331C">
          <w:pPr>
            <w:jc w:val="center"/>
            <w:rPr>
              <w:rFonts w:ascii="Times New Roman" w:hAnsi="Times New Roman"/>
              <w:sz w:val="24"/>
            </w:rPr>
          </w:pPr>
        </w:p>
        <w:p w:rsidR="002B1DB3" w:rsidRPr="00E4135E" w:rsidRDefault="002B1DB3" w:rsidP="00B3331C">
          <w:pPr>
            <w:spacing w:before="120" w:after="120"/>
            <w:jc w:val="center"/>
            <w:rPr>
              <w:rFonts w:ascii="Times New Roman" w:hAnsi="Times New Roman"/>
              <w:sz w:val="24"/>
            </w:rPr>
          </w:pPr>
          <w:r w:rsidRPr="00E4135E">
            <w:rPr>
              <w:rFonts w:ascii="Times New Roman" w:hAnsi="Times New Roman"/>
              <w:sz w:val="24"/>
            </w:rPr>
            <w:t xml:space="preserve">This Legislative Instrument is compatible with the human rights and freedoms recognised or declared in the international instruments listed in section 3 of the </w:t>
          </w:r>
          <w:r w:rsidRPr="00E4135E">
            <w:rPr>
              <w:rFonts w:ascii="Times New Roman" w:hAnsi="Times New Roman"/>
              <w:i/>
              <w:sz w:val="24"/>
            </w:rPr>
            <w:t>Human Rights (Parliamentary Scrutiny) Act 2011</w:t>
          </w:r>
          <w:r w:rsidRPr="00E4135E">
            <w:rPr>
              <w:rFonts w:ascii="Times New Roman" w:hAnsi="Times New Roman"/>
              <w:sz w:val="24"/>
            </w:rPr>
            <w:t>.</w:t>
          </w:r>
        </w:p>
        <w:p w:rsidR="002B1DB3" w:rsidRPr="00E4135E" w:rsidRDefault="002B1DB3" w:rsidP="00B3331C">
          <w:pPr>
            <w:rPr>
              <w:rFonts w:ascii="Times New Roman" w:hAnsi="Times New Roman"/>
              <w:sz w:val="24"/>
            </w:rPr>
          </w:pPr>
        </w:p>
        <w:p w:rsidR="002B1DB3" w:rsidRPr="00E4135E" w:rsidRDefault="002B1DB3" w:rsidP="00B3331C">
          <w:pPr>
            <w:spacing w:after="120"/>
            <w:jc w:val="both"/>
            <w:rPr>
              <w:rFonts w:ascii="Times New Roman" w:hAnsi="Times New Roman"/>
              <w:b/>
              <w:sz w:val="24"/>
            </w:rPr>
          </w:pPr>
          <w:r w:rsidRPr="00E4135E">
            <w:rPr>
              <w:rFonts w:ascii="Times New Roman" w:hAnsi="Times New Roman"/>
              <w:b/>
              <w:sz w:val="24"/>
            </w:rPr>
            <w:t>Overview of the Legislative Instrument</w:t>
          </w:r>
        </w:p>
      </w:sdtContent>
    </w:sdt>
    <w:p w:rsidR="00DB3586" w:rsidRDefault="00DE43FF" w:rsidP="00B3331C">
      <w:pPr>
        <w:rPr>
          <w:rFonts w:ascii="Times New Roman" w:hAnsi="Times New Roman"/>
          <w:sz w:val="24"/>
        </w:rPr>
      </w:pPr>
      <w:r>
        <w:rPr>
          <w:rFonts w:ascii="Times New Roman" w:hAnsi="Times New Roman"/>
          <w:sz w:val="24"/>
        </w:rPr>
        <w:t xml:space="preserve">The </w:t>
      </w:r>
      <w:r w:rsidRPr="00DE43FF">
        <w:rPr>
          <w:rFonts w:ascii="Times New Roman" w:hAnsi="Times New Roman"/>
          <w:i/>
          <w:sz w:val="24"/>
        </w:rPr>
        <w:t>Farm Household Support Act 2014</w:t>
      </w:r>
      <w:r>
        <w:rPr>
          <w:rFonts w:ascii="Times New Roman" w:hAnsi="Times New Roman"/>
          <w:sz w:val="24"/>
        </w:rPr>
        <w:t xml:space="preserve"> (the FHSA) </w:t>
      </w:r>
      <w:r w:rsidRPr="00DE43FF">
        <w:rPr>
          <w:rFonts w:ascii="Times New Roman" w:hAnsi="Times New Roman"/>
          <w:sz w:val="24"/>
        </w:rPr>
        <w:t>provide</w:t>
      </w:r>
      <w:r w:rsidR="00A16CBE">
        <w:rPr>
          <w:rFonts w:ascii="Times New Roman" w:hAnsi="Times New Roman"/>
          <w:sz w:val="24"/>
        </w:rPr>
        <w:t>s</w:t>
      </w:r>
      <w:r w:rsidRPr="00DE43FF">
        <w:rPr>
          <w:rFonts w:ascii="Times New Roman" w:hAnsi="Times New Roman"/>
          <w:sz w:val="24"/>
        </w:rPr>
        <w:t xml:space="preserve"> for the Farm Household Allowance (FHA). This allowance makes available financial assistance to farmers and their partners who are in financial hardship, in the form of time-limited income support and funding to obtain relevant advice and training, so they undertake actions to improve their situation.</w:t>
      </w:r>
      <w:r w:rsidR="00DB3586">
        <w:rPr>
          <w:rFonts w:ascii="Times New Roman" w:hAnsi="Times New Roman"/>
          <w:sz w:val="24"/>
        </w:rPr>
        <w:t xml:space="preserve"> </w:t>
      </w:r>
    </w:p>
    <w:p w:rsidR="00DB3586" w:rsidRDefault="00DB3586" w:rsidP="00B3331C">
      <w:pPr>
        <w:rPr>
          <w:rFonts w:ascii="Times New Roman" w:hAnsi="Times New Roman"/>
          <w:sz w:val="24"/>
        </w:rPr>
      </w:pPr>
    </w:p>
    <w:p w:rsidR="00DE43FF" w:rsidRDefault="00DB3586" w:rsidP="00B3331C">
      <w:pPr>
        <w:rPr>
          <w:rFonts w:ascii="Times New Roman" w:hAnsi="Times New Roman"/>
          <w:sz w:val="24"/>
        </w:rPr>
      </w:pPr>
      <w:r>
        <w:rPr>
          <w:rFonts w:ascii="Times New Roman" w:hAnsi="Times New Roman"/>
          <w:sz w:val="24"/>
        </w:rPr>
        <w:t xml:space="preserve">FHA </w:t>
      </w:r>
      <w:r w:rsidRPr="00DB3586">
        <w:rPr>
          <w:rFonts w:ascii="Times New Roman" w:hAnsi="Times New Roman"/>
          <w:sz w:val="24"/>
        </w:rPr>
        <w:t>is aligned where possible with social security payments</w:t>
      </w:r>
      <w:r w:rsidR="00A16CBE">
        <w:rPr>
          <w:rFonts w:ascii="Times New Roman" w:hAnsi="Times New Roman"/>
          <w:sz w:val="24"/>
        </w:rPr>
        <w:t xml:space="preserve"> under social security law (that is</w:t>
      </w:r>
      <w:r w:rsidRPr="00DB3586">
        <w:rPr>
          <w:rFonts w:ascii="Times New Roman" w:hAnsi="Times New Roman"/>
          <w:sz w:val="24"/>
        </w:rPr>
        <w:t xml:space="preserve"> the </w:t>
      </w:r>
      <w:r w:rsidRPr="00DB3586">
        <w:rPr>
          <w:rFonts w:ascii="Times New Roman" w:hAnsi="Times New Roman"/>
          <w:i/>
          <w:sz w:val="24"/>
        </w:rPr>
        <w:t>Social Security Act 1991</w:t>
      </w:r>
      <w:r w:rsidRPr="00DB3586">
        <w:rPr>
          <w:rFonts w:ascii="Times New Roman" w:hAnsi="Times New Roman"/>
          <w:sz w:val="24"/>
        </w:rPr>
        <w:t xml:space="preserve"> and the </w:t>
      </w:r>
      <w:r w:rsidRPr="00DB3586">
        <w:rPr>
          <w:rFonts w:ascii="Times New Roman" w:hAnsi="Times New Roman"/>
          <w:i/>
          <w:sz w:val="24"/>
        </w:rPr>
        <w:t>Social Security (Administration) Act 1999</w:t>
      </w:r>
      <w:r w:rsidRPr="00DB3586">
        <w:rPr>
          <w:rFonts w:ascii="Times New Roman" w:hAnsi="Times New Roman"/>
          <w:sz w:val="24"/>
        </w:rPr>
        <w:t>)</w:t>
      </w:r>
      <w:r>
        <w:rPr>
          <w:rFonts w:ascii="Times New Roman" w:hAnsi="Times New Roman"/>
          <w:sz w:val="24"/>
        </w:rPr>
        <w:t xml:space="preserve"> and </w:t>
      </w:r>
      <w:r w:rsidRPr="00DB3586">
        <w:rPr>
          <w:rFonts w:ascii="Times New Roman" w:hAnsi="Times New Roman"/>
          <w:sz w:val="24"/>
        </w:rPr>
        <w:t>seeks to achieve the legitimate purpose of providing financial assistance to farmers who are in financial difficulty if they undertake actions to improve their situation.</w:t>
      </w:r>
    </w:p>
    <w:p w:rsidR="0081705B" w:rsidRDefault="0081705B" w:rsidP="00B3331C">
      <w:pPr>
        <w:rPr>
          <w:rFonts w:ascii="Times New Roman" w:hAnsi="Times New Roman"/>
          <w:sz w:val="24"/>
        </w:rPr>
      </w:pPr>
    </w:p>
    <w:p w:rsidR="0081705B" w:rsidRDefault="0081705B" w:rsidP="00B3331C">
      <w:pPr>
        <w:rPr>
          <w:rFonts w:ascii="Times New Roman" w:hAnsi="Times New Roman" w:cs="Times New Roman"/>
          <w:sz w:val="24"/>
        </w:rPr>
      </w:pPr>
      <w:r>
        <w:rPr>
          <w:rFonts w:ascii="Times New Roman" w:hAnsi="Times New Roman"/>
          <w:sz w:val="24"/>
        </w:rPr>
        <w:t xml:space="preserve">The FHSA commences on 1 July 2014. </w:t>
      </w:r>
    </w:p>
    <w:p w:rsidR="0081705B" w:rsidRDefault="0081705B" w:rsidP="00B3331C">
      <w:pPr>
        <w:rPr>
          <w:rFonts w:ascii="Times New Roman" w:hAnsi="Times New Roman" w:cs="Times New Roman"/>
          <w:sz w:val="24"/>
        </w:rPr>
      </w:pPr>
    </w:p>
    <w:p w:rsidR="0081705B" w:rsidRDefault="00262A43" w:rsidP="00B3331C">
      <w:pPr>
        <w:rPr>
          <w:rFonts w:ascii="Times New Roman" w:eastAsia="Times New Roman" w:hAnsi="Times New Roman" w:cs="Times New Roman"/>
          <w:bCs/>
          <w:sz w:val="24"/>
        </w:rPr>
      </w:pPr>
      <w:r>
        <w:rPr>
          <w:rFonts w:ascii="Times New Roman" w:hAnsi="Times New Roman" w:cs="Times New Roman"/>
          <w:sz w:val="24"/>
        </w:rPr>
        <w:t xml:space="preserve">The </w:t>
      </w:r>
      <w:r w:rsidRPr="00262A43">
        <w:rPr>
          <w:rFonts w:ascii="Times New Roman" w:hAnsi="Times New Roman" w:cs="Times New Roman"/>
          <w:i/>
          <w:sz w:val="24"/>
        </w:rPr>
        <w:t>Farm Household Support Minister’s Rule 2014</w:t>
      </w:r>
      <w:r>
        <w:rPr>
          <w:rFonts w:ascii="Times New Roman" w:hAnsi="Times New Roman" w:cs="Times New Roman"/>
          <w:sz w:val="24"/>
        </w:rPr>
        <w:t xml:space="preserve"> (the </w:t>
      </w:r>
      <w:r w:rsidR="006F511E">
        <w:rPr>
          <w:rFonts w:ascii="Times New Roman" w:hAnsi="Times New Roman" w:cs="Times New Roman"/>
          <w:sz w:val="24"/>
        </w:rPr>
        <w:t>r</w:t>
      </w:r>
      <w:r>
        <w:rPr>
          <w:rFonts w:ascii="Times New Roman" w:hAnsi="Times New Roman" w:cs="Times New Roman"/>
          <w:sz w:val="24"/>
        </w:rPr>
        <w:t xml:space="preserve">ule) prescribes various matters, including the meaning of </w:t>
      </w:r>
      <w:r>
        <w:rPr>
          <w:rFonts w:ascii="Times New Roman" w:hAnsi="Times New Roman" w:cs="Times New Roman"/>
          <w:b/>
          <w:i/>
          <w:sz w:val="24"/>
        </w:rPr>
        <w:t>prescribed adviser</w:t>
      </w:r>
      <w:r>
        <w:rPr>
          <w:rFonts w:ascii="Times New Roman" w:hAnsi="Times New Roman" w:cs="Times New Roman"/>
          <w:sz w:val="24"/>
        </w:rPr>
        <w:t xml:space="preserve">, </w:t>
      </w:r>
      <w:r w:rsidR="00D91C7C">
        <w:rPr>
          <w:rFonts w:ascii="Times New Roman" w:hAnsi="Times New Roman" w:cs="Times New Roman"/>
          <w:sz w:val="24"/>
        </w:rPr>
        <w:t xml:space="preserve">allowable deductions </w:t>
      </w:r>
      <w:r w:rsidR="00D91C7C" w:rsidRPr="00586C3E">
        <w:rPr>
          <w:rFonts w:ascii="Times New Roman" w:eastAsia="Times New Roman" w:hAnsi="Times New Roman" w:cs="Times New Roman"/>
          <w:bCs/>
          <w:sz w:val="24"/>
        </w:rPr>
        <w:t>from the calculation of ordinary income</w:t>
      </w:r>
      <w:r w:rsidR="00D91C7C" w:rsidRPr="00D91C7C">
        <w:rPr>
          <w:rFonts w:ascii="Times New Roman" w:eastAsia="Times New Roman" w:hAnsi="Times New Roman" w:cs="Times New Roman"/>
          <w:bCs/>
          <w:sz w:val="24"/>
        </w:rPr>
        <w:t xml:space="preserve"> </w:t>
      </w:r>
      <w:r w:rsidR="00D91C7C">
        <w:rPr>
          <w:rFonts w:ascii="Times New Roman" w:eastAsia="Times New Roman" w:hAnsi="Times New Roman" w:cs="Times New Roman"/>
          <w:bCs/>
          <w:sz w:val="24"/>
        </w:rPr>
        <w:t>for the purpose of the income test that applies to the FHA, and the maximum rate of activity supplement and farm financial assessment supplement available to FHA recipients.</w:t>
      </w:r>
    </w:p>
    <w:p w:rsidR="002C75EE" w:rsidRDefault="002C75EE" w:rsidP="00B3331C">
      <w:pPr>
        <w:rPr>
          <w:rFonts w:ascii="Times New Roman" w:eastAsia="Times New Roman" w:hAnsi="Times New Roman" w:cs="Times New Roman"/>
          <w:bCs/>
          <w:sz w:val="24"/>
        </w:rPr>
      </w:pPr>
    </w:p>
    <w:p w:rsidR="00993F3E" w:rsidRPr="00364A9C" w:rsidRDefault="00993F3E" w:rsidP="00993F3E">
      <w:pPr>
        <w:rPr>
          <w:rFonts w:ascii="Times New Roman" w:hAnsi="Times New Roman"/>
          <w:b/>
          <w:sz w:val="24"/>
        </w:rPr>
      </w:pPr>
      <w:r w:rsidRPr="00364A9C">
        <w:rPr>
          <w:rFonts w:ascii="Times New Roman" w:hAnsi="Times New Roman"/>
          <w:b/>
          <w:sz w:val="24"/>
        </w:rPr>
        <w:t xml:space="preserve">Human </w:t>
      </w:r>
      <w:r w:rsidR="006F511E">
        <w:rPr>
          <w:rFonts w:ascii="Times New Roman" w:hAnsi="Times New Roman"/>
          <w:b/>
          <w:sz w:val="24"/>
        </w:rPr>
        <w:t>r</w:t>
      </w:r>
      <w:r w:rsidRPr="00364A9C">
        <w:rPr>
          <w:rFonts w:ascii="Times New Roman" w:hAnsi="Times New Roman"/>
          <w:b/>
          <w:sz w:val="24"/>
        </w:rPr>
        <w:t>ights implications</w:t>
      </w:r>
    </w:p>
    <w:p w:rsidR="00993F3E" w:rsidRPr="00993F3E" w:rsidRDefault="00993F3E" w:rsidP="00993F3E">
      <w:pPr>
        <w:rPr>
          <w:rFonts w:ascii="Times New Roman" w:hAnsi="Times New Roman"/>
          <w:sz w:val="24"/>
        </w:rPr>
      </w:pPr>
    </w:p>
    <w:p w:rsidR="008A0909" w:rsidRDefault="00993F3E" w:rsidP="00993F3E">
      <w:pPr>
        <w:rPr>
          <w:rFonts w:ascii="Times New Roman" w:hAnsi="Times New Roman"/>
          <w:sz w:val="24"/>
        </w:rPr>
      </w:pPr>
      <w:r w:rsidRPr="00993F3E">
        <w:rPr>
          <w:rFonts w:ascii="Times New Roman" w:hAnsi="Times New Roman"/>
          <w:sz w:val="24"/>
        </w:rPr>
        <w:t xml:space="preserve">Several aspects of the </w:t>
      </w:r>
      <w:r w:rsidR="00ED5DC1">
        <w:rPr>
          <w:rFonts w:ascii="Times New Roman" w:hAnsi="Times New Roman"/>
          <w:sz w:val="24"/>
        </w:rPr>
        <w:t xml:space="preserve">FHSA </w:t>
      </w:r>
      <w:r w:rsidRPr="00993F3E">
        <w:rPr>
          <w:rFonts w:ascii="Times New Roman" w:hAnsi="Times New Roman"/>
          <w:sz w:val="24"/>
        </w:rPr>
        <w:t xml:space="preserve">were assessed to engage human rights and freedoms recognised or declared in the international instruments listed in the definition of human rights at section 3 of the </w:t>
      </w:r>
      <w:r w:rsidRPr="00ED5DC1">
        <w:rPr>
          <w:rFonts w:ascii="Times New Roman" w:hAnsi="Times New Roman"/>
          <w:i/>
          <w:sz w:val="24"/>
        </w:rPr>
        <w:t>Human Rights (Parliamentary Scrutiny) Act 2011</w:t>
      </w:r>
      <w:r w:rsidRPr="00993F3E">
        <w:rPr>
          <w:rFonts w:ascii="Times New Roman" w:hAnsi="Times New Roman"/>
          <w:sz w:val="24"/>
        </w:rPr>
        <w:t xml:space="preserve">. </w:t>
      </w:r>
    </w:p>
    <w:p w:rsidR="008A0909" w:rsidRDefault="008A0909" w:rsidP="00993F3E">
      <w:pPr>
        <w:rPr>
          <w:rFonts w:ascii="Times New Roman" w:hAnsi="Times New Roman"/>
          <w:sz w:val="24"/>
        </w:rPr>
      </w:pPr>
    </w:p>
    <w:p w:rsidR="00A754C5" w:rsidRDefault="00993F3E" w:rsidP="00993F3E">
      <w:pPr>
        <w:rPr>
          <w:rFonts w:ascii="Times New Roman" w:hAnsi="Times New Roman"/>
          <w:sz w:val="24"/>
        </w:rPr>
      </w:pPr>
      <w:r w:rsidRPr="00993F3E">
        <w:rPr>
          <w:rFonts w:ascii="Times New Roman" w:hAnsi="Times New Roman"/>
          <w:sz w:val="24"/>
        </w:rPr>
        <w:t xml:space="preserve">For example, </w:t>
      </w:r>
      <w:r w:rsidR="00A754C5" w:rsidRPr="00FB5AAE">
        <w:rPr>
          <w:rFonts w:ascii="Times New Roman" w:hAnsi="Times New Roman"/>
          <w:sz w:val="24"/>
        </w:rPr>
        <w:t>Part 2, Division 8</w:t>
      </w:r>
      <w:r w:rsidR="00A754C5">
        <w:rPr>
          <w:rFonts w:ascii="Times New Roman" w:hAnsi="Times New Roman"/>
          <w:sz w:val="24"/>
        </w:rPr>
        <w:t xml:space="preserve"> (which provides for the rate of payment of FHA) was identified as </w:t>
      </w:r>
      <w:r w:rsidR="00CF7424">
        <w:rPr>
          <w:rFonts w:ascii="Times New Roman" w:hAnsi="Times New Roman"/>
          <w:sz w:val="24"/>
        </w:rPr>
        <w:t xml:space="preserve">engaging </w:t>
      </w:r>
      <w:r w:rsidR="00A754C5" w:rsidRPr="00A754C5">
        <w:rPr>
          <w:rFonts w:ascii="Times New Roman" w:hAnsi="Times New Roman"/>
          <w:sz w:val="24"/>
        </w:rPr>
        <w:t xml:space="preserve">the </w:t>
      </w:r>
      <w:r w:rsidR="00A754C5">
        <w:rPr>
          <w:rFonts w:ascii="Times New Roman" w:hAnsi="Times New Roman"/>
          <w:sz w:val="24"/>
        </w:rPr>
        <w:t xml:space="preserve">following rights set out in the </w:t>
      </w:r>
      <w:r w:rsidR="00A754C5" w:rsidRPr="00A754C5">
        <w:rPr>
          <w:rFonts w:ascii="Times New Roman" w:hAnsi="Times New Roman"/>
          <w:i/>
          <w:sz w:val="24"/>
        </w:rPr>
        <w:t>International Covenant on Economic, Social and Cultural Rights</w:t>
      </w:r>
      <w:r w:rsidR="00A754C5">
        <w:rPr>
          <w:rFonts w:ascii="Times New Roman" w:hAnsi="Times New Roman"/>
          <w:i/>
          <w:sz w:val="24"/>
        </w:rPr>
        <w:t xml:space="preserve"> </w:t>
      </w:r>
      <w:r w:rsidR="00A754C5">
        <w:rPr>
          <w:rFonts w:ascii="Times New Roman" w:hAnsi="Times New Roman"/>
          <w:sz w:val="24"/>
        </w:rPr>
        <w:t>(ICESCR)</w:t>
      </w:r>
      <w:r w:rsidR="00382C16">
        <w:rPr>
          <w:rFonts w:ascii="Times New Roman" w:hAnsi="Times New Roman"/>
          <w:sz w:val="24"/>
        </w:rPr>
        <w:t xml:space="preserve"> by advancing immediately these rights</w:t>
      </w:r>
      <w:r w:rsidR="00A754C5">
        <w:rPr>
          <w:rFonts w:ascii="Times New Roman" w:hAnsi="Times New Roman"/>
          <w:sz w:val="24"/>
        </w:rPr>
        <w:t>:</w:t>
      </w:r>
    </w:p>
    <w:p w:rsidR="00A754C5" w:rsidRPr="00A754C5" w:rsidRDefault="00A754C5" w:rsidP="00A754C5">
      <w:pPr>
        <w:spacing w:before="240"/>
        <w:ind w:firstLine="720"/>
        <w:rPr>
          <w:rFonts w:ascii="Times New Roman" w:hAnsi="Times New Roman" w:cs="Times New Roman"/>
          <w:bCs/>
          <w:sz w:val="24"/>
        </w:rPr>
      </w:pPr>
      <w:r w:rsidRPr="00A754C5">
        <w:rPr>
          <w:rFonts w:ascii="Times New Roman" w:hAnsi="Times New Roman" w:cs="Times New Roman"/>
          <w:bCs/>
          <w:sz w:val="24"/>
        </w:rPr>
        <w:t>•</w:t>
      </w:r>
      <w:r w:rsidRPr="00A754C5">
        <w:rPr>
          <w:rFonts w:ascii="Times New Roman" w:hAnsi="Times New Roman" w:cs="Times New Roman"/>
          <w:bCs/>
          <w:sz w:val="24"/>
        </w:rPr>
        <w:tab/>
        <w:t>Article 9 of the ICESCR – right to social security</w:t>
      </w:r>
    </w:p>
    <w:p w:rsidR="00A754C5" w:rsidRPr="00A754C5" w:rsidRDefault="00A754C5" w:rsidP="00A754C5">
      <w:pPr>
        <w:spacing w:before="240"/>
        <w:ind w:left="1440" w:hanging="720"/>
        <w:rPr>
          <w:rFonts w:ascii="Times New Roman" w:hAnsi="Times New Roman" w:cs="Times New Roman"/>
          <w:bCs/>
          <w:sz w:val="24"/>
        </w:rPr>
      </w:pPr>
      <w:r w:rsidRPr="00A754C5">
        <w:rPr>
          <w:rFonts w:ascii="Times New Roman" w:hAnsi="Times New Roman" w:cs="Times New Roman"/>
          <w:bCs/>
          <w:sz w:val="24"/>
        </w:rPr>
        <w:t>•</w:t>
      </w:r>
      <w:r w:rsidRPr="00A754C5">
        <w:rPr>
          <w:rFonts w:ascii="Times New Roman" w:hAnsi="Times New Roman" w:cs="Times New Roman"/>
          <w:bCs/>
          <w:sz w:val="24"/>
        </w:rPr>
        <w:tab/>
        <w:t>Article 11(1) of the ICESCR – right to an adequate standard of living, including food, water and housing</w:t>
      </w:r>
    </w:p>
    <w:p w:rsidR="00A754C5" w:rsidRPr="00A754C5" w:rsidRDefault="00A754C5" w:rsidP="00A754C5">
      <w:pPr>
        <w:spacing w:before="240"/>
        <w:ind w:firstLine="720"/>
        <w:rPr>
          <w:rFonts w:ascii="Times New Roman" w:hAnsi="Times New Roman" w:cs="Times New Roman"/>
          <w:bCs/>
          <w:sz w:val="24"/>
        </w:rPr>
      </w:pPr>
      <w:r w:rsidRPr="00A754C5">
        <w:rPr>
          <w:rFonts w:ascii="Times New Roman" w:hAnsi="Times New Roman" w:cs="Times New Roman"/>
          <w:bCs/>
          <w:sz w:val="24"/>
        </w:rPr>
        <w:lastRenderedPageBreak/>
        <w:t>•</w:t>
      </w:r>
      <w:r w:rsidRPr="00A754C5">
        <w:rPr>
          <w:rFonts w:ascii="Times New Roman" w:hAnsi="Times New Roman" w:cs="Times New Roman"/>
          <w:bCs/>
          <w:sz w:val="24"/>
        </w:rPr>
        <w:tab/>
        <w:t>Article 12(1) of the ICESCR – right to health</w:t>
      </w:r>
    </w:p>
    <w:p w:rsidR="00A754C5" w:rsidRPr="00A754C5" w:rsidRDefault="00A754C5" w:rsidP="00A754C5">
      <w:pPr>
        <w:spacing w:before="240"/>
        <w:ind w:firstLine="720"/>
        <w:rPr>
          <w:rFonts w:ascii="Times New Roman" w:hAnsi="Times New Roman" w:cs="Times New Roman"/>
          <w:bCs/>
          <w:sz w:val="24"/>
        </w:rPr>
      </w:pPr>
      <w:r w:rsidRPr="00A754C5">
        <w:rPr>
          <w:rFonts w:ascii="Times New Roman" w:hAnsi="Times New Roman" w:cs="Times New Roman"/>
          <w:bCs/>
          <w:sz w:val="24"/>
        </w:rPr>
        <w:t>•</w:t>
      </w:r>
      <w:r w:rsidRPr="00A754C5">
        <w:rPr>
          <w:rFonts w:ascii="Times New Roman" w:hAnsi="Times New Roman" w:cs="Times New Roman"/>
          <w:bCs/>
          <w:sz w:val="24"/>
        </w:rPr>
        <w:tab/>
        <w:t>Article 10(1) of the ICESCR – right to respect for the family</w:t>
      </w:r>
    </w:p>
    <w:p w:rsidR="00A754C5" w:rsidRPr="00A754C5" w:rsidRDefault="00A754C5" w:rsidP="00A754C5">
      <w:pPr>
        <w:spacing w:before="240"/>
        <w:ind w:firstLine="720"/>
        <w:rPr>
          <w:rFonts w:ascii="Times New Roman" w:hAnsi="Times New Roman" w:cs="Times New Roman"/>
          <w:bCs/>
          <w:sz w:val="24"/>
        </w:rPr>
      </w:pPr>
      <w:r w:rsidRPr="00A754C5">
        <w:rPr>
          <w:rFonts w:ascii="Times New Roman" w:hAnsi="Times New Roman" w:cs="Times New Roman"/>
          <w:bCs/>
          <w:sz w:val="24"/>
        </w:rPr>
        <w:t>•</w:t>
      </w:r>
      <w:r w:rsidRPr="00A754C5">
        <w:rPr>
          <w:rFonts w:ascii="Times New Roman" w:hAnsi="Times New Roman" w:cs="Times New Roman"/>
          <w:bCs/>
          <w:sz w:val="24"/>
        </w:rPr>
        <w:tab/>
        <w:t>Article 6(1) of the ICESCR – right to work and rights in work</w:t>
      </w:r>
      <w:r w:rsidR="00A81D76">
        <w:rPr>
          <w:rFonts w:ascii="Times New Roman" w:hAnsi="Times New Roman" w:cs="Times New Roman"/>
          <w:bCs/>
          <w:sz w:val="24"/>
        </w:rPr>
        <w:t>.</w:t>
      </w:r>
    </w:p>
    <w:p w:rsidR="00A754C5" w:rsidRDefault="00A754C5" w:rsidP="00993F3E">
      <w:pPr>
        <w:rPr>
          <w:rFonts w:ascii="Times New Roman" w:hAnsi="Times New Roman"/>
          <w:sz w:val="24"/>
        </w:rPr>
      </w:pPr>
    </w:p>
    <w:p w:rsidR="00993F3E" w:rsidRPr="00993F3E" w:rsidRDefault="00CF7424" w:rsidP="00993F3E">
      <w:pPr>
        <w:rPr>
          <w:rFonts w:ascii="Times New Roman" w:hAnsi="Times New Roman"/>
          <w:sz w:val="24"/>
        </w:rPr>
      </w:pPr>
      <w:r>
        <w:rPr>
          <w:rFonts w:ascii="Times New Roman" w:hAnsi="Times New Roman"/>
          <w:sz w:val="24"/>
        </w:rPr>
        <w:t xml:space="preserve">Part 2, Division 8 of the FHSA was also assessed as engaging </w:t>
      </w:r>
      <w:r w:rsidR="00993F3E" w:rsidRPr="00993F3E">
        <w:rPr>
          <w:rFonts w:ascii="Times New Roman" w:hAnsi="Times New Roman"/>
          <w:sz w:val="24"/>
        </w:rPr>
        <w:t xml:space="preserve">the </w:t>
      </w:r>
      <w:r w:rsidRPr="00CF7424">
        <w:rPr>
          <w:rFonts w:ascii="Times New Roman" w:hAnsi="Times New Roman"/>
          <w:sz w:val="24"/>
        </w:rPr>
        <w:t>rights of equality and non</w:t>
      </w:r>
      <w:r>
        <w:rPr>
          <w:rFonts w:ascii="Times New Roman" w:hAnsi="Times New Roman"/>
          <w:sz w:val="24"/>
        </w:rPr>
        <w:noBreakHyphen/>
      </w:r>
      <w:r w:rsidRPr="00CF7424">
        <w:rPr>
          <w:rFonts w:ascii="Times New Roman" w:hAnsi="Times New Roman"/>
          <w:sz w:val="24"/>
        </w:rPr>
        <w:t xml:space="preserve">discrimination </w:t>
      </w:r>
      <w:r w:rsidR="00993F3E" w:rsidRPr="00993F3E">
        <w:rPr>
          <w:rFonts w:ascii="Times New Roman" w:hAnsi="Times New Roman"/>
          <w:sz w:val="24"/>
        </w:rPr>
        <w:t xml:space="preserve">set out in Article </w:t>
      </w:r>
      <w:r>
        <w:rPr>
          <w:rFonts w:ascii="Times New Roman" w:hAnsi="Times New Roman"/>
          <w:sz w:val="24"/>
        </w:rPr>
        <w:t xml:space="preserve">2(2) ICESCR and Article 26 </w:t>
      </w:r>
      <w:r w:rsidR="00993F3E" w:rsidRPr="00993F3E">
        <w:rPr>
          <w:rFonts w:ascii="Times New Roman" w:hAnsi="Times New Roman"/>
          <w:sz w:val="24"/>
        </w:rPr>
        <w:t xml:space="preserve">of the </w:t>
      </w:r>
      <w:r w:rsidR="00993F3E" w:rsidRPr="008A0909">
        <w:rPr>
          <w:rFonts w:ascii="Times New Roman" w:hAnsi="Times New Roman"/>
          <w:i/>
          <w:sz w:val="24"/>
        </w:rPr>
        <w:t>International Covenant on Civil and Political Rights</w:t>
      </w:r>
      <w:r w:rsidR="00591BB7">
        <w:rPr>
          <w:rFonts w:ascii="Times New Roman" w:hAnsi="Times New Roman"/>
          <w:i/>
          <w:sz w:val="24"/>
        </w:rPr>
        <w:t xml:space="preserve"> </w:t>
      </w:r>
      <w:r w:rsidR="00591BB7">
        <w:rPr>
          <w:rFonts w:ascii="Times New Roman" w:hAnsi="Times New Roman"/>
          <w:sz w:val="24"/>
        </w:rPr>
        <w:t>(ICCPR)</w:t>
      </w:r>
      <w:r w:rsidR="00993F3E" w:rsidRPr="00993F3E">
        <w:rPr>
          <w:rFonts w:ascii="Times New Roman" w:hAnsi="Times New Roman"/>
          <w:sz w:val="24"/>
        </w:rPr>
        <w:t>.  However, the instances in which human rights and freedoms were engaged were assessed as either being compatible with these rights and freedoms because they either protected human rights or, to the extent that they limited human rights, the limitations were reasonable and proportionate.</w:t>
      </w:r>
    </w:p>
    <w:p w:rsidR="00993F3E" w:rsidRPr="00993F3E" w:rsidRDefault="00993F3E" w:rsidP="00993F3E">
      <w:pPr>
        <w:rPr>
          <w:rFonts w:ascii="Times New Roman" w:hAnsi="Times New Roman"/>
          <w:sz w:val="24"/>
        </w:rPr>
      </w:pPr>
    </w:p>
    <w:p w:rsidR="00993F3E" w:rsidRPr="00993F3E" w:rsidRDefault="00993F3E" w:rsidP="00993F3E">
      <w:pPr>
        <w:rPr>
          <w:rFonts w:ascii="Times New Roman" w:hAnsi="Times New Roman"/>
          <w:sz w:val="24"/>
        </w:rPr>
      </w:pPr>
      <w:r w:rsidRPr="00993F3E">
        <w:rPr>
          <w:rFonts w:ascii="Times New Roman" w:hAnsi="Times New Roman"/>
          <w:sz w:val="24"/>
        </w:rPr>
        <w:t xml:space="preserve">The full analysis of those provisions of the </w:t>
      </w:r>
      <w:r w:rsidR="00ED5DC1">
        <w:rPr>
          <w:rFonts w:ascii="Times New Roman" w:hAnsi="Times New Roman"/>
          <w:sz w:val="24"/>
        </w:rPr>
        <w:t xml:space="preserve">FHSA </w:t>
      </w:r>
      <w:r w:rsidRPr="00993F3E">
        <w:rPr>
          <w:rFonts w:ascii="Times New Roman" w:hAnsi="Times New Roman"/>
          <w:sz w:val="24"/>
        </w:rPr>
        <w:t xml:space="preserve">that engage human rights and freedoms are set out in the Explanatory Memorandum to the Bill for the </w:t>
      </w:r>
      <w:r w:rsidR="00ED5DC1">
        <w:rPr>
          <w:rFonts w:ascii="Times New Roman" w:hAnsi="Times New Roman"/>
          <w:sz w:val="24"/>
        </w:rPr>
        <w:t>FHSA</w:t>
      </w:r>
      <w:r w:rsidRPr="00993F3E">
        <w:rPr>
          <w:rFonts w:ascii="Times New Roman" w:hAnsi="Times New Roman"/>
          <w:sz w:val="24"/>
        </w:rPr>
        <w:t>.</w:t>
      </w:r>
    </w:p>
    <w:p w:rsidR="00993F3E" w:rsidRDefault="00993F3E" w:rsidP="00993F3E">
      <w:pPr>
        <w:rPr>
          <w:rFonts w:ascii="Times New Roman" w:hAnsi="Times New Roman"/>
          <w:sz w:val="24"/>
        </w:rPr>
      </w:pPr>
    </w:p>
    <w:p w:rsidR="00993F3E" w:rsidRDefault="0041002B" w:rsidP="00993F3E">
      <w:pPr>
        <w:rPr>
          <w:rFonts w:ascii="Times New Roman" w:hAnsi="Times New Roman"/>
          <w:sz w:val="24"/>
        </w:rPr>
      </w:pPr>
      <w:r>
        <w:rPr>
          <w:rFonts w:ascii="Times New Roman" w:hAnsi="Times New Roman"/>
          <w:sz w:val="24"/>
        </w:rPr>
        <w:t>T</w:t>
      </w:r>
      <w:r w:rsidR="00993F3E" w:rsidRPr="00993F3E">
        <w:rPr>
          <w:rFonts w:ascii="Times New Roman" w:hAnsi="Times New Roman"/>
          <w:sz w:val="24"/>
        </w:rPr>
        <w:t xml:space="preserve">he matters that are prescribed </w:t>
      </w:r>
      <w:r w:rsidR="002926E7">
        <w:rPr>
          <w:rFonts w:ascii="Times New Roman" w:hAnsi="Times New Roman"/>
          <w:sz w:val="24"/>
        </w:rPr>
        <w:t xml:space="preserve">by sections 5, 8 and 9 of the </w:t>
      </w:r>
      <w:r w:rsidR="004309BE">
        <w:rPr>
          <w:rFonts w:ascii="Times New Roman" w:hAnsi="Times New Roman"/>
          <w:sz w:val="24"/>
        </w:rPr>
        <w:t>r</w:t>
      </w:r>
      <w:r w:rsidR="002926E7">
        <w:rPr>
          <w:rFonts w:ascii="Times New Roman" w:hAnsi="Times New Roman"/>
          <w:sz w:val="24"/>
        </w:rPr>
        <w:t xml:space="preserve">ule </w:t>
      </w:r>
      <w:r w:rsidR="00993F3E" w:rsidRPr="00993F3E">
        <w:rPr>
          <w:rFonts w:ascii="Times New Roman" w:hAnsi="Times New Roman"/>
          <w:sz w:val="24"/>
        </w:rPr>
        <w:t xml:space="preserve">are not being prescribed for the purposes of any sections of the </w:t>
      </w:r>
      <w:r w:rsidR="00ED5DC1">
        <w:rPr>
          <w:rFonts w:ascii="Times New Roman" w:hAnsi="Times New Roman"/>
          <w:sz w:val="24"/>
        </w:rPr>
        <w:t>FHSA</w:t>
      </w:r>
      <w:r w:rsidR="00993F3E" w:rsidRPr="00993F3E">
        <w:rPr>
          <w:rFonts w:ascii="Times New Roman" w:hAnsi="Times New Roman"/>
          <w:sz w:val="24"/>
        </w:rPr>
        <w:t xml:space="preserve"> that engage human rights and freedoms.  </w:t>
      </w:r>
      <w:r w:rsidR="002926E7">
        <w:rPr>
          <w:rFonts w:ascii="Times New Roman" w:hAnsi="Times New Roman"/>
          <w:sz w:val="24"/>
        </w:rPr>
        <w:t>These matters are being prescribed for the purposes of subsection 5(1), paragraph 82(1</w:t>
      </w:r>
      <w:proofErr w:type="gramStart"/>
      <w:r w:rsidR="002926E7">
        <w:rPr>
          <w:rFonts w:ascii="Times New Roman" w:hAnsi="Times New Roman"/>
          <w:sz w:val="24"/>
        </w:rPr>
        <w:t>)(</w:t>
      </w:r>
      <w:proofErr w:type="gramEnd"/>
      <w:r w:rsidR="002926E7">
        <w:rPr>
          <w:rFonts w:ascii="Times New Roman" w:hAnsi="Times New Roman"/>
          <w:sz w:val="24"/>
        </w:rPr>
        <w:t xml:space="preserve">a) and paragraph 89(a) of the FHSA. </w:t>
      </w:r>
      <w:r w:rsidR="00AE270F">
        <w:rPr>
          <w:rFonts w:ascii="Times New Roman" w:hAnsi="Times New Roman"/>
          <w:sz w:val="24"/>
        </w:rPr>
        <w:t>N</w:t>
      </w:r>
      <w:r w:rsidR="00993F3E" w:rsidRPr="00993F3E">
        <w:rPr>
          <w:rFonts w:ascii="Times New Roman" w:hAnsi="Times New Roman"/>
          <w:sz w:val="24"/>
        </w:rPr>
        <w:t xml:space="preserve">one of these </w:t>
      </w:r>
      <w:r w:rsidR="00AE270F">
        <w:rPr>
          <w:rFonts w:ascii="Times New Roman" w:hAnsi="Times New Roman"/>
          <w:sz w:val="24"/>
        </w:rPr>
        <w:t xml:space="preserve">provisions </w:t>
      </w:r>
      <w:r w:rsidR="00993F3E" w:rsidRPr="00993F3E">
        <w:rPr>
          <w:rFonts w:ascii="Times New Roman" w:hAnsi="Times New Roman"/>
          <w:sz w:val="24"/>
        </w:rPr>
        <w:t xml:space="preserve">deal with matters that were assessed as engaging human rights and freedoms recognised or declared in the international instruments listed in the definition of human rights at section 3 of the </w:t>
      </w:r>
      <w:r w:rsidR="00993F3E" w:rsidRPr="004C66F9">
        <w:rPr>
          <w:rFonts w:ascii="Times New Roman" w:hAnsi="Times New Roman"/>
          <w:i/>
          <w:sz w:val="24"/>
        </w:rPr>
        <w:t>Human Rights (Parliamentary Scrutiny) Act 2011</w:t>
      </w:r>
      <w:r w:rsidR="00993F3E" w:rsidRPr="00993F3E">
        <w:rPr>
          <w:rFonts w:ascii="Times New Roman" w:hAnsi="Times New Roman"/>
          <w:sz w:val="24"/>
        </w:rPr>
        <w:t>.</w:t>
      </w:r>
    </w:p>
    <w:p w:rsidR="00AE270F" w:rsidRDefault="00AE270F" w:rsidP="00993F3E">
      <w:pPr>
        <w:rPr>
          <w:rFonts w:ascii="Times New Roman" w:hAnsi="Times New Roman"/>
          <w:sz w:val="24"/>
        </w:rPr>
      </w:pPr>
    </w:p>
    <w:p w:rsidR="00677FFA" w:rsidRDefault="00C15272" w:rsidP="00993F3E">
      <w:pPr>
        <w:rPr>
          <w:rFonts w:ascii="Times New Roman" w:hAnsi="Times New Roman"/>
          <w:sz w:val="24"/>
        </w:rPr>
      </w:pPr>
      <w:r>
        <w:rPr>
          <w:rFonts w:ascii="Times New Roman" w:hAnsi="Times New Roman"/>
          <w:sz w:val="24"/>
        </w:rPr>
        <w:t>S</w:t>
      </w:r>
      <w:r w:rsidR="002926E7">
        <w:rPr>
          <w:rFonts w:ascii="Times New Roman" w:hAnsi="Times New Roman"/>
          <w:sz w:val="24"/>
        </w:rPr>
        <w:t xml:space="preserve">ections 6 and 7 of the </w:t>
      </w:r>
      <w:r w:rsidR="004309BE">
        <w:rPr>
          <w:rFonts w:ascii="Times New Roman" w:hAnsi="Times New Roman"/>
          <w:sz w:val="24"/>
        </w:rPr>
        <w:t>r</w:t>
      </w:r>
      <w:r w:rsidR="002926E7">
        <w:rPr>
          <w:rFonts w:ascii="Times New Roman" w:hAnsi="Times New Roman"/>
          <w:sz w:val="24"/>
        </w:rPr>
        <w:t xml:space="preserve">ule </w:t>
      </w:r>
      <w:r>
        <w:rPr>
          <w:rFonts w:ascii="Times New Roman" w:hAnsi="Times New Roman"/>
          <w:sz w:val="24"/>
        </w:rPr>
        <w:t>are being prescribed for the purpose of subs</w:t>
      </w:r>
      <w:r w:rsidR="00BF5BAF">
        <w:rPr>
          <w:rFonts w:ascii="Times New Roman" w:hAnsi="Times New Roman"/>
          <w:sz w:val="24"/>
        </w:rPr>
        <w:t xml:space="preserve">ection 67(2) of the FHSA. </w:t>
      </w:r>
      <w:r w:rsidR="00591BB7">
        <w:rPr>
          <w:rFonts w:ascii="Times New Roman" w:hAnsi="Times New Roman"/>
          <w:sz w:val="24"/>
        </w:rPr>
        <w:t xml:space="preserve">Since </w:t>
      </w:r>
      <w:r w:rsidR="00677FFA">
        <w:rPr>
          <w:rFonts w:ascii="Times New Roman" w:hAnsi="Times New Roman"/>
          <w:sz w:val="24"/>
        </w:rPr>
        <w:t>Part 2, Division 8 of the FHSA (which includes s</w:t>
      </w:r>
      <w:r w:rsidR="00BF5BAF">
        <w:rPr>
          <w:rFonts w:ascii="Times New Roman" w:hAnsi="Times New Roman"/>
          <w:sz w:val="24"/>
        </w:rPr>
        <w:t>ection 67</w:t>
      </w:r>
      <w:r w:rsidR="00677FFA">
        <w:rPr>
          <w:rFonts w:ascii="Times New Roman" w:hAnsi="Times New Roman"/>
          <w:sz w:val="24"/>
        </w:rPr>
        <w:t xml:space="preserve">) was assessed as engaging the rights </w:t>
      </w:r>
      <w:r w:rsidR="00591BB7">
        <w:rPr>
          <w:rFonts w:ascii="Times New Roman" w:hAnsi="Times New Roman"/>
          <w:sz w:val="24"/>
        </w:rPr>
        <w:t xml:space="preserve">set out in the ICESCR and ICCPR </w:t>
      </w:r>
      <w:r w:rsidR="00677FFA">
        <w:rPr>
          <w:rFonts w:ascii="Times New Roman" w:hAnsi="Times New Roman"/>
          <w:sz w:val="24"/>
        </w:rPr>
        <w:t>outlined above, sec</w:t>
      </w:r>
      <w:r w:rsidR="00A16CBE">
        <w:rPr>
          <w:rFonts w:ascii="Times New Roman" w:hAnsi="Times New Roman"/>
          <w:sz w:val="24"/>
        </w:rPr>
        <w:t>tions 6 and 7 of the r</w:t>
      </w:r>
      <w:r w:rsidR="00677FFA">
        <w:rPr>
          <w:rFonts w:ascii="Times New Roman" w:hAnsi="Times New Roman"/>
          <w:sz w:val="24"/>
        </w:rPr>
        <w:t>ule also engage with the same rights, albeit indirectly.</w:t>
      </w:r>
    </w:p>
    <w:p w:rsidR="00677FFA" w:rsidRDefault="00677FFA" w:rsidP="00993F3E">
      <w:pPr>
        <w:rPr>
          <w:rFonts w:ascii="Times New Roman" w:hAnsi="Times New Roman"/>
          <w:sz w:val="24"/>
        </w:rPr>
      </w:pPr>
    </w:p>
    <w:p w:rsidR="00572154" w:rsidRPr="004E5C49" w:rsidRDefault="00677FFA" w:rsidP="00993F3E">
      <w:pPr>
        <w:rPr>
          <w:rFonts w:ascii="Times New Roman" w:eastAsia="Times New Roman" w:hAnsi="Times New Roman" w:cs="Times New Roman"/>
          <w:bCs/>
          <w:sz w:val="24"/>
        </w:rPr>
      </w:pPr>
      <w:r>
        <w:rPr>
          <w:rFonts w:ascii="Times New Roman" w:hAnsi="Times New Roman"/>
          <w:sz w:val="24"/>
        </w:rPr>
        <w:t xml:space="preserve">Section 67 of the FHSA </w:t>
      </w:r>
      <w:r w:rsidR="00BF5BAF">
        <w:rPr>
          <w:rFonts w:ascii="Times New Roman" w:hAnsi="Times New Roman"/>
          <w:sz w:val="24"/>
        </w:rPr>
        <w:t xml:space="preserve">provides the framework for </w:t>
      </w:r>
      <w:r w:rsidR="00BF5BAF" w:rsidRPr="00586C3E">
        <w:rPr>
          <w:rFonts w:ascii="Times New Roman" w:eastAsia="Times New Roman" w:hAnsi="Times New Roman" w:cs="Times New Roman"/>
          <w:bCs/>
          <w:sz w:val="24"/>
        </w:rPr>
        <w:t>possible deductions from the calculation of ordinary income</w:t>
      </w:r>
      <w:r w:rsidR="00BF5BAF">
        <w:rPr>
          <w:rFonts w:ascii="Times New Roman" w:eastAsia="Times New Roman" w:hAnsi="Times New Roman" w:cs="Times New Roman"/>
          <w:bCs/>
          <w:sz w:val="24"/>
        </w:rPr>
        <w:t xml:space="preserve"> for the purpose of the income test that applies to the FHA</w:t>
      </w:r>
      <w:r w:rsidR="00BF5BAF" w:rsidRPr="00586C3E">
        <w:rPr>
          <w:rFonts w:ascii="Times New Roman" w:eastAsia="Times New Roman" w:hAnsi="Times New Roman" w:cs="Times New Roman"/>
          <w:bCs/>
          <w:sz w:val="24"/>
        </w:rPr>
        <w:t>.</w:t>
      </w:r>
      <w:r w:rsidR="00BF5BAF">
        <w:rPr>
          <w:rFonts w:ascii="Times New Roman" w:eastAsia="Times New Roman" w:hAnsi="Times New Roman" w:cs="Times New Roman"/>
          <w:bCs/>
          <w:sz w:val="24"/>
        </w:rPr>
        <w:t xml:space="preserve"> Allowable deductions are one of the many factors taken into account in calculating the rate of payment of FH</w:t>
      </w:r>
      <w:r>
        <w:rPr>
          <w:rFonts w:ascii="Times New Roman" w:eastAsia="Times New Roman" w:hAnsi="Times New Roman" w:cs="Times New Roman"/>
          <w:bCs/>
          <w:sz w:val="24"/>
        </w:rPr>
        <w:t>A</w:t>
      </w:r>
      <w:r w:rsidR="00BF5BAF">
        <w:rPr>
          <w:rFonts w:ascii="Times New Roman" w:eastAsia="Times New Roman" w:hAnsi="Times New Roman" w:cs="Times New Roman"/>
          <w:bCs/>
          <w:sz w:val="24"/>
        </w:rPr>
        <w:t>, which is provided for generally by Part 2, Division 8 of the FHSA.</w:t>
      </w:r>
      <w:r w:rsidR="0028617A">
        <w:rPr>
          <w:rFonts w:ascii="Times New Roman" w:eastAsia="Times New Roman" w:hAnsi="Times New Roman" w:cs="Times New Roman"/>
          <w:bCs/>
          <w:sz w:val="24"/>
        </w:rPr>
        <w:t xml:space="preserve"> </w:t>
      </w:r>
      <w:r w:rsidR="00162A32" w:rsidRPr="00586C3E">
        <w:rPr>
          <w:rFonts w:ascii="Times New Roman" w:eastAsia="Times New Roman" w:hAnsi="Times New Roman" w:cs="Times New Roman"/>
          <w:bCs/>
          <w:sz w:val="24"/>
        </w:rPr>
        <w:t xml:space="preserve">In the same way that section 1075 of the </w:t>
      </w:r>
      <w:r w:rsidR="00162A32" w:rsidRPr="006E4016">
        <w:rPr>
          <w:rFonts w:ascii="Times New Roman" w:eastAsia="Times New Roman" w:hAnsi="Times New Roman" w:cs="Times New Roman"/>
          <w:bCs/>
          <w:i/>
          <w:sz w:val="24"/>
        </w:rPr>
        <w:t>Social Security Act 1991</w:t>
      </w:r>
      <w:r w:rsidR="00162A32">
        <w:rPr>
          <w:rFonts w:ascii="Times New Roman" w:eastAsia="Times New Roman" w:hAnsi="Times New Roman" w:cs="Times New Roman"/>
          <w:bCs/>
          <w:sz w:val="24"/>
        </w:rPr>
        <w:t xml:space="preserve"> </w:t>
      </w:r>
      <w:r w:rsidR="00162A32" w:rsidRPr="00586C3E">
        <w:rPr>
          <w:rFonts w:ascii="Times New Roman" w:eastAsia="Times New Roman" w:hAnsi="Times New Roman" w:cs="Times New Roman"/>
          <w:bCs/>
          <w:sz w:val="24"/>
        </w:rPr>
        <w:t xml:space="preserve">specifies permissible reductions for business income for items such as losses and outgoings that relate to the business, </w:t>
      </w:r>
      <w:r w:rsidR="00162A32">
        <w:rPr>
          <w:rFonts w:ascii="Times New Roman" w:eastAsia="Times New Roman" w:hAnsi="Times New Roman" w:cs="Times New Roman"/>
          <w:bCs/>
          <w:sz w:val="24"/>
        </w:rPr>
        <w:t xml:space="preserve">subsection 67(2) </w:t>
      </w:r>
      <w:r w:rsidR="00162A32" w:rsidRPr="004E5C49">
        <w:rPr>
          <w:rFonts w:ascii="Times New Roman" w:eastAsia="Times New Roman" w:hAnsi="Times New Roman" w:cs="Times New Roman"/>
          <w:bCs/>
          <w:sz w:val="24"/>
        </w:rPr>
        <w:t>allows the Minister to prescribe a kind of amount to be an allowable deduction.</w:t>
      </w:r>
    </w:p>
    <w:p w:rsidR="00572154" w:rsidRPr="004E5C49" w:rsidRDefault="00572154" w:rsidP="00993F3E">
      <w:pPr>
        <w:rPr>
          <w:rFonts w:ascii="Times New Roman" w:eastAsia="Times New Roman" w:hAnsi="Times New Roman" w:cs="Times New Roman"/>
          <w:bCs/>
          <w:sz w:val="24"/>
        </w:rPr>
      </w:pPr>
    </w:p>
    <w:p w:rsidR="004E5C49" w:rsidRDefault="004E5C49" w:rsidP="004E5C49">
      <w:pPr>
        <w:rPr>
          <w:rFonts w:ascii="Times New Roman" w:hAnsi="Times New Roman"/>
          <w:sz w:val="24"/>
        </w:rPr>
      </w:pPr>
      <w:r w:rsidRPr="004E5C49">
        <w:rPr>
          <w:rFonts w:ascii="Times New Roman" w:hAnsi="Times New Roman"/>
          <w:sz w:val="24"/>
        </w:rPr>
        <w:t xml:space="preserve">While FHA aims to align where possible with mainstream social security payments, some departure exists. The kinds of amounts to be an allowable deduction that are prescribed by sections 6 and 7 of the </w:t>
      </w:r>
      <w:r w:rsidR="004309BE">
        <w:rPr>
          <w:rFonts w:ascii="Times New Roman" w:hAnsi="Times New Roman"/>
          <w:sz w:val="24"/>
        </w:rPr>
        <w:t>r</w:t>
      </w:r>
      <w:r w:rsidRPr="004E5C49">
        <w:rPr>
          <w:rFonts w:ascii="Times New Roman" w:hAnsi="Times New Roman"/>
          <w:sz w:val="24"/>
        </w:rPr>
        <w:t>ule recognise the unique circumstances of farmers and differ from social security by allowing for off-farm income to be reduced by up to $80,000 in some circumstances where that income is used to pay interest on</w:t>
      </w:r>
      <w:r w:rsidR="00F35134">
        <w:rPr>
          <w:rFonts w:ascii="Times New Roman" w:hAnsi="Times New Roman"/>
          <w:sz w:val="24"/>
        </w:rPr>
        <w:t xml:space="preserve"> a commercial loan</w:t>
      </w:r>
      <w:r w:rsidRPr="004E5C49">
        <w:rPr>
          <w:rFonts w:ascii="Times New Roman" w:hAnsi="Times New Roman"/>
          <w:sz w:val="24"/>
        </w:rPr>
        <w:t xml:space="preserve"> related to the farm enterprise. However, sections 6 and 7 of the rule support the legitimate purpose of the FHSA. They are consistent with the assessment that the instances in which rights and freedoms engaged by the provisions in Part 2, Division 8 of the FHSA are compatible with these rights and freedoms because they either protect human rights or, to the extent that they limit human rights, the limitations are reasonable and proportionate.</w:t>
      </w:r>
    </w:p>
    <w:p w:rsidR="009B40C3" w:rsidRDefault="009B40C3" w:rsidP="00993F3E">
      <w:pPr>
        <w:rPr>
          <w:rFonts w:ascii="Times New Roman" w:hAnsi="Times New Roman"/>
          <w:sz w:val="24"/>
        </w:rPr>
      </w:pPr>
      <w:r>
        <w:rPr>
          <w:rFonts w:ascii="Times New Roman" w:hAnsi="Times New Roman"/>
          <w:sz w:val="24"/>
        </w:rPr>
        <w:br w:type="page"/>
      </w:r>
    </w:p>
    <w:p w:rsidR="00993F3E" w:rsidRPr="00364A9C" w:rsidRDefault="00993F3E" w:rsidP="00993F3E">
      <w:pPr>
        <w:rPr>
          <w:rFonts w:ascii="Times New Roman" w:hAnsi="Times New Roman"/>
          <w:b/>
          <w:sz w:val="24"/>
        </w:rPr>
      </w:pPr>
      <w:r w:rsidRPr="00364A9C">
        <w:rPr>
          <w:rFonts w:ascii="Times New Roman" w:hAnsi="Times New Roman"/>
          <w:b/>
          <w:sz w:val="24"/>
        </w:rPr>
        <w:lastRenderedPageBreak/>
        <w:t>Conclusion</w:t>
      </w:r>
    </w:p>
    <w:p w:rsidR="00993F3E" w:rsidRPr="00993F3E" w:rsidRDefault="00993F3E" w:rsidP="00993F3E">
      <w:pPr>
        <w:rPr>
          <w:rFonts w:ascii="Times New Roman" w:hAnsi="Times New Roman"/>
          <w:sz w:val="24"/>
        </w:rPr>
      </w:pPr>
    </w:p>
    <w:p w:rsidR="0036576A" w:rsidRDefault="0036576A" w:rsidP="00993F3E">
      <w:pPr>
        <w:rPr>
          <w:rFonts w:ascii="Times New Roman" w:hAnsi="Times New Roman"/>
          <w:sz w:val="24"/>
        </w:rPr>
      </w:pPr>
      <w:r>
        <w:rPr>
          <w:rFonts w:ascii="Times New Roman" w:hAnsi="Times New Roman"/>
          <w:sz w:val="24"/>
        </w:rPr>
        <w:t>This rule</w:t>
      </w:r>
      <w:r w:rsidR="009B40C3">
        <w:rPr>
          <w:rFonts w:ascii="Times New Roman" w:hAnsi="Times New Roman"/>
          <w:sz w:val="24"/>
        </w:rPr>
        <w:t xml:space="preserve"> is compatible with the human rights and freedoms recognised or declared under section 3 of the </w:t>
      </w:r>
      <w:r w:rsidR="009B40C3">
        <w:rPr>
          <w:rFonts w:ascii="Times New Roman" w:hAnsi="Times New Roman"/>
          <w:i/>
          <w:iCs/>
          <w:sz w:val="24"/>
        </w:rPr>
        <w:t>Human Rights (Parliamentary Scrutiny) Act 2011</w:t>
      </w:r>
      <w:r w:rsidR="009B40C3">
        <w:rPr>
          <w:rFonts w:ascii="Times New Roman" w:hAnsi="Times New Roman"/>
          <w:sz w:val="24"/>
        </w:rPr>
        <w:t xml:space="preserve">. </w:t>
      </w:r>
    </w:p>
    <w:p w:rsidR="0036576A" w:rsidRDefault="0036576A" w:rsidP="00993F3E">
      <w:pPr>
        <w:rPr>
          <w:rFonts w:ascii="Times New Roman" w:hAnsi="Times New Roman"/>
          <w:sz w:val="24"/>
        </w:rPr>
      </w:pPr>
    </w:p>
    <w:p w:rsidR="009B40C3" w:rsidRDefault="0036576A" w:rsidP="00993F3E">
      <w:pPr>
        <w:rPr>
          <w:rFonts w:ascii="Times New Roman" w:hAnsi="Times New Roman"/>
          <w:sz w:val="24"/>
        </w:rPr>
      </w:pPr>
      <w:r w:rsidRPr="00993F3E">
        <w:rPr>
          <w:rFonts w:ascii="Times New Roman" w:hAnsi="Times New Roman"/>
          <w:sz w:val="24"/>
        </w:rPr>
        <w:t>In some instances it promotes human rights</w:t>
      </w:r>
      <w:r>
        <w:rPr>
          <w:rFonts w:ascii="Times New Roman" w:hAnsi="Times New Roman"/>
          <w:sz w:val="24"/>
        </w:rPr>
        <w:t>. T</w:t>
      </w:r>
      <w:r w:rsidRPr="00993F3E">
        <w:rPr>
          <w:rFonts w:ascii="Times New Roman" w:hAnsi="Times New Roman"/>
          <w:sz w:val="24"/>
        </w:rPr>
        <w:t>o the extent that</w:t>
      </w:r>
      <w:r>
        <w:rPr>
          <w:rFonts w:ascii="Times New Roman" w:hAnsi="Times New Roman"/>
          <w:sz w:val="24"/>
        </w:rPr>
        <w:t xml:space="preserve"> the rule </w:t>
      </w:r>
      <w:r w:rsidRPr="00993F3E">
        <w:rPr>
          <w:rFonts w:ascii="Times New Roman" w:hAnsi="Times New Roman"/>
          <w:sz w:val="24"/>
        </w:rPr>
        <w:t>may limit these rights, these limitations are reasonable, necessary and proportionate to achieve legitimate aims.</w:t>
      </w:r>
    </w:p>
    <w:p w:rsidR="002B1DB3" w:rsidRPr="00E4135E" w:rsidRDefault="002B1DB3" w:rsidP="00B3331C">
      <w:pPr>
        <w:rPr>
          <w:rFonts w:ascii="Times New Roman" w:hAnsi="Times New Roman"/>
          <w:sz w:val="24"/>
        </w:rPr>
      </w:pPr>
    </w:p>
    <w:p w:rsidR="00257866" w:rsidRPr="00257866" w:rsidRDefault="00257866" w:rsidP="00257866">
      <w:pPr>
        <w:jc w:val="center"/>
        <w:rPr>
          <w:rFonts w:ascii="Times New Roman" w:hAnsi="Times New Roman"/>
          <w:b/>
          <w:bCs/>
          <w:sz w:val="24"/>
        </w:rPr>
      </w:pPr>
      <w:r w:rsidRPr="00257866">
        <w:rPr>
          <w:rFonts w:ascii="Times New Roman" w:hAnsi="Times New Roman"/>
          <w:b/>
          <w:bCs/>
          <w:sz w:val="24"/>
        </w:rPr>
        <w:t>The Hon. Barnaby Joyce MP</w:t>
      </w:r>
    </w:p>
    <w:p w:rsidR="00FA26FF" w:rsidRPr="002E4CC1" w:rsidRDefault="00257866" w:rsidP="002E4CC1">
      <w:pPr>
        <w:jc w:val="center"/>
        <w:rPr>
          <w:rFonts w:ascii="Times New Roman" w:hAnsi="Times New Roman"/>
          <w:b/>
          <w:bCs/>
          <w:sz w:val="24"/>
        </w:rPr>
      </w:pPr>
      <w:r>
        <w:rPr>
          <w:rFonts w:ascii="Times New Roman" w:hAnsi="Times New Roman"/>
          <w:b/>
          <w:bCs/>
          <w:sz w:val="24"/>
        </w:rPr>
        <w:t>Minister for Agriculture</w:t>
      </w:r>
    </w:p>
    <w:sectPr w:rsidR="00FA26FF" w:rsidRPr="002E4CC1" w:rsidSect="00896EBE">
      <w:headerReference w:type="default" r:id="rId8"/>
      <w:footerReference w:type="default" r:id="rId9"/>
      <w:headerReference w:type="first" r:id="rId10"/>
      <w:footerReference w:type="first" r:id="rId11"/>
      <w:pgSz w:w="11907" w:h="16840" w:code="9"/>
      <w:pgMar w:top="1418" w:right="1418" w:bottom="1418" w:left="1418"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729" w:rsidRDefault="00636729" w:rsidP="00151C54">
      <w:r>
        <w:separator/>
      </w:r>
    </w:p>
  </w:endnote>
  <w:endnote w:type="continuationSeparator" w:id="0">
    <w:p w:rsidR="00636729" w:rsidRDefault="00636729" w:rsidP="00151C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Rounded MT Bold">
    <w:altName w:val="Tahoma"/>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368214"/>
      <w:docPartObj>
        <w:docPartGallery w:val="Page Numbers (Bottom of Page)"/>
        <w:docPartUnique/>
      </w:docPartObj>
    </w:sdtPr>
    <w:sdtEndPr>
      <w:rPr>
        <w:rFonts w:ascii="Times New Roman" w:hAnsi="Times New Roman" w:cs="Times New Roman"/>
        <w:sz w:val="22"/>
        <w:szCs w:val="22"/>
      </w:rPr>
    </w:sdtEndPr>
    <w:sdtContent>
      <w:p w:rsidR="00636729" w:rsidRPr="00896EBE" w:rsidRDefault="00520FFB">
        <w:pPr>
          <w:pStyle w:val="Footer"/>
          <w:jc w:val="center"/>
          <w:rPr>
            <w:rFonts w:ascii="Times New Roman" w:hAnsi="Times New Roman" w:cs="Times New Roman"/>
            <w:sz w:val="22"/>
            <w:szCs w:val="22"/>
          </w:rPr>
        </w:pPr>
        <w:r w:rsidRPr="00896EBE">
          <w:rPr>
            <w:rFonts w:ascii="Times New Roman" w:hAnsi="Times New Roman" w:cs="Times New Roman"/>
            <w:sz w:val="22"/>
            <w:szCs w:val="22"/>
          </w:rPr>
          <w:fldChar w:fldCharType="begin"/>
        </w:r>
        <w:r w:rsidR="00636729" w:rsidRPr="00896EBE">
          <w:rPr>
            <w:rFonts w:ascii="Times New Roman" w:hAnsi="Times New Roman" w:cs="Times New Roman"/>
            <w:sz w:val="22"/>
            <w:szCs w:val="22"/>
          </w:rPr>
          <w:instrText xml:space="preserve"> PAGE   \* MERGEFORMAT </w:instrText>
        </w:r>
        <w:r w:rsidRPr="00896EBE">
          <w:rPr>
            <w:rFonts w:ascii="Times New Roman" w:hAnsi="Times New Roman" w:cs="Times New Roman"/>
            <w:sz w:val="22"/>
            <w:szCs w:val="22"/>
          </w:rPr>
          <w:fldChar w:fldCharType="separate"/>
        </w:r>
        <w:r w:rsidR="00583EDC">
          <w:rPr>
            <w:rFonts w:ascii="Times New Roman" w:hAnsi="Times New Roman" w:cs="Times New Roman"/>
            <w:noProof/>
            <w:sz w:val="22"/>
            <w:szCs w:val="22"/>
          </w:rPr>
          <w:t>2</w:t>
        </w:r>
        <w:r w:rsidRPr="00896EBE">
          <w:rPr>
            <w:rFonts w:ascii="Times New Roman" w:hAnsi="Times New Roman" w:cs="Times New Roman"/>
            <w:sz w:val="22"/>
            <w:szCs w:val="22"/>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729" w:rsidRPr="00896EBE" w:rsidRDefault="00636729" w:rsidP="00896E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729" w:rsidRDefault="00636729" w:rsidP="00151C54">
      <w:r>
        <w:separator/>
      </w:r>
    </w:p>
  </w:footnote>
  <w:footnote w:type="continuationSeparator" w:id="0">
    <w:p w:rsidR="00636729" w:rsidRDefault="00636729" w:rsidP="00151C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729" w:rsidRPr="008C3F1D" w:rsidRDefault="00636729">
    <w:pPr>
      <w:pStyle w:val="Header"/>
      <w:rPr>
        <w:sz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729" w:rsidRPr="00896EBE" w:rsidRDefault="00636729" w:rsidP="00896E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13B53"/>
    <w:multiLevelType w:val="hybridMultilevel"/>
    <w:tmpl w:val="6188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904056F"/>
    <w:multiLevelType w:val="hybridMultilevel"/>
    <w:tmpl w:val="533483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B0207E7"/>
    <w:multiLevelType w:val="hybridMultilevel"/>
    <w:tmpl w:val="967460B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125D1A62"/>
    <w:multiLevelType w:val="hybridMultilevel"/>
    <w:tmpl w:val="C49E8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3EF23F1"/>
    <w:multiLevelType w:val="hybridMultilevel"/>
    <w:tmpl w:val="26C6E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4C40E3B"/>
    <w:multiLevelType w:val="hybridMultilevel"/>
    <w:tmpl w:val="27ECD5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nsid w:val="35873B6E"/>
    <w:multiLevelType w:val="hybridMultilevel"/>
    <w:tmpl w:val="71E86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9">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10">
    <w:nsid w:val="4452360B"/>
    <w:multiLevelType w:val="hybridMultilevel"/>
    <w:tmpl w:val="0E1A406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1">
    <w:nsid w:val="493D5DBB"/>
    <w:multiLevelType w:val="hybridMultilevel"/>
    <w:tmpl w:val="89FE6070"/>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4A0C7CB5"/>
    <w:multiLevelType w:val="hybridMultilevel"/>
    <w:tmpl w:val="19288C4E"/>
    <w:lvl w:ilvl="0" w:tplc="42C4BC86">
      <w:numFmt w:val="bullet"/>
      <w:lvlText w:val="•"/>
      <w:lvlJc w:val="left"/>
      <w:pPr>
        <w:ind w:left="720" w:hanging="360"/>
      </w:pPr>
      <w:rPr>
        <w:rFonts w:ascii="Times New Roman" w:eastAsiaTheme="minorEastAsia"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C047302"/>
    <w:multiLevelType w:val="hybridMultilevel"/>
    <w:tmpl w:val="B8786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DFB6120"/>
    <w:multiLevelType w:val="hybridMultilevel"/>
    <w:tmpl w:val="88CA51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nsid w:val="665A5562"/>
    <w:multiLevelType w:val="hybridMultilevel"/>
    <w:tmpl w:val="C6CE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abstractNumId w:val="8"/>
  </w:num>
  <w:num w:numId="2">
    <w:abstractNumId w:val="16"/>
  </w:num>
  <w:num w:numId="3">
    <w:abstractNumId w:val="10"/>
  </w:num>
  <w:num w:numId="4">
    <w:abstractNumId w:val="3"/>
  </w:num>
  <w:num w:numId="5">
    <w:abstractNumId w:val="1"/>
  </w:num>
  <w:num w:numId="6">
    <w:abstractNumId w:val="6"/>
  </w:num>
  <w:num w:numId="7">
    <w:abstractNumId w:val="2"/>
  </w:num>
  <w:num w:numId="8">
    <w:abstractNumId w:val="4"/>
  </w:num>
  <w:num w:numId="9">
    <w:abstractNumId w:val="5"/>
  </w:num>
  <w:num w:numId="10">
    <w:abstractNumId w:val="14"/>
  </w:num>
  <w:num w:numId="11">
    <w:abstractNumId w:val="15"/>
  </w:num>
  <w:num w:numId="12">
    <w:abstractNumId w:val="9"/>
  </w:num>
  <w:num w:numId="13">
    <w:abstractNumId w:val="9"/>
    <w:lvlOverride w:ilvl="0">
      <w:startOverride w:val="1"/>
    </w:lvlOverride>
  </w:num>
  <w:num w:numId="14">
    <w:abstractNumId w:val="0"/>
  </w:num>
  <w:num w:numId="15">
    <w:abstractNumId w:val="11"/>
  </w:num>
  <w:num w:numId="16">
    <w:abstractNumId w:val="13"/>
  </w:num>
  <w:num w:numId="17">
    <w:abstractNumId w:val="12"/>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GB" w:vendorID="64" w:dllVersion="131078" w:nlCheck="1" w:checkStyle="1"/>
  <w:activeWritingStyle w:appName="MSWord" w:lang="en-AU" w:vendorID="64" w:dllVersion="131078" w:nlCheck="1" w:checkStyle="1"/>
  <w:proofState w:spelling="clean" w:grammar="clean"/>
  <w:stylePaneFormatFilter w:val="1028"/>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
  <w:rsids>
    <w:rsidRoot w:val="001E3A93"/>
    <w:rsid w:val="00010078"/>
    <w:rsid w:val="000503F4"/>
    <w:rsid w:val="000629B8"/>
    <w:rsid w:val="000762FE"/>
    <w:rsid w:val="00080725"/>
    <w:rsid w:val="00092F2C"/>
    <w:rsid w:val="000962BA"/>
    <w:rsid w:val="000976DB"/>
    <w:rsid w:val="000A52A2"/>
    <w:rsid w:val="000A65F6"/>
    <w:rsid w:val="000B129E"/>
    <w:rsid w:val="000C3693"/>
    <w:rsid w:val="000D07B5"/>
    <w:rsid w:val="000D78D6"/>
    <w:rsid w:val="000F08F2"/>
    <w:rsid w:val="00102163"/>
    <w:rsid w:val="001125D9"/>
    <w:rsid w:val="0012062A"/>
    <w:rsid w:val="0012110A"/>
    <w:rsid w:val="00127498"/>
    <w:rsid w:val="00131EE6"/>
    <w:rsid w:val="001372D1"/>
    <w:rsid w:val="00144C2C"/>
    <w:rsid w:val="00151C54"/>
    <w:rsid w:val="00151E6A"/>
    <w:rsid w:val="00153032"/>
    <w:rsid w:val="00162A32"/>
    <w:rsid w:val="0016456A"/>
    <w:rsid w:val="001669D6"/>
    <w:rsid w:val="001746B7"/>
    <w:rsid w:val="00175BD8"/>
    <w:rsid w:val="00180DEF"/>
    <w:rsid w:val="0018228A"/>
    <w:rsid w:val="0018343E"/>
    <w:rsid w:val="00196322"/>
    <w:rsid w:val="001A5CE3"/>
    <w:rsid w:val="001C550C"/>
    <w:rsid w:val="001D006D"/>
    <w:rsid w:val="001E3A93"/>
    <w:rsid w:val="001E6727"/>
    <w:rsid w:val="001F41AC"/>
    <w:rsid w:val="001F47AF"/>
    <w:rsid w:val="001F5A48"/>
    <w:rsid w:val="001F5ED3"/>
    <w:rsid w:val="002060F6"/>
    <w:rsid w:val="00224A82"/>
    <w:rsid w:val="00224D28"/>
    <w:rsid w:val="00257866"/>
    <w:rsid w:val="00262A43"/>
    <w:rsid w:val="002737B5"/>
    <w:rsid w:val="0028617A"/>
    <w:rsid w:val="002926E7"/>
    <w:rsid w:val="0029727D"/>
    <w:rsid w:val="002B1DB3"/>
    <w:rsid w:val="002C11FD"/>
    <w:rsid w:val="002C6779"/>
    <w:rsid w:val="002C75EE"/>
    <w:rsid w:val="002D2972"/>
    <w:rsid w:val="002D3BC5"/>
    <w:rsid w:val="002D3CE5"/>
    <w:rsid w:val="002D41BA"/>
    <w:rsid w:val="002E2CFA"/>
    <w:rsid w:val="002E3D3A"/>
    <w:rsid w:val="002E4CC1"/>
    <w:rsid w:val="002F2F4C"/>
    <w:rsid w:val="003015AF"/>
    <w:rsid w:val="0030646A"/>
    <w:rsid w:val="003064B1"/>
    <w:rsid w:val="003228F6"/>
    <w:rsid w:val="00327648"/>
    <w:rsid w:val="00342594"/>
    <w:rsid w:val="0034712E"/>
    <w:rsid w:val="00364A9C"/>
    <w:rsid w:val="0036576A"/>
    <w:rsid w:val="003710C0"/>
    <w:rsid w:val="003712DE"/>
    <w:rsid w:val="00382C16"/>
    <w:rsid w:val="003869BF"/>
    <w:rsid w:val="00395E54"/>
    <w:rsid w:val="003A2479"/>
    <w:rsid w:val="003C4B05"/>
    <w:rsid w:val="003D6D6F"/>
    <w:rsid w:val="003E0906"/>
    <w:rsid w:val="003E5CA0"/>
    <w:rsid w:val="0040411A"/>
    <w:rsid w:val="0041002B"/>
    <w:rsid w:val="00417598"/>
    <w:rsid w:val="004309BE"/>
    <w:rsid w:val="00442785"/>
    <w:rsid w:val="004607C8"/>
    <w:rsid w:val="00461420"/>
    <w:rsid w:val="00483CF0"/>
    <w:rsid w:val="00485C1E"/>
    <w:rsid w:val="004A547B"/>
    <w:rsid w:val="004B0DD7"/>
    <w:rsid w:val="004B2362"/>
    <w:rsid w:val="004C276E"/>
    <w:rsid w:val="004C5892"/>
    <w:rsid w:val="004C66F9"/>
    <w:rsid w:val="004C7BF6"/>
    <w:rsid w:val="004D257B"/>
    <w:rsid w:val="004E3056"/>
    <w:rsid w:val="004E5C49"/>
    <w:rsid w:val="004F47F6"/>
    <w:rsid w:val="005117FD"/>
    <w:rsid w:val="00520FFB"/>
    <w:rsid w:val="00521B96"/>
    <w:rsid w:val="00524522"/>
    <w:rsid w:val="00543544"/>
    <w:rsid w:val="00547846"/>
    <w:rsid w:val="005505AB"/>
    <w:rsid w:val="0056245D"/>
    <w:rsid w:val="005664BC"/>
    <w:rsid w:val="00572154"/>
    <w:rsid w:val="00583EDC"/>
    <w:rsid w:val="00591BB7"/>
    <w:rsid w:val="005951BB"/>
    <w:rsid w:val="005A619E"/>
    <w:rsid w:val="005B311C"/>
    <w:rsid w:val="005B6B55"/>
    <w:rsid w:val="005C2B44"/>
    <w:rsid w:val="005C7337"/>
    <w:rsid w:val="005D4F88"/>
    <w:rsid w:val="005D53EF"/>
    <w:rsid w:val="005D6FE8"/>
    <w:rsid w:val="005D77C3"/>
    <w:rsid w:val="005E3D4B"/>
    <w:rsid w:val="005F66F2"/>
    <w:rsid w:val="006022C4"/>
    <w:rsid w:val="006144ED"/>
    <w:rsid w:val="006323D3"/>
    <w:rsid w:val="006327D8"/>
    <w:rsid w:val="00636729"/>
    <w:rsid w:val="006400BC"/>
    <w:rsid w:val="0064772B"/>
    <w:rsid w:val="00650566"/>
    <w:rsid w:val="00652426"/>
    <w:rsid w:val="006548BC"/>
    <w:rsid w:val="006553D3"/>
    <w:rsid w:val="00677FFA"/>
    <w:rsid w:val="006842A9"/>
    <w:rsid w:val="00690055"/>
    <w:rsid w:val="006C0064"/>
    <w:rsid w:val="006D072E"/>
    <w:rsid w:val="006E4016"/>
    <w:rsid w:val="006E6178"/>
    <w:rsid w:val="006F511E"/>
    <w:rsid w:val="00700F91"/>
    <w:rsid w:val="00725DC1"/>
    <w:rsid w:val="00734BCB"/>
    <w:rsid w:val="00745BFD"/>
    <w:rsid w:val="0075556B"/>
    <w:rsid w:val="00781078"/>
    <w:rsid w:val="00784976"/>
    <w:rsid w:val="00787A13"/>
    <w:rsid w:val="007A0F8D"/>
    <w:rsid w:val="007B3C0B"/>
    <w:rsid w:val="007B3C56"/>
    <w:rsid w:val="007C45D8"/>
    <w:rsid w:val="007C5044"/>
    <w:rsid w:val="007C6F56"/>
    <w:rsid w:val="007D49E6"/>
    <w:rsid w:val="007F21BF"/>
    <w:rsid w:val="007F777E"/>
    <w:rsid w:val="00801AF1"/>
    <w:rsid w:val="008128EB"/>
    <w:rsid w:val="00813B12"/>
    <w:rsid w:val="0081705B"/>
    <w:rsid w:val="008224BE"/>
    <w:rsid w:val="00827E43"/>
    <w:rsid w:val="008300B9"/>
    <w:rsid w:val="0085100D"/>
    <w:rsid w:val="00866D55"/>
    <w:rsid w:val="00871938"/>
    <w:rsid w:val="00877C5B"/>
    <w:rsid w:val="00896EBE"/>
    <w:rsid w:val="0089780D"/>
    <w:rsid w:val="008A0909"/>
    <w:rsid w:val="008A11A3"/>
    <w:rsid w:val="008B2552"/>
    <w:rsid w:val="008B370D"/>
    <w:rsid w:val="008B56DA"/>
    <w:rsid w:val="008B73F3"/>
    <w:rsid w:val="008C1C7B"/>
    <w:rsid w:val="008C3F1D"/>
    <w:rsid w:val="008D22E7"/>
    <w:rsid w:val="008D29F0"/>
    <w:rsid w:val="008D4378"/>
    <w:rsid w:val="008E292C"/>
    <w:rsid w:val="00910CE9"/>
    <w:rsid w:val="009152CA"/>
    <w:rsid w:val="00920010"/>
    <w:rsid w:val="009224BA"/>
    <w:rsid w:val="00922C40"/>
    <w:rsid w:val="00961FB9"/>
    <w:rsid w:val="00973468"/>
    <w:rsid w:val="009818B9"/>
    <w:rsid w:val="009908D6"/>
    <w:rsid w:val="00992814"/>
    <w:rsid w:val="00993F3E"/>
    <w:rsid w:val="00995D93"/>
    <w:rsid w:val="00997229"/>
    <w:rsid w:val="009A1039"/>
    <w:rsid w:val="009A10B6"/>
    <w:rsid w:val="009A11A2"/>
    <w:rsid w:val="009A16BE"/>
    <w:rsid w:val="009A2562"/>
    <w:rsid w:val="009B2B59"/>
    <w:rsid w:val="009B3BDE"/>
    <w:rsid w:val="009B40C3"/>
    <w:rsid w:val="009D35AA"/>
    <w:rsid w:val="009E50B4"/>
    <w:rsid w:val="009E61C5"/>
    <w:rsid w:val="009F3EBA"/>
    <w:rsid w:val="00A05152"/>
    <w:rsid w:val="00A1386A"/>
    <w:rsid w:val="00A16CBE"/>
    <w:rsid w:val="00A24ADE"/>
    <w:rsid w:val="00A351C1"/>
    <w:rsid w:val="00A37FDF"/>
    <w:rsid w:val="00A754C5"/>
    <w:rsid w:val="00A81D76"/>
    <w:rsid w:val="00A92EDB"/>
    <w:rsid w:val="00A94A7C"/>
    <w:rsid w:val="00A972CC"/>
    <w:rsid w:val="00AA3C71"/>
    <w:rsid w:val="00AC4F5E"/>
    <w:rsid w:val="00AD4432"/>
    <w:rsid w:val="00AE270F"/>
    <w:rsid w:val="00AF542E"/>
    <w:rsid w:val="00B030B7"/>
    <w:rsid w:val="00B0722D"/>
    <w:rsid w:val="00B20EBE"/>
    <w:rsid w:val="00B26C7F"/>
    <w:rsid w:val="00B3331C"/>
    <w:rsid w:val="00B37AB7"/>
    <w:rsid w:val="00B452D1"/>
    <w:rsid w:val="00B477EE"/>
    <w:rsid w:val="00B57443"/>
    <w:rsid w:val="00B7294E"/>
    <w:rsid w:val="00B96EB8"/>
    <w:rsid w:val="00BA0B39"/>
    <w:rsid w:val="00BB4AD3"/>
    <w:rsid w:val="00BB4CD3"/>
    <w:rsid w:val="00BB61BF"/>
    <w:rsid w:val="00BB7041"/>
    <w:rsid w:val="00BC12A9"/>
    <w:rsid w:val="00BC6B2F"/>
    <w:rsid w:val="00BD34E3"/>
    <w:rsid w:val="00BD3594"/>
    <w:rsid w:val="00BF5BAF"/>
    <w:rsid w:val="00C06F49"/>
    <w:rsid w:val="00C11458"/>
    <w:rsid w:val="00C142FA"/>
    <w:rsid w:val="00C15272"/>
    <w:rsid w:val="00C154F5"/>
    <w:rsid w:val="00C207BA"/>
    <w:rsid w:val="00C32367"/>
    <w:rsid w:val="00C36CC7"/>
    <w:rsid w:val="00C463C2"/>
    <w:rsid w:val="00C51AA5"/>
    <w:rsid w:val="00C52CC5"/>
    <w:rsid w:val="00C55BA8"/>
    <w:rsid w:val="00C57334"/>
    <w:rsid w:val="00C71506"/>
    <w:rsid w:val="00C9474A"/>
    <w:rsid w:val="00C96431"/>
    <w:rsid w:val="00CB06B1"/>
    <w:rsid w:val="00CB26E2"/>
    <w:rsid w:val="00CD6716"/>
    <w:rsid w:val="00CD7150"/>
    <w:rsid w:val="00CE72E2"/>
    <w:rsid w:val="00CE73AE"/>
    <w:rsid w:val="00CF1E27"/>
    <w:rsid w:val="00CF2006"/>
    <w:rsid w:val="00CF7161"/>
    <w:rsid w:val="00CF7424"/>
    <w:rsid w:val="00D0550D"/>
    <w:rsid w:val="00D076DD"/>
    <w:rsid w:val="00D121A6"/>
    <w:rsid w:val="00D36826"/>
    <w:rsid w:val="00D557BA"/>
    <w:rsid w:val="00D70141"/>
    <w:rsid w:val="00D70F10"/>
    <w:rsid w:val="00D751FB"/>
    <w:rsid w:val="00D83D21"/>
    <w:rsid w:val="00D91C7C"/>
    <w:rsid w:val="00DA2671"/>
    <w:rsid w:val="00DB3586"/>
    <w:rsid w:val="00DD01C2"/>
    <w:rsid w:val="00DD1CC4"/>
    <w:rsid w:val="00DD1FEF"/>
    <w:rsid w:val="00DD2C31"/>
    <w:rsid w:val="00DE2764"/>
    <w:rsid w:val="00DE43FF"/>
    <w:rsid w:val="00DE6B9D"/>
    <w:rsid w:val="00DE6EA9"/>
    <w:rsid w:val="00DF141C"/>
    <w:rsid w:val="00DF7ACE"/>
    <w:rsid w:val="00E01BD2"/>
    <w:rsid w:val="00E17A7C"/>
    <w:rsid w:val="00E239C0"/>
    <w:rsid w:val="00E304E9"/>
    <w:rsid w:val="00E34976"/>
    <w:rsid w:val="00E555F7"/>
    <w:rsid w:val="00E70274"/>
    <w:rsid w:val="00E756E3"/>
    <w:rsid w:val="00E922D3"/>
    <w:rsid w:val="00E9516C"/>
    <w:rsid w:val="00E9571B"/>
    <w:rsid w:val="00EA7474"/>
    <w:rsid w:val="00EB542F"/>
    <w:rsid w:val="00EC4AD6"/>
    <w:rsid w:val="00ED382D"/>
    <w:rsid w:val="00ED5DC1"/>
    <w:rsid w:val="00F06ACF"/>
    <w:rsid w:val="00F11BB3"/>
    <w:rsid w:val="00F12365"/>
    <w:rsid w:val="00F16CEE"/>
    <w:rsid w:val="00F236CE"/>
    <w:rsid w:val="00F35134"/>
    <w:rsid w:val="00F36891"/>
    <w:rsid w:val="00F842CC"/>
    <w:rsid w:val="00F8548C"/>
    <w:rsid w:val="00F95723"/>
    <w:rsid w:val="00FA26FF"/>
    <w:rsid w:val="00FA65D3"/>
    <w:rsid w:val="00FA7662"/>
    <w:rsid w:val="00FB4B41"/>
    <w:rsid w:val="00FB5AAE"/>
    <w:rsid w:val="00FE4D40"/>
    <w:rsid w:val="00FE7E58"/>
    <w:rsid w:val="00FF2244"/>
    <w:rsid w:val="00FF540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unhideWhenUsed="0" w:qFormat="1"/>
    <w:lsdException w:name="Default Paragraph Font" w:uiPriority="1"/>
    <w:lsdException w:name="Subtitle"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547846"/>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semiHidden/>
    <w:unhideWhenUsed/>
    <w:rsid w:val="00BB7041"/>
    <w:rPr>
      <w:sz w:val="20"/>
      <w:szCs w:val="20"/>
    </w:rPr>
  </w:style>
  <w:style w:type="character" w:customStyle="1" w:styleId="CommentTextChar">
    <w:name w:val="Comment Text Char"/>
    <w:basedOn w:val="DefaultParagraphFont"/>
    <w:link w:val="CommentText"/>
    <w:uiPriority w:val="99"/>
    <w:semiHidden/>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rPr>
  </w:style>
  <w:style w:type="paragraph" w:styleId="Revision">
    <w:name w:val="Revision"/>
    <w:hidden/>
    <w:uiPriority w:val="99"/>
    <w:semiHidden/>
    <w:rsid w:val="00BB7041"/>
  </w:style>
  <w:style w:type="table" w:styleId="TableGrid">
    <w:name w:val="Table Grid"/>
    <w:basedOn w:val="TableNormal"/>
    <w:uiPriority w:val="59"/>
    <w:rsid w:val="00AD44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eraddress">
    <w:name w:val="Footer address"/>
    <w:basedOn w:val="Footer"/>
    <w:semiHidden/>
    <w:qFormat/>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szCs w:val="20"/>
    </w:rPr>
  </w:style>
  <w:style w:type="paragraph" w:customStyle="1" w:styleId="HB-Table-dotpoint">
    <w:name w:val="HB - Table - dot point"/>
    <w:basedOn w:val="Normal"/>
    <w:rsid w:val="00FA26FF"/>
    <w:pPr>
      <w:numPr>
        <w:numId w:val="1"/>
      </w:numPr>
      <w:tabs>
        <w:tab w:val="clear" w:pos="720"/>
        <w:tab w:val="num" w:pos="567"/>
      </w:tabs>
      <w:spacing w:before="120" w:after="120"/>
      <w:ind w:left="567" w:hanging="425"/>
    </w:pPr>
    <w:rPr>
      <w:rFonts w:ascii="Times New Roman" w:eastAsia="Times New Roman" w:hAnsi="Times New Roman" w:cs="Times New Roman"/>
      <w:sz w:val="24"/>
      <w:szCs w:val="20"/>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szCs w:val="20"/>
      <w:lang w:eastAsia="en-AU"/>
    </w:rPr>
  </w:style>
  <w:style w:type="paragraph" w:styleId="ListParagraph">
    <w:name w:val="List Paragraph"/>
    <w:basedOn w:val="Normal"/>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2"/>
      </w:numPr>
      <w:spacing w:before="120"/>
    </w:pPr>
    <w:rPr>
      <w:rFonts w:ascii="Times New Roman" w:eastAsia="Times New Roman" w:hAnsi="Times New Roman" w:cs="Times New Roman"/>
      <w:sz w:val="24"/>
      <w:szCs w:val="20"/>
      <w:lang w:eastAsia="en-AU"/>
    </w:rPr>
  </w:style>
  <w:style w:type="paragraph" w:styleId="Title">
    <w:name w:val="Title"/>
    <w:basedOn w:val="Normal"/>
    <w:link w:val="TitleChar"/>
    <w:qFormat/>
    <w:rsid w:val="002B1DB3"/>
    <w:pPr>
      <w:jc w:val="center"/>
    </w:pPr>
    <w:rPr>
      <w:rFonts w:ascii="Arial Rounded MT Bold" w:eastAsia="Times New Roman" w:hAnsi="Arial Rounded MT Bold" w:cs="Times New Roman"/>
      <w:b/>
      <w:sz w:val="24"/>
      <w:szCs w:val="20"/>
    </w:rPr>
  </w:style>
  <w:style w:type="character" w:customStyle="1" w:styleId="TitleChar">
    <w:name w:val="Title Char"/>
    <w:basedOn w:val="DefaultParagraphFont"/>
    <w:link w:val="Title"/>
    <w:rsid w:val="002B1DB3"/>
    <w:rPr>
      <w:rFonts w:ascii="Arial Rounded MT Bold" w:eastAsia="Times New Roman" w:hAnsi="Arial Rounded MT Bold" w:cs="Times New Roman"/>
      <w:b/>
      <w:szCs w:val="20"/>
    </w:rPr>
  </w:style>
  <w:style w:type="paragraph" w:customStyle="1" w:styleId="Definition">
    <w:name w:val="Definition"/>
    <w:aliases w:val="dd"/>
    <w:basedOn w:val="Normal"/>
    <w:rsid w:val="00FF540F"/>
    <w:pPr>
      <w:spacing w:before="180"/>
      <w:ind w:left="1134"/>
    </w:pPr>
    <w:rPr>
      <w:rFonts w:ascii="Times New Roman" w:eastAsia="Times New Roman" w:hAnsi="Times New Roman" w:cs="Times New Roman"/>
      <w:szCs w:val="20"/>
      <w:lang w:eastAsia="en-AU"/>
    </w:rPr>
  </w:style>
  <w:style w:type="paragraph" w:styleId="PlainText">
    <w:name w:val="Plain Text"/>
    <w:basedOn w:val="Normal"/>
    <w:link w:val="PlainTextChar"/>
    <w:uiPriority w:val="99"/>
    <w:semiHidden/>
    <w:unhideWhenUsed/>
    <w:rsid w:val="00224A82"/>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224A82"/>
    <w:rPr>
      <w:rFonts w:ascii="Consolas" w:eastAsiaTheme="minorHAnsi" w:hAnsi="Consolas"/>
      <w:sz w:val="21"/>
      <w:szCs w:val="21"/>
    </w:rPr>
  </w:style>
</w:styles>
</file>

<file path=word/webSettings.xml><?xml version="1.0" encoding="utf-8"?>
<w:webSettings xmlns:r="http://schemas.openxmlformats.org/officeDocument/2006/relationships" xmlns:w="http://schemas.openxmlformats.org/wordprocessingml/2006/main">
  <w:divs>
    <w:div w:id="3178501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F24F1B361AA4406A4B36253A44AD5DA"/>
        <w:category>
          <w:name w:val="General"/>
          <w:gallery w:val="placeholder"/>
        </w:category>
        <w:types>
          <w:type w:val="bbPlcHdr"/>
        </w:types>
        <w:behaviors>
          <w:behavior w:val="content"/>
        </w:behaviors>
        <w:guid w:val="{FB08F9D5-CDDF-4F05-9CBB-78BBD700F8EA}"/>
      </w:docPartPr>
      <w:docPartBody>
        <w:p w:rsidR="006E4252" w:rsidRDefault="006E4252">
          <w:pPr>
            <w:pStyle w:val="3F24F1B361AA4406A4B36253A44AD5DA"/>
          </w:pPr>
          <w:r w:rsidRPr="004A1156">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Rounded MT Bold">
    <w:altName w:val="Tahoma"/>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E4252"/>
    <w:rsid w:val="000075F3"/>
    <w:rsid w:val="002057FE"/>
    <w:rsid w:val="00277505"/>
    <w:rsid w:val="00286A64"/>
    <w:rsid w:val="002A7CAE"/>
    <w:rsid w:val="002D7CEE"/>
    <w:rsid w:val="002F75FD"/>
    <w:rsid w:val="00583019"/>
    <w:rsid w:val="006420A6"/>
    <w:rsid w:val="00654BF2"/>
    <w:rsid w:val="006E4252"/>
    <w:rsid w:val="00716E6A"/>
    <w:rsid w:val="007645B6"/>
    <w:rsid w:val="00906131"/>
    <w:rsid w:val="00A208B5"/>
    <w:rsid w:val="00B15D30"/>
    <w:rsid w:val="00B63043"/>
    <w:rsid w:val="00BC480F"/>
    <w:rsid w:val="00D93EEB"/>
    <w:rsid w:val="00E0107C"/>
    <w:rsid w:val="00F055E3"/>
    <w:rsid w:val="00F36BB7"/>
    <w:rsid w:val="00F55210"/>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2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4252"/>
    <w:rPr>
      <w:color w:val="808080"/>
    </w:rPr>
  </w:style>
  <w:style w:type="paragraph" w:customStyle="1" w:styleId="3F24F1B361AA4406A4B36253A44AD5DA">
    <w:name w:val="3F24F1B361AA4406A4B36253A44AD5DA"/>
    <w:rsid w:val="006E425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1DC86-36A9-4BF8-90E2-8D83BFA36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8</Pages>
  <Words>2473</Words>
  <Characters>14099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16539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Dylewski</dc:creator>
  <cp:lastModifiedBy>Ernie Chan</cp:lastModifiedBy>
  <cp:revision>26</cp:revision>
  <cp:lastPrinted>2014-05-20T23:37:00Z</cp:lastPrinted>
  <dcterms:created xsi:type="dcterms:W3CDTF">2014-05-08T05:42:00Z</dcterms:created>
  <dcterms:modified xsi:type="dcterms:W3CDTF">2014-06-05T04:26:00Z</dcterms:modified>
</cp:coreProperties>
</file>