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2F" w:rsidRDefault="003B112F" w:rsidP="003B112F">
      <w:pPr>
        <w:autoSpaceDE w:val="0"/>
        <w:autoSpaceDN w:val="0"/>
        <w:snapToGrid/>
        <w:spacing w:before="0"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EXPLANATORY STATEMENT</w:t>
      </w:r>
    </w:p>
    <w:p w:rsidR="003B112F" w:rsidRDefault="003B112F" w:rsidP="003B112F">
      <w:pPr>
        <w:autoSpaceDE w:val="0"/>
        <w:autoSpaceDN w:val="0"/>
        <w:snapToGrid/>
        <w:spacing w:before="0" w:after="0" w:line="240" w:lineRule="auto"/>
        <w:jc w:val="both"/>
        <w:rPr>
          <w:rFonts w:ascii="Times New Roman" w:eastAsiaTheme="minorHAnsi" w:hAnsi="Times New Roman"/>
          <w:b/>
          <w:bCs/>
          <w:sz w:val="24"/>
          <w:szCs w:val="24"/>
          <w:lang w:eastAsia="en-US"/>
        </w:rPr>
      </w:pPr>
    </w:p>
    <w:p w:rsidR="003B112F" w:rsidRDefault="003B112F" w:rsidP="003B112F">
      <w:pPr>
        <w:autoSpaceDE w:val="0"/>
        <w:autoSpaceDN w:val="0"/>
        <w:snapToGrid/>
        <w:spacing w:before="0" w:after="0" w:line="240" w:lineRule="auto"/>
        <w:ind w:left="1134" w:hanging="1134"/>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Subject:</w:t>
      </w:r>
      <w:r>
        <w:rPr>
          <w:rFonts w:ascii="Times New Roman" w:eastAsiaTheme="minorHAnsi" w:hAnsi="Times New Roman"/>
          <w:b/>
          <w:bCs/>
          <w:sz w:val="24"/>
          <w:szCs w:val="24"/>
          <w:lang w:eastAsia="en-US"/>
        </w:rPr>
        <w:tab/>
        <w:t>THERAPEUTIC GOODS ORDER (TGO) NO.70C - STA</w:t>
      </w:r>
      <w:r w:rsidR="00EC4A14">
        <w:rPr>
          <w:rFonts w:ascii="Times New Roman" w:eastAsiaTheme="minorHAnsi" w:hAnsi="Times New Roman"/>
          <w:b/>
          <w:bCs/>
          <w:sz w:val="24"/>
          <w:szCs w:val="24"/>
          <w:lang w:eastAsia="en-US"/>
        </w:rPr>
        <w:t>NDARDS FOR EXPORT ONLY MEDICINE</w:t>
      </w:r>
    </w:p>
    <w:p w:rsidR="003B112F" w:rsidRDefault="003B112F" w:rsidP="003B112F">
      <w:pPr>
        <w:autoSpaceDE w:val="0"/>
        <w:autoSpaceDN w:val="0"/>
        <w:snapToGrid/>
        <w:spacing w:before="0" w:after="0" w:line="240" w:lineRule="auto"/>
        <w:ind w:left="1134" w:hanging="1134"/>
        <w:jc w:val="both"/>
        <w:rPr>
          <w:rFonts w:ascii="Times New Roman" w:eastAsiaTheme="minorHAnsi" w:hAnsi="Times New Roman"/>
          <w:sz w:val="24"/>
          <w:szCs w:val="24"/>
          <w:lang w:eastAsia="en-US"/>
        </w:rPr>
      </w:pPr>
    </w:p>
    <w:p w:rsidR="003B112F" w:rsidRPr="001F7A07" w:rsidRDefault="003B112F" w:rsidP="003B112F">
      <w:pPr>
        <w:autoSpaceDE w:val="0"/>
        <w:autoSpaceDN w:val="0"/>
        <w:snapToGrid/>
        <w:spacing w:before="0" w:after="0" w:line="240" w:lineRule="auto"/>
        <w:ind w:left="1134" w:hanging="1134"/>
        <w:jc w:val="center"/>
        <w:rPr>
          <w:rFonts w:ascii="Times New Roman" w:eastAsiaTheme="minorHAnsi" w:hAnsi="Times New Roman"/>
          <w:i/>
          <w:iCs/>
          <w:sz w:val="24"/>
          <w:szCs w:val="24"/>
          <w:lang w:eastAsia="en-US"/>
        </w:rPr>
      </w:pPr>
      <w:r w:rsidRPr="001F7A07">
        <w:rPr>
          <w:rFonts w:ascii="Times New Roman" w:eastAsiaTheme="minorHAnsi" w:hAnsi="Times New Roman"/>
          <w:i/>
          <w:iCs/>
          <w:sz w:val="24"/>
          <w:szCs w:val="24"/>
          <w:lang w:eastAsia="en-US"/>
        </w:rPr>
        <w:t>Section 10, Therapeutic Goods Act, 1989</w:t>
      </w:r>
    </w:p>
    <w:p w:rsidR="003B112F" w:rsidRDefault="003B112F" w:rsidP="003B112F">
      <w:pPr>
        <w:autoSpaceDE w:val="0"/>
        <w:autoSpaceDN w:val="0"/>
        <w:snapToGrid/>
        <w:spacing w:before="0" w:after="0" w:line="240" w:lineRule="auto"/>
        <w:ind w:left="1134" w:hanging="1134"/>
        <w:jc w:val="both"/>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OUTLINE</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Therapeutic Goods Order No. 70C </w:t>
      </w:r>
      <w:r>
        <w:rPr>
          <w:rFonts w:ascii="Times New Roman" w:eastAsiaTheme="minorHAnsi" w:hAnsi="Times New Roman"/>
          <w:i/>
          <w:iCs/>
          <w:sz w:val="24"/>
          <w:szCs w:val="24"/>
          <w:lang w:eastAsia="en-US"/>
        </w:rPr>
        <w:t>Standards for Export Only Medicine</w:t>
      </w:r>
      <w:r>
        <w:rPr>
          <w:rFonts w:ascii="Times New Roman" w:eastAsiaTheme="minorHAnsi" w:hAnsi="Times New Roman"/>
          <w:sz w:val="24"/>
          <w:szCs w:val="24"/>
          <w:lang w:eastAsia="en-US"/>
        </w:rPr>
        <w:t xml:space="preserve"> (TGO 70C -Attachment 1) is an Order made by the delegate of the Minister for Health under section 10 of the </w:t>
      </w:r>
      <w:r>
        <w:rPr>
          <w:rFonts w:ascii="Times New Roman" w:eastAsiaTheme="minorHAnsi" w:hAnsi="Times New Roman"/>
          <w:i/>
          <w:iCs/>
          <w:sz w:val="24"/>
          <w:szCs w:val="24"/>
          <w:lang w:eastAsia="en-US"/>
        </w:rPr>
        <w:t>Therapeutic Goods Act 1989</w:t>
      </w:r>
      <w:r>
        <w:rPr>
          <w:rFonts w:ascii="Times New Roman" w:eastAsiaTheme="minorHAnsi" w:hAnsi="Times New Roman"/>
          <w:sz w:val="24"/>
          <w:szCs w:val="24"/>
          <w:lang w:eastAsia="en-US"/>
        </w:rPr>
        <w:t xml:space="preserve"> (the Act).</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TGO 70C revokes Therapeutic Goods Order No. 70B </w:t>
      </w:r>
      <w:r>
        <w:rPr>
          <w:rFonts w:ascii="Times New Roman" w:eastAsiaTheme="minorHAnsi" w:hAnsi="Times New Roman"/>
          <w:i/>
          <w:iCs/>
          <w:sz w:val="24"/>
          <w:szCs w:val="24"/>
          <w:lang w:eastAsia="en-US"/>
        </w:rPr>
        <w:t>Standards for Export Only Medicine</w:t>
      </w:r>
      <w:r>
        <w:rPr>
          <w:rFonts w:ascii="Times New Roman" w:eastAsiaTheme="minorHAnsi" w:hAnsi="Times New Roman"/>
          <w:sz w:val="24"/>
          <w:szCs w:val="24"/>
          <w:lang w:eastAsia="en-US"/>
        </w:rPr>
        <w:t xml:space="preserve"> (TGO 70 B), and determines that the matters specified in the instrument constitute the standard applicable to medicines that are manufactured in Australia, or imported into Australia, solely for export (export only medicines).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BACKGROUND</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The Act provides for the establishment and maintenance of a national system of controls relating to the quality, safety, efficacy and timely availability of therap</w:t>
      </w:r>
      <w:r w:rsidR="001F7A07">
        <w:rPr>
          <w:rFonts w:ascii="Times New Roman" w:eastAsiaTheme="minorHAnsi" w:hAnsi="Times New Roman"/>
          <w:sz w:val="24"/>
          <w:szCs w:val="24"/>
          <w:lang w:eastAsia="en-US"/>
        </w:rPr>
        <w:t xml:space="preserve">eutic goods for use in humans. </w:t>
      </w:r>
      <w:r>
        <w:rPr>
          <w:rFonts w:ascii="Times New Roman" w:eastAsiaTheme="minorHAnsi" w:hAnsi="Times New Roman"/>
          <w:sz w:val="24"/>
          <w:szCs w:val="24"/>
          <w:lang w:eastAsia="en-US"/>
        </w:rPr>
        <w:t>The Therapeutic Goods Administration (TGA) is responsible for administering the Act.</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Section 10 of the Act authorises the Minister, or the Minister’s delegate, to determine standards for therapeutic goods, or to amend or revoke existing standards, after consultation with the Therapeutic Goods Committee (the TGC), a committee established by the Therapeutic Goods Regulations 1990 to advise the Minister on matters relating to standards.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Unless consent is granted by the Secretary under section 14 and 14A of the Act, therapeutic goods imported into Australia, supplied in Australia or exported from Australia must comply with applicable standards.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Export only medicines are listed in the Australian Register of Therapeutic Goods, and it is a condition of the listing of such medicines that they are not permitted for supply in Australia, including via duty free outlets.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TGO 70B, which has been revoked and replaced by TGO 70C, specified that particular editions of international pharmacopoeia, being, the British Pharmacopoeia, the United States Pharmacopoeia, the European Pharmacopoeia and the Japanese Pharmacopoeia constitute alternative standards for export only medicines.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 pharmacopoeia is a comprehensive compilation of information regarding the preparation of medicines and characterisation of their ingredients by suitable </w:t>
      </w:r>
      <w:r>
        <w:rPr>
          <w:rFonts w:ascii="Times New Roman" w:eastAsiaTheme="minorHAnsi" w:hAnsi="Times New Roman"/>
          <w:sz w:val="24"/>
          <w:szCs w:val="24"/>
          <w:lang w:eastAsia="en-US"/>
        </w:rPr>
        <w:lastRenderedPageBreak/>
        <w:t>monograp</w:t>
      </w:r>
      <w:r w:rsidR="001F7A07">
        <w:rPr>
          <w:rFonts w:ascii="Times New Roman" w:eastAsiaTheme="minorHAnsi" w:hAnsi="Times New Roman"/>
          <w:sz w:val="24"/>
          <w:szCs w:val="24"/>
          <w:lang w:eastAsia="en-US"/>
        </w:rPr>
        <w:t xml:space="preserve">hs. </w:t>
      </w:r>
      <w:r>
        <w:rPr>
          <w:rFonts w:ascii="Times New Roman" w:eastAsiaTheme="minorHAnsi" w:hAnsi="Times New Roman"/>
          <w:sz w:val="24"/>
          <w:szCs w:val="24"/>
          <w:lang w:eastAsia="en-US"/>
        </w:rPr>
        <w:t>A monograph contained in a pharmacopeia may be adopted as a standard by a health authority. Pharmacopoeias are published by the authority of a government or a medical or a pharmaceutical society.</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At the time of the making of TGO 70B in February 2007, the British Pharmacopoeia was the only pharmacopoeia recognised in the Act as being the standard to which therapeutic goods for use in humans were required to conform if there was no Order in place under section 10 of the Act in relation to the goods.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The definition of the British Pharmacopoeia included in the Act at that time only included updates to that pharmacopoeia that were specified by the Minister in an order published in the </w:t>
      </w:r>
      <w:r>
        <w:rPr>
          <w:rFonts w:ascii="Times New Roman" w:eastAsiaTheme="minorHAnsi" w:hAnsi="Times New Roman"/>
          <w:i/>
          <w:iCs/>
          <w:sz w:val="24"/>
          <w:szCs w:val="24"/>
          <w:lang w:eastAsia="en-US"/>
        </w:rPr>
        <w:t>Gazette</w:t>
      </w:r>
      <w:r>
        <w:rPr>
          <w:rFonts w:ascii="Times New Roman" w:eastAsiaTheme="minorHAnsi" w:hAnsi="Times New Roman"/>
          <w:sz w:val="24"/>
          <w:szCs w:val="24"/>
          <w:lang w:eastAsia="en-US"/>
        </w:rPr>
        <w:t>.</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In 2009, a number of amendments were made to the Act by the </w:t>
      </w:r>
      <w:r>
        <w:rPr>
          <w:rFonts w:ascii="Times New Roman" w:eastAsiaTheme="minorHAnsi" w:hAnsi="Times New Roman"/>
          <w:i/>
          <w:iCs/>
          <w:sz w:val="24"/>
          <w:szCs w:val="24"/>
          <w:lang w:eastAsia="en-US"/>
        </w:rPr>
        <w:t>Therapeutic Goods (Medical Devices and Other Measures) Act 2009</w:t>
      </w:r>
      <w:r>
        <w:rPr>
          <w:rFonts w:ascii="Times New Roman" w:eastAsiaTheme="minorHAnsi" w:hAnsi="Times New Roman"/>
          <w:sz w:val="24"/>
          <w:szCs w:val="24"/>
          <w:lang w:eastAsia="en-US"/>
        </w:rPr>
        <w:t xml:space="preserve"> in relation to standards, with the effect that the United States Pharmacopoeia and the European Pharmacopoeia were added as a</w:t>
      </w:r>
      <w:r w:rsidR="001F7A07">
        <w:rPr>
          <w:rFonts w:ascii="Times New Roman" w:eastAsiaTheme="minorHAnsi" w:hAnsi="Times New Roman"/>
          <w:sz w:val="24"/>
          <w:szCs w:val="24"/>
          <w:lang w:eastAsia="en-US"/>
        </w:rPr>
        <w:t xml:space="preserve">dditional ‘default standards’. </w:t>
      </w:r>
      <w:r>
        <w:rPr>
          <w:rFonts w:ascii="Times New Roman" w:eastAsiaTheme="minorHAnsi" w:hAnsi="Times New Roman"/>
          <w:sz w:val="24"/>
          <w:szCs w:val="24"/>
          <w:lang w:eastAsia="en-US"/>
        </w:rPr>
        <w:t>Definitions for each of these pharmacopoeia were introduced to the Act, and a new definition for the British Pharmacopoeia was also added (subsection 3(1) of the Act refers).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These new definitions include any additions and amendments made to the pharmacopoeia by the bodies responsible for their publication, from the effective date of such changes (i.e. without the need for the Minister to </w:t>
      </w:r>
      <w:r>
        <w:rPr>
          <w:rFonts w:ascii="Times New Roman" w:eastAsiaTheme="minorHAnsi" w:hAnsi="Times New Roman"/>
          <w:i/>
          <w:iCs/>
          <w:sz w:val="24"/>
          <w:szCs w:val="24"/>
          <w:lang w:eastAsia="en-US"/>
        </w:rPr>
        <w:t>Gazette</w:t>
      </w:r>
      <w:r>
        <w:rPr>
          <w:rFonts w:ascii="Times New Roman" w:eastAsiaTheme="minorHAnsi" w:hAnsi="Times New Roman"/>
          <w:sz w:val="24"/>
          <w:szCs w:val="24"/>
          <w:lang w:eastAsia="en-US"/>
        </w:rPr>
        <w:t xml:space="preserve"> updates).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To reflect these developments, TG0 70C principally replaces the references to particular editions of each of the British, European and United States Pharmacopoeia in TGO 70B with references to those pharmacopoeia as they are defined in subsection 3(1) of the Act.</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TGO 70C also updates the reference to the edition of the Japanese Pharmacopoeia mentioned in TGO 70B, from the 14</w:t>
      </w:r>
      <w:r>
        <w:rPr>
          <w:rFonts w:ascii="Times New Roman" w:eastAsiaTheme="minorHAnsi" w:hAnsi="Times New Roman"/>
          <w:sz w:val="24"/>
          <w:szCs w:val="24"/>
          <w:vertAlign w:val="superscript"/>
          <w:lang w:eastAsia="en-US"/>
        </w:rPr>
        <w:t>th</w:t>
      </w:r>
      <w:r>
        <w:rPr>
          <w:rFonts w:ascii="Times New Roman" w:eastAsiaTheme="minorHAnsi" w:hAnsi="Times New Roman"/>
          <w:sz w:val="24"/>
          <w:szCs w:val="24"/>
          <w:lang w:eastAsia="en-US"/>
        </w:rPr>
        <w:t xml:space="preserve"> edition to the 16</w:t>
      </w:r>
      <w:r>
        <w:rPr>
          <w:rFonts w:ascii="Times New Roman" w:eastAsiaTheme="minorHAnsi" w:hAnsi="Times New Roman"/>
          <w:sz w:val="24"/>
          <w:szCs w:val="24"/>
          <w:vertAlign w:val="superscript"/>
          <w:lang w:eastAsia="en-US"/>
        </w:rPr>
        <w:t>th</w:t>
      </w:r>
      <w:r>
        <w:rPr>
          <w:rFonts w:ascii="Times New Roman" w:eastAsiaTheme="minorHAnsi" w:hAnsi="Times New Roman"/>
          <w:sz w:val="24"/>
          <w:szCs w:val="24"/>
          <w:lang w:eastAsia="en-US"/>
        </w:rPr>
        <w:t xml:space="preserve"> edition, to reflect updates to that document since 2007 and because the Japanese Pharmacopoeia has not been added to the Act as a default standard.</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TGO 70C determines that the British Pharmacopoeia, United States Pharmacopoeia, European Pharmacopoeia (as updated by the respective authorities responsible for those documents) and the 16</w:t>
      </w:r>
      <w:r>
        <w:rPr>
          <w:rFonts w:ascii="Times New Roman" w:eastAsiaTheme="minorHAnsi" w:hAnsi="Times New Roman"/>
          <w:sz w:val="24"/>
          <w:szCs w:val="24"/>
          <w:vertAlign w:val="superscript"/>
          <w:lang w:eastAsia="en-US"/>
        </w:rPr>
        <w:t>th</w:t>
      </w:r>
      <w:r>
        <w:rPr>
          <w:rFonts w:ascii="Times New Roman" w:eastAsiaTheme="minorHAnsi" w:hAnsi="Times New Roman"/>
          <w:sz w:val="24"/>
          <w:szCs w:val="24"/>
          <w:lang w:eastAsia="en-US"/>
        </w:rPr>
        <w:t xml:space="preserve"> edition of the Japanese Pharmacopoeia constitute alternative standards for export only medicine.  That is, it will be sufficient for the purposes of the Act in relation to compliance with applicable standards for an export only medicine to meet the relevant requirements set out in one of these pharmacopoeias.</w:t>
      </w:r>
    </w:p>
    <w:p w:rsidR="003B112F" w:rsidRDefault="003B112F" w:rsidP="003B112F">
      <w:pPr>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TGO 70C will assist sponsors of export only medicines to comply with the requirements of the Act in relation to standards, and provide continued flexibility for sponsors of such products in relation to complying with applicable standards by specifying a number of different international pharm</w:t>
      </w:r>
      <w:r w:rsidR="001F7A07">
        <w:rPr>
          <w:rFonts w:ascii="Times New Roman" w:eastAsiaTheme="minorHAnsi" w:hAnsi="Times New Roman"/>
          <w:sz w:val="24"/>
          <w:szCs w:val="24"/>
          <w:lang w:eastAsia="en-US"/>
        </w:rPr>
        <w:t xml:space="preserve">acopoeia with which to comply. TG0 70C </w:t>
      </w:r>
      <w:r>
        <w:rPr>
          <w:rFonts w:ascii="Times New Roman" w:eastAsiaTheme="minorHAnsi" w:hAnsi="Times New Roman"/>
          <w:sz w:val="24"/>
          <w:szCs w:val="24"/>
          <w:lang w:eastAsia="en-US"/>
        </w:rPr>
        <w:t>continues the role of TGO 70B and relevant related previous s.10 Orders for export only medicines in supporting the quality and safety of export only medicines exported from Australia.</w:t>
      </w: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C67E69">
      <w:pPr>
        <w:keepNext/>
        <w:tabs>
          <w:tab w:val="center" w:pos="4153"/>
          <w:tab w:val="right" w:pos="8306"/>
        </w:tabs>
        <w:autoSpaceDE w:val="0"/>
        <w:autoSpaceDN w:val="0"/>
        <w:snapToGrid/>
        <w:spacing w:before="0" w:after="0" w:line="240" w:lineRule="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lastRenderedPageBreak/>
        <w:t>CONSULTATION</w:t>
      </w:r>
      <w:bookmarkStart w:id="0" w:name="_GoBack"/>
      <w:bookmarkEnd w:id="0"/>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 draft of TGO 70C</w:t>
      </w:r>
      <w:r w:rsidR="001F7A07">
        <w:rPr>
          <w:rFonts w:ascii="Times New Roman" w:eastAsiaTheme="minorHAnsi" w:hAnsi="Times New Roman"/>
          <w:sz w:val="24"/>
          <w:szCs w:val="24"/>
          <w:lang w:eastAsia="en-US"/>
        </w:rPr>
        <w:t xml:space="preserve"> was made available to </w:t>
      </w:r>
      <w:r>
        <w:rPr>
          <w:rFonts w:ascii="Times New Roman" w:eastAsiaTheme="minorHAnsi" w:hAnsi="Times New Roman"/>
          <w:sz w:val="24"/>
          <w:szCs w:val="24"/>
          <w:lang w:eastAsia="en-US"/>
        </w:rPr>
        <w:t>peak industry associations the Australian Self-Medication Industry, Medicines Australia, the Generic Medicines Industry Association and the Complementary Healthcare Council of Australia.</w:t>
      </w: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TGO 70C has also been considered and endorsed by the Therapeutic Goods Committee (the TGC) and has been adopted by the TGC.</w:t>
      </w: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In relation to compatibility with human rights, it is considered that TGO 70C is compatible with the human rights and freedoms recognised or declared in the international instruments listed in section 3 of the </w:t>
      </w:r>
      <w:r>
        <w:rPr>
          <w:rFonts w:ascii="Times New Roman" w:eastAsiaTheme="minorHAnsi" w:hAnsi="Times New Roman"/>
          <w:i/>
          <w:iCs/>
          <w:sz w:val="24"/>
          <w:szCs w:val="24"/>
          <w:lang w:eastAsia="en-US"/>
        </w:rPr>
        <w:t>Human Rights (Parliamentary Scrutiny) Act 2011</w:t>
      </w:r>
      <w:r>
        <w:rPr>
          <w:rFonts w:ascii="Times New Roman" w:eastAsiaTheme="minorHAnsi" w:hAnsi="Times New Roman"/>
          <w:sz w:val="24"/>
          <w:szCs w:val="24"/>
          <w:lang w:eastAsia="en-US"/>
        </w:rPr>
        <w:t>, and a Statement of Compatibility setting that o</w:t>
      </w:r>
      <w:r w:rsidR="001F7A07">
        <w:rPr>
          <w:rFonts w:ascii="Times New Roman" w:eastAsiaTheme="minorHAnsi" w:hAnsi="Times New Roman"/>
          <w:sz w:val="24"/>
          <w:szCs w:val="24"/>
          <w:lang w:eastAsia="en-US"/>
        </w:rPr>
        <w:t>ut in further detail is set out below</w:t>
      </w:r>
      <w:r>
        <w:rPr>
          <w:rFonts w:ascii="Times New Roman" w:eastAsiaTheme="minorHAnsi" w:hAnsi="Times New Roman"/>
          <w:sz w:val="24"/>
          <w:szCs w:val="24"/>
          <w:lang w:eastAsia="en-US"/>
        </w:rPr>
        <w:t>.</w:t>
      </w:r>
    </w:p>
    <w:p w:rsidR="003B112F" w:rsidRDefault="003B112F" w:rsidP="003B112F">
      <w:pPr>
        <w:tabs>
          <w:tab w:val="center" w:pos="4153"/>
          <w:tab w:val="right" w:pos="8306"/>
        </w:tabs>
        <w:autoSpaceDE w:val="0"/>
        <w:autoSpaceDN w:val="0"/>
        <w:snapToGrid/>
        <w:spacing w:before="0" w:after="0" w:line="240" w:lineRule="auto"/>
        <w:rPr>
          <w:rFonts w:ascii="Times New Roman" w:eastAsiaTheme="minorHAnsi" w:hAnsi="Times New Roman"/>
          <w:sz w:val="24"/>
          <w:szCs w:val="24"/>
          <w:lang w:eastAsia="en-US"/>
        </w:rPr>
      </w:pPr>
    </w:p>
    <w:p w:rsidR="003B112F" w:rsidRPr="001F7A07" w:rsidRDefault="001F7A07" w:rsidP="003B112F">
      <w:pPr>
        <w:tabs>
          <w:tab w:val="center" w:pos="720"/>
        </w:tabs>
        <w:autoSpaceDE w:val="0"/>
        <w:autoSpaceDN w:val="0"/>
        <w:snapToGrid/>
        <w:spacing w:before="0" w:after="0" w:line="240" w:lineRule="auto"/>
        <w:rPr>
          <w:rFonts w:ascii="Times New Roman" w:hAnsi="Times New Roman"/>
          <w:b/>
          <w:sz w:val="24"/>
          <w:szCs w:val="24"/>
        </w:rPr>
      </w:pPr>
      <w:r w:rsidRPr="001F7A07">
        <w:rPr>
          <w:rFonts w:ascii="Times New Roman" w:hAnsi="Times New Roman"/>
          <w:b/>
          <w:sz w:val="24"/>
          <w:szCs w:val="24"/>
        </w:rPr>
        <w:t xml:space="preserve">SUPPLEMENTARY MATERIAL - STATEMENT OF COMPATIBILITY FOR A LEGISLATIVE INSTRUMENT THAT </w:t>
      </w:r>
      <w:r w:rsidRPr="001F7A07">
        <w:rPr>
          <w:rFonts w:ascii="Times New Roman" w:hAnsi="Times New Roman"/>
          <w:b/>
          <w:sz w:val="24"/>
          <w:szCs w:val="24"/>
          <w:u w:val="single"/>
        </w:rPr>
        <w:t>DOES NOT</w:t>
      </w:r>
      <w:r w:rsidRPr="001F7A07">
        <w:rPr>
          <w:rFonts w:ascii="Times New Roman" w:hAnsi="Times New Roman"/>
          <w:b/>
          <w:sz w:val="24"/>
          <w:szCs w:val="24"/>
        </w:rPr>
        <w:t xml:space="preserve"> RAISE ANY HUMAN RIGHTS ISSUES</w:t>
      </w:r>
    </w:p>
    <w:p w:rsidR="001F7A07" w:rsidRDefault="001F7A07" w:rsidP="003B112F">
      <w:pPr>
        <w:tabs>
          <w:tab w:val="center" w:pos="720"/>
        </w:tabs>
        <w:autoSpaceDE w:val="0"/>
        <w:autoSpaceDN w:val="0"/>
        <w:snapToGrid/>
        <w:spacing w:before="0" w:after="0" w:line="240" w:lineRule="auto"/>
        <w:rPr>
          <w:rFonts w:ascii="Times New Roman" w:hAnsi="Times New Roman"/>
          <w:sz w:val="24"/>
          <w:szCs w:val="24"/>
        </w:rPr>
      </w:pPr>
    </w:p>
    <w:p w:rsidR="001F7A07" w:rsidRPr="00E4135E" w:rsidRDefault="001F7A07" w:rsidP="001F7A07">
      <w:pPr>
        <w:spacing w:before="0" w:after="120"/>
        <w:rPr>
          <w:rFonts w:ascii="Times New Roman" w:hAnsi="Times New Roman"/>
          <w:b/>
          <w:sz w:val="28"/>
          <w:szCs w:val="28"/>
        </w:rPr>
      </w:pPr>
      <w:r w:rsidRPr="00E4135E">
        <w:rPr>
          <w:rFonts w:ascii="Times New Roman" w:hAnsi="Times New Roman"/>
          <w:b/>
          <w:sz w:val="28"/>
          <w:szCs w:val="28"/>
        </w:rPr>
        <w:t>Statement of Compatibility with Human Rights</w:t>
      </w:r>
    </w:p>
    <w:p w:rsidR="001F7A07" w:rsidRPr="00E4135E" w:rsidRDefault="001F7A07" w:rsidP="001F7A07">
      <w:pPr>
        <w:spacing w:before="120" w:after="0"/>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1F7A07" w:rsidRPr="00E4135E" w:rsidRDefault="001F7A07" w:rsidP="001F7A07">
      <w:pPr>
        <w:spacing w:before="0" w:after="0"/>
        <w:rPr>
          <w:rFonts w:ascii="Times New Roman" w:hAnsi="Times New Roman"/>
          <w:sz w:val="24"/>
          <w:szCs w:val="24"/>
        </w:rPr>
      </w:pPr>
    </w:p>
    <w:p w:rsidR="001F7A07" w:rsidRPr="00E4135E" w:rsidRDefault="001F7A07" w:rsidP="001F7A07">
      <w:pPr>
        <w:spacing w:before="0" w:after="0"/>
        <w:rPr>
          <w:rFonts w:ascii="Times New Roman" w:hAnsi="Times New Roman"/>
          <w:b/>
          <w:sz w:val="24"/>
          <w:szCs w:val="24"/>
        </w:rPr>
      </w:pPr>
      <w:r>
        <w:rPr>
          <w:rFonts w:ascii="Times New Roman" w:hAnsi="Times New Roman"/>
          <w:b/>
          <w:sz w:val="24"/>
          <w:szCs w:val="24"/>
        </w:rPr>
        <w:t>Therapeutic Goods Order No. 70C</w:t>
      </w:r>
    </w:p>
    <w:p w:rsidR="001F7A07" w:rsidRPr="00E4135E" w:rsidRDefault="001F7A07" w:rsidP="001F7A07">
      <w:pPr>
        <w:spacing w:before="0" w:after="0"/>
        <w:rPr>
          <w:rFonts w:ascii="Times New Roman" w:hAnsi="Times New Roman"/>
          <w:sz w:val="24"/>
          <w:szCs w:val="24"/>
        </w:rPr>
      </w:pPr>
    </w:p>
    <w:p w:rsidR="001F7A07" w:rsidRPr="00E4135E" w:rsidRDefault="001F7A07" w:rsidP="001F7A07">
      <w:pPr>
        <w:spacing w:before="0" w:after="0"/>
        <w:rPr>
          <w:rFonts w:ascii="Times New Roman" w:hAnsi="Times New Roman"/>
          <w:sz w:val="24"/>
          <w:szCs w:val="24"/>
        </w:rPr>
      </w:pPr>
      <w:r>
        <w:rPr>
          <w:rFonts w:ascii="Times New Roman" w:hAnsi="Times New Roman"/>
          <w:sz w:val="24"/>
          <w:szCs w:val="24"/>
        </w:rPr>
        <w:t>This legislative i</w:t>
      </w:r>
      <w:r w:rsidRPr="00E4135E">
        <w:rPr>
          <w:rFonts w:ascii="Times New Roman" w:hAnsi="Times New Roman"/>
          <w:sz w:val="24"/>
          <w:szCs w:val="24"/>
        </w:rPr>
        <w:t xml:space="preserve">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Pr>
          <w:rFonts w:ascii="Times New Roman" w:hAnsi="Times New Roman"/>
          <w:sz w:val="24"/>
          <w:szCs w:val="24"/>
        </w:rPr>
        <w:t>.</w:t>
      </w:r>
    </w:p>
    <w:p w:rsidR="001F7A07" w:rsidRDefault="001F7A07" w:rsidP="001F7A07">
      <w:pPr>
        <w:tabs>
          <w:tab w:val="center" w:pos="720"/>
        </w:tabs>
        <w:autoSpaceDE w:val="0"/>
        <w:autoSpaceDN w:val="0"/>
        <w:snapToGrid/>
        <w:spacing w:before="0" w:after="0" w:line="240" w:lineRule="auto"/>
        <w:rPr>
          <w:rFonts w:ascii="Times New Roman" w:hAnsi="Times New Roman"/>
          <w:sz w:val="24"/>
          <w:szCs w:val="24"/>
        </w:rPr>
      </w:pPr>
    </w:p>
    <w:p w:rsidR="001F7A07" w:rsidRPr="00E4135E" w:rsidRDefault="001F7A07" w:rsidP="001F7A07">
      <w:pPr>
        <w:spacing w:before="0" w:after="120"/>
        <w:jc w:val="both"/>
        <w:rPr>
          <w:rFonts w:ascii="Times New Roman" w:hAnsi="Times New Roman"/>
          <w:b/>
          <w:sz w:val="24"/>
          <w:szCs w:val="24"/>
        </w:rPr>
      </w:pPr>
      <w:r w:rsidRPr="00E4135E">
        <w:rPr>
          <w:rFonts w:ascii="Times New Roman" w:hAnsi="Times New Roman"/>
          <w:b/>
          <w:sz w:val="24"/>
          <w:szCs w:val="24"/>
        </w:rPr>
        <w:t>Overview of the Bill/Legislative Instrument</w:t>
      </w:r>
    </w:p>
    <w:p w:rsidR="001F7A07" w:rsidRPr="00F928E0" w:rsidRDefault="001F7A07" w:rsidP="001F7A07">
      <w:pPr>
        <w:spacing w:before="120" w:after="0"/>
        <w:rPr>
          <w:rFonts w:ascii="Times New Roman" w:hAnsi="Times New Roman"/>
          <w:sz w:val="24"/>
          <w:szCs w:val="24"/>
        </w:rPr>
      </w:pPr>
      <w:r>
        <w:rPr>
          <w:rFonts w:ascii="Times New Roman" w:hAnsi="Times New Roman"/>
          <w:sz w:val="24"/>
          <w:szCs w:val="24"/>
        </w:rPr>
        <w:t xml:space="preserve">TGO 70C is an Order made by the delegate of the Minister for Health under section 10 of the </w:t>
      </w:r>
      <w:r w:rsidRPr="000932DE">
        <w:rPr>
          <w:rFonts w:ascii="Times New Roman" w:hAnsi="Times New Roman"/>
          <w:i/>
          <w:sz w:val="24"/>
          <w:szCs w:val="24"/>
        </w:rPr>
        <w:t>Therapeutic Goods Act 1989</w:t>
      </w:r>
      <w:r>
        <w:rPr>
          <w:rFonts w:ascii="Times New Roman" w:hAnsi="Times New Roman"/>
          <w:sz w:val="24"/>
          <w:szCs w:val="24"/>
        </w:rPr>
        <w:t xml:space="preserve"> (the Act).  The </w:t>
      </w:r>
      <w:r w:rsidR="005779E5">
        <w:rPr>
          <w:rFonts w:ascii="Times New Roman" w:hAnsi="Times New Roman"/>
          <w:sz w:val="24"/>
          <w:szCs w:val="24"/>
        </w:rPr>
        <w:t>Order specifies</w:t>
      </w:r>
      <w:r>
        <w:rPr>
          <w:rFonts w:ascii="Times New Roman" w:hAnsi="Times New Roman"/>
          <w:sz w:val="24"/>
          <w:szCs w:val="24"/>
        </w:rPr>
        <w:t xml:space="preserve"> pharmacopoeia (the British, European, United States and Japanese pharmacopoeias) </w:t>
      </w:r>
      <w:r w:rsidR="005779E5">
        <w:rPr>
          <w:rFonts w:ascii="Times New Roman" w:hAnsi="Times New Roman"/>
          <w:sz w:val="24"/>
          <w:szCs w:val="24"/>
        </w:rPr>
        <w:t xml:space="preserve">that </w:t>
      </w:r>
      <w:r>
        <w:rPr>
          <w:rFonts w:ascii="Times New Roman" w:hAnsi="Times New Roman"/>
          <w:sz w:val="24"/>
          <w:szCs w:val="24"/>
        </w:rPr>
        <w:t xml:space="preserve">constitute alternative standards for medicines made in Australia, or imported into Australia, solely </w:t>
      </w:r>
      <w:r w:rsidR="005779E5">
        <w:rPr>
          <w:rFonts w:ascii="Times New Roman" w:hAnsi="Times New Roman"/>
          <w:sz w:val="24"/>
          <w:szCs w:val="24"/>
        </w:rPr>
        <w:t>for export. These documents</w:t>
      </w:r>
      <w:r>
        <w:rPr>
          <w:rFonts w:ascii="Times New Roman" w:hAnsi="Times New Roman"/>
          <w:sz w:val="24"/>
          <w:szCs w:val="24"/>
        </w:rPr>
        <w:t xml:space="preserve"> are comprehensive compilations of information about the preparation of medicines and the characterisation of their ingredients. Compliance with applicable standards </w:t>
      </w:r>
      <w:r w:rsidR="005779E5">
        <w:rPr>
          <w:rFonts w:ascii="Times New Roman" w:hAnsi="Times New Roman"/>
          <w:sz w:val="24"/>
          <w:szCs w:val="24"/>
        </w:rPr>
        <w:t xml:space="preserve">is a requirement for marketing approval of </w:t>
      </w:r>
      <w:r>
        <w:rPr>
          <w:rFonts w:ascii="Times New Roman" w:hAnsi="Times New Roman"/>
          <w:sz w:val="24"/>
          <w:szCs w:val="24"/>
        </w:rPr>
        <w:t>export only medi</w:t>
      </w:r>
      <w:r w:rsidR="005779E5">
        <w:rPr>
          <w:rFonts w:ascii="Times New Roman" w:hAnsi="Times New Roman"/>
          <w:sz w:val="24"/>
          <w:szCs w:val="24"/>
        </w:rPr>
        <w:t>cines, and they</w:t>
      </w:r>
      <w:r>
        <w:rPr>
          <w:rFonts w:ascii="Times New Roman" w:hAnsi="Times New Roman"/>
          <w:sz w:val="24"/>
          <w:szCs w:val="24"/>
        </w:rPr>
        <w:t xml:space="preserve"> ma</w:t>
      </w:r>
      <w:r w:rsidR="005779E5">
        <w:rPr>
          <w:rFonts w:ascii="Times New Roman" w:hAnsi="Times New Roman"/>
          <w:sz w:val="24"/>
          <w:szCs w:val="24"/>
        </w:rPr>
        <w:t>y be cancelled if they</w:t>
      </w:r>
      <w:r>
        <w:rPr>
          <w:rFonts w:ascii="Times New Roman" w:hAnsi="Times New Roman"/>
          <w:sz w:val="24"/>
          <w:szCs w:val="24"/>
        </w:rPr>
        <w:t xml:space="preserve"> do not </w:t>
      </w:r>
      <w:r w:rsidR="005779E5">
        <w:rPr>
          <w:rFonts w:ascii="Times New Roman" w:hAnsi="Times New Roman"/>
          <w:sz w:val="24"/>
          <w:szCs w:val="24"/>
        </w:rPr>
        <w:t xml:space="preserve">so </w:t>
      </w:r>
      <w:r>
        <w:rPr>
          <w:rFonts w:ascii="Times New Roman" w:hAnsi="Times New Roman"/>
          <w:sz w:val="24"/>
          <w:szCs w:val="24"/>
        </w:rPr>
        <w:t>c</w:t>
      </w:r>
      <w:r w:rsidR="005779E5">
        <w:rPr>
          <w:rFonts w:ascii="Times New Roman" w:hAnsi="Times New Roman"/>
          <w:sz w:val="24"/>
          <w:szCs w:val="24"/>
        </w:rPr>
        <w:t>omply</w:t>
      </w:r>
      <w:r>
        <w:rPr>
          <w:rFonts w:ascii="Times New Roman" w:hAnsi="Times New Roman"/>
          <w:sz w:val="24"/>
          <w:szCs w:val="24"/>
        </w:rPr>
        <w:t>.</w:t>
      </w:r>
    </w:p>
    <w:p w:rsidR="001F7A07" w:rsidRPr="001F7A07" w:rsidRDefault="001F7A07" w:rsidP="001F7A07">
      <w:pPr>
        <w:spacing w:before="0" w:after="0"/>
        <w:rPr>
          <w:rFonts w:ascii="Times New Roman" w:hAnsi="Times New Roman"/>
          <w:sz w:val="24"/>
          <w:szCs w:val="24"/>
        </w:rPr>
      </w:pPr>
    </w:p>
    <w:p w:rsidR="001F7A07" w:rsidRPr="00E4135E" w:rsidRDefault="001F7A07" w:rsidP="001F7A07">
      <w:pPr>
        <w:spacing w:before="0" w:after="120"/>
        <w:rPr>
          <w:rFonts w:ascii="Times New Roman" w:hAnsi="Times New Roman"/>
          <w:b/>
          <w:sz w:val="24"/>
          <w:szCs w:val="24"/>
        </w:rPr>
      </w:pPr>
      <w:r w:rsidRPr="00E4135E">
        <w:rPr>
          <w:rFonts w:ascii="Times New Roman" w:hAnsi="Times New Roman"/>
          <w:b/>
          <w:sz w:val="24"/>
          <w:szCs w:val="24"/>
        </w:rPr>
        <w:t>Human rights implications</w:t>
      </w:r>
    </w:p>
    <w:p w:rsidR="001F7A07" w:rsidRPr="00E4135E" w:rsidRDefault="001F7A07" w:rsidP="001F7A07">
      <w:pPr>
        <w:spacing w:before="120" w:after="0"/>
        <w:rPr>
          <w:rFonts w:ascii="Times New Roman" w:hAnsi="Times New Roman"/>
          <w:sz w:val="24"/>
          <w:szCs w:val="24"/>
        </w:rPr>
      </w:pPr>
      <w:r>
        <w:rPr>
          <w:rFonts w:ascii="Times New Roman" w:hAnsi="Times New Roman"/>
          <w:sz w:val="24"/>
          <w:szCs w:val="24"/>
        </w:rPr>
        <w:t>This legislative i</w:t>
      </w:r>
      <w:r w:rsidRPr="00E4135E">
        <w:rPr>
          <w:rFonts w:ascii="Times New Roman" w:hAnsi="Times New Roman"/>
          <w:sz w:val="24"/>
          <w:szCs w:val="24"/>
        </w:rPr>
        <w:t>nstrument does not engage any of the</w:t>
      </w:r>
      <w:r>
        <w:rPr>
          <w:rFonts w:ascii="Times New Roman" w:hAnsi="Times New Roman"/>
          <w:sz w:val="24"/>
          <w:szCs w:val="24"/>
        </w:rPr>
        <w:t xml:space="preserve"> applicable rights or freedoms.</w:t>
      </w:r>
    </w:p>
    <w:p w:rsidR="001F7A07" w:rsidRPr="00F928E0" w:rsidRDefault="001F7A07" w:rsidP="001F7A07">
      <w:pPr>
        <w:spacing w:before="0" w:after="0"/>
        <w:rPr>
          <w:rFonts w:ascii="Times New Roman" w:hAnsi="Times New Roman"/>
          <w:sz w:val="24"/>
          <w:szCs w:val="24"/>
        </w:rPr>
      </w:pPr>
    </w:p>
    <w:p w:rsidR="001F7A07" w:rsidRPr="00E4135E" w:rsidRDefault="001F7A07" w:rsidP="001F7A07">
      <w:pPr>
        <w:spacing w:before="0" w:after="120"/>
        <w:rPr>
          <w:rFonts w:ascii="Times New Roman" w:hAnsi="Times New Roman"/>
          <w:b/>
          <w:sz w:val="24"/>
          <w:szCs w:val="24"/>
        </w:rPr>
      </w:pPr>
      <w:r w:rsidRPr="00E4135E">
        <w:rPr>
          <w:rFonts w:ascii="Times New Roman" w:hAnsi="Times New Roman"/>
          <w:b/>
          <w:sz w:val="24"/>
          <w:szCs w:val="24"/>
        </w:rPr>
        <w:t>Conclusion</w:t>
      </w:r>
    </w:p>
    <w:p w:rsidR="001F7A07" w:rsidRDefault="001F7A07" w:rsidP="001F7A07">
      <w:pPr>
        <w:spacing w:before="120" w:after="120"/>
        <w:rPr>
          <w:rFonts w:ascii="Times New Roman" w:hAnsi="Times New Roman"/>
          <w:sz w:val="24"/>
          <w:szCs w:val="24"/>
        </w:rPr>
      </w:pPr>
      <w:r>
        <w:rPr>
          <w:rFonts w:ascii="Times New Roman" w:hAnsi="Times New Roman"/>
          <w:sz w:val="24"/>
          <w:szCs w:val="24"/>
        </w:rPr>
        <w:t>This legislative i</w:t>
      </w:r>
      <w:r w:rsidRPr="00E4135E">
        <w:rPr>
          <w:rFonts w:ascii="Times New Roman" w:hAnsi="Times New Roman"/>
          <w:sz w:val="24"/>
          <w:szCs w:val="24"/>
        </w:rPr>
        <w:t>nstrument is compatible with human rights as it does not raise any human rights issues.</w:t>
      </w:r>
    </w:p>
    <w:p w:rsidR="001F7A07" w:rsidRDefault="001F7A07" w:rsidP="001F7A07">
      <w:pPr>
        <w:spacing w:before="120" w:after="120"/>
        <w:rPr>
          <w:rFonts w:ascii="Times New Roman" w:hAnsi="Times New Roman"/>
          <w:sz w:val="24"/>
          <w:szCs w:val="24"/>
        </w:rPr>
      </w:pPr>
    </w:p>
    <w:p w:rsidR="001F7A07" w:rsidRDefault="001F7A07" w:rsidP="001F7A07">
      <w:pPr>
        <w:spacing w:before="120" w:after="120"/>
        <w:rPr>
          <w:rFonts w:ascii="Times New Roman" w:hAnsi="Times New Roman"/>
          <w:sz w:val="24"/>
          <w:szCs w:val="24"/>
        </w:rPr>
      </w:pPr>
      <w:r>
        <w:rPr>
          <w:rFonts w:ascii="Times New Roman" w:hAnsi="Times New Roman"/>
          <w:sz w:val="24"/>
          <w:szCs w:val="24"/>
        </w:rPr>
        <w:t>Delegate of the Minister for Health</w:t>
      </w:r>
    </w:p>
    <w:p w:rsidR="001F7A07" w:rsidRDefault="001F7A07" w:rsidP="003B112F">
      <w:pPr>
        <w:tabs>
          <w:tab w:val="center" w:pos="720"/>
        </w:tabs>
        <w:autoSpaceDE w:val="0"/>
        <w:autoSpaceDN w:val="0"/>
        <w:snapToGrid/>
        <w:spacing w:before="0" w:after="0" w:line="240" w:lineRule="auto"/>
        <w:rPr>
          <w:rFonts w:ascii="Times New Roman" w:hAnsi="Times New Roman"/>
          <w:sz w:val="24"/>
          <w:szCs w:val="24"/>
        </w:rPr>
      </w:pPr>
    </w:p>
    <w:sectPr w:rsidR="001F7A07" w:rsidSect="00745886">
      <w:headerReference w:type="first" r:id="rId9"/>
      <w:pgSz w:w="11906" w:h="16838" w:code="9"/>
      <w:pgMar w:top="1100" w:right="1701" w:bottom="1701" w:left="1701" w:header="425" w:footer="3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07" w:rsidRDefault="001F7A07" w:rsidP="00C40A36">
      <w:r>
        <w:separator/>
      </w:r>
    </w:p>
  </w:endnote>
  <w:endnote w:type="continuationSeparator" w:id="0">
    <w:p w:rsidR="001F7A07" w:rsidRDefault="001F7A0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07" w:rsidRDefault="001F7A07" w:rsidP="00C40A36">
      <w:r>
        <w:separator/>
      </w:r>
    </w:p>
  </w:footnote>
  <w:footnote w:type="continuationSeparator" w:id="0">
    <w:p w:rsidR="001F7A07" w:rsidRDefault="001F7A07"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07" w:rsidRDefault="001F7A07" w:rsidP="009032D7">
    <w:pPr>
      <w:pStyle w:val="Header"/>
      <w:pBdr>
        <w:bottom w:val="none" w:sz="0" w:space="0" w:color="auto"/>
      </w:pBdr>
      <w:tabs>
        <w:tab w:val="clear" w:pos="4513"/>
        <w:tab w:val="left" w:pos="675"/>
        <w:tab w:val="center" w:pos="4253"/>
      </w:tabs>
      <w:jc w:val="center"/>
    </w:pPr>
    <w:r>
      <w:rPr>
        <w:noProof/>
        <w:lang w:eastAsia="en-AU"/>
      </w:rPr>
      <w:drawing>
        <wp:anchor distT="0" distB="0" distL="114300" distR="114300" simplePos="0" relativeHeight="251672576" behindDoc="0" locked="0" layoutInCell="1" allowOverlap="1">
          <wp:simplePos x="0" y="0"/>
          <wp:positionH relativeFrom="column">
            <wp:posOffset>1539240</wp:posOffset>
          </wp:positionH>
          <wp:positionV relativeFrom="paragraph">
            <wp:posOffset>53975</wp:posOffset>
          </wp:positionV>
          <wp:extent cx="2343150" cy="1543050"/>
          <wp:effectExtent l="19050" t="0" r="0" b="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E3B4F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4F3B9C"/>
    <w:rsid w:val="00002031"/>
    <w:rsid w:val="00004734"/>
    <w:rsid w:val="00006B22"/>
    <w:rsid w:val="0001276A"/>
    <w:rsid w:val="00022A2D"/>
    <w:rsid w:val="00024299"/>
    <w:rsid w:val="000246AE"/>
    <w:rsid w:val="00025C67"/>
    <w:rsid w:val="0005559E"/>
    <w:rsid w:val="00077775"/>
    <w:rsid w:val="00090471"/>
    <w:rsid w:val="00090B54"/>
    <w:rsid w:val="000A4024"/>
    <w:rsid w:val="000B2651"/>
    <w:rsid w:val="000B3532"/>
    <w:rsid w:val="000B3A75"/>
    <w:rsid w:val="000B7084"/>
    <w:rsid w:val="000C1BBB"/>
    <w:rsid w:val="000C3C09"/>
    <w:rsid w:val="000D391B"/>
    <w:rsid w:val="000D3D6D"/>
    <w:rsid w:val="000D4FC7"/>
    <w:rsid w:val="000F4869"/>
    <w:rsid w:val="000F5B42"/>
    <w:rsid w:val="000F6E6F"/>
    <w:rsid w:val="001003F2"/>
    <w:rsid w:val="0010601F"/>
    <w:rsid w:val="00110EA5"/>
    <w:rsid w:val="00115240"/>
    <w:rsid w:val="00125318"/>
    <w:rsid w:val="001305A2"/>
    <w:rsid w:val="00133238"/>
    <w:rsid w:val="0014197B"/>
    <w:rsid w:val="001447CD"/>
    <w:rsid w:val="001516B1"/>
    <w:rsid w:val="00156316"/>
    <w:rsid w:val="0016050D"/>
    <w:rsid w:val="00161908"/>
    <w:rsid w:val="00165389"/>
    <w:rsid w:val="0017526B"/>
    <w:rsid w:val="0017693F"/>
    <w:rsid w:val="0018110E"/>
    <w:rsid w:val="00181684"/>
    <w:rsid w:val="001843C6"/>
    <w:rsid w:val="001850E0"/>
    <w:rsid w:val="001A0C32"/>
    <w:rsid w:val="001A525F"/>
    <w:rsid w:val="001B09F9"/>
    <w:rsid w:val="001B6448"/>
    <w:rsid w:val="001E07CF"/>
    <w:rsid w:val="001E5810"/>
    <w:rsid w:val="001E59F1"/>
    <w:rsid w:val="001F49EB"/>
    <w:rsid w:val="001F6CBA"/>
    <w:rsid w:val="001F7A07"/>
    <w:rsid w:val="001F7BF8"/>
    <w:rsid w:val="00201D4E"/>
    <w:rsid w:val="00220B8A"/>
    <w:rsid w:val="0022194D"/>
    <w:rsid w:val="002257F3"/>
    <w:rsid w:val="002316FE"/>
    <w:rsid w:val="00233456"/>
    <w:rsid w:val="002339A5"/>
    <w:rsid w:val="00257848"/>
    <w:rsid w:val="0027084A"/>
    <w:rsid w:val="00286434"/>
    <w:rsid w:val="00286C59"/>
    <w:rsid w:val="002942D1"/>
    <w:rsid w:val="002A0556"/>
    <w:rsid w:val="002B1638"/>
    <w:rsid w:val="002E4C9A"/>
    <w:rsid w:val="002F11F8"/>
    <w:rsid w:val="002F3F56"/>
    <w:rsid w:val="002F44B5"/>
    <w:rsid w:val="00311AC0"/>
    <w:rsid w:val="0031275C"/>
    <w:rsid w:val="003521E8"/>
    <w:rsid w:val="003664BF"/>
    <w:rsid w:val="003728F3"/>
    <w:rsid w:val="003778AD"/>
    <w:rsid w:val="00387DD0"/>
    <w:rsid w:val="00390900"/>
    <w:rsid w:val="003B112F"/>
    <w:rsid w:val="003B7E39"/>
    <w:rsid w:val="003C58DC"/>
    <w:rsid w:val="003D4A72"/>
    <w:rsid w:val="003E26D6"/>
    <w:rsid w:val="003E3208"/>
    <w:rsid w:val="003E37DF"/>
    <w:rsid w:val="003F0B04"/>
    <w:rsid w:val="0040134E"/>
    <w:rsid w:val="00432436"/>
    <w:rsid w:val="00440A2D"/>
    <w:rsid w:val="0044337B"/>
    <w:rsid w:val="00443C32"/>
    <w:rsid w:val="004564A7"/>
    <w:rsid w:val="004617BF"/>
    <w:rsid w:val="00494E60"/>
    <w:rsid w:val="004B7B76"/>
    <w:rsid w:val="004C5ABB"/>
    <w:rsid w:val="004D4103"/>
    <w:rsid w:val="004D67A8"/>
    <w:rsid w:val="004F0F38"/>
    <w:rsid w:val="004F3B9C"/>
    <w:rsid w:val="00501921"/>
    <w:rsid w:val="00501A05"/>
    <w:rsid w:val="005060C8"/>
    <w:rsid w:val="00530354"/>
    <w:rsid w:val="005434C6"/>
    <w:rsid w:val="00543B39"/>
    <w:rsid w:val="00550096"/>
    <w:rsid w:val="00557FF9"/>
    <w:rsid w:val="00571DA2"/>
    <w:rsid w:val="00576378"/>
    <w:rsid w:val="005772A5"/>
    <w:rsid w:val="005779E5"/>
    <w:rsid w:val="00577E38"/>
    <w:rsid w:val="0058201A"/>
    <w:rsid w:val="00585322"/>
    <w:rsid w:val="00593AD1"/>
    <w:rsid w:val="00597739"/>
    <w:rsid w:val="005A1131"/>
    <w:rsid w:val="005C5570"/>
    <w:rsid w:val="005C5E62"/>
    <w:rsid w:val="005C79A4"/>
    <w:rsid w:val="005D5442"/>
    <w:rsid w:val="00640FC3"/>
    <w:rsid w:val="00642020"/>
    <w:rsid w:val="0064475A"/>
    <w:rsid w:val="0065337B"/>
    <w:rsid w:val="0065419D"/>
    <w:rsid w:val="006604D8"/>
    <w:rsid w:val="00664A5B"/>
    <w:rsid w:val="00680C08"/>
    <w:rsid w:val="0068201D"/>
    <w:rsid w:val="0068741A"/>
    <w:rsid w:val="006931B1"/>
    <w:rsid w:val="006A15C0"/>
    <w:rsid w:val="006C1F3B"/>
    <w:rsid w:val="006C3E2A"/>
    <w:rsid w:val="006C642F"/>
    <w:rsid w:val="006D03E5"/>
    <w:rsid w:val="006D4786"/>
    <w:rsid w:val="006D5D3E"/>
    <w:rsid w:val="006E08B3"/>
    <w:rsid w:val="006E1F61"/>
    <w:rsid w:val="006F572E"/>
    <w:rsid w:val="00703FCD"/>
    <w:rsid w:val="007046D6"/>
    <w:rsid w:val="00705DB0"/>
    <w:rsid w:val="00706AFE"/>
    <w:rsid w:val="00740C00"/>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C0F3D"/>
    <w:rsid w:val="007C1AF7"/>
    <w:rsid w:val="007C1CB8"/>
    <w:rsid w:val="007C3C24"/>
    <w:rsid w:val="00821776"/>
    <w:rsid w:val="00826007"/>
    <w:rsid w:val="008321F5"/>
    <w:rsid w:val="00832369"/>
    <w:rsid w:val="00834660"/>
    <w:rsid w:val="00836BC2"/>
    <w:rsid w:val="00855221"/>
    <w:rsid w:val="0085641B"/>
    <w:rsid w:val="00857136"/>
    <w:rsid w:val="00866F6A"/>
    <w:rsid w:val="008831B7"/>
    <w:rsid w:val="0089465C"/>
    <w:rsid w:val="00896018"/>
    <w:rsid w:val="008A2B9D"/>
    <w:rsid w:val="008A5E0B"/>
    <w:rsid w:val="008A6D59"/>
    <w:rsid w:val="008B4B03"/>
    <w:rsid w:val="008B596F"/>
    <w:rsid w:val="008C159F"/>
    <w:rsid w:val="008C1623"/>
    <w:rsid w:val="008C51A9"/>
    <w:rsid w:val="008F1CCC"/>
    <w:rsid w:val="008F2967"/>
    <w:rsid w:val="008F382A"/>
    <w:rsid w:val="009032D7"/>
    <w:rsid w:val="00920330"/>
    <w:rsid w:val="009219D7"/>
    <w:rsid w:val="00922D53"/>
    <w:rsid w:val="00923B70"/>
    <w:rsid w:val="00925E84"/>
    <w:rsid w:val="00930237"/>
    <w:rsid w:val="0094448F"/>
    <w:rsid w:val="00963C08"/>
    <w:rsid w:val="009826A2"/>
    <w:rsid w:val="009857B4"/>
    <w:rsid w:val="009A3BBD"/>
    <w:rsid w:val="009A4CED"/>
    <w:rsid w:val="009B1D12"/>
    <w:rsid w:val="009B416B"/>
    <w:rsid w:val="009C2765"/>
    <w:rsid w:val="009C4BD5"/>
    <w:rsid w:val="009D7B77"/>
    <w:rsid w:val="009E0BB0"/>
    <w:rsid w:val="009E3FBB"/>
    <w:rsid w:val="00A01EAB"/>
    <w:rsid w:val="00A14DF7"/>
    <w:rsid w:val="00A3246D"/>
    <w:rsid w:val="00A36FA7"/>
    <w:rsid w:val="00A475B7"/>
    <w:rsid w:val="00A47AF7"/>
    <w:rsid w:val="00A47C3E"/>
    <w:rsid w:val="00A50226"/>
    <w:rsid w:val="00A60BAD"/>
    <w:rsid w:val="00A73A8D"/>
    <w:rsid w:val="00A827DE"/>
    <w:rsid w:val="00A9547F"/>
    <w:rsid w:val="00AC2B40"/>
    <w:rsid w:val="00AC2BB2"/>
    <w:rsid w:val="00AC2C3C"/>
    <w:rsid w:val="00AC4A85"/>
    <w:rsid w:val="00AE65EB"/>
    <w:rsid w:val="00AE7A07"/>
    <w:rsid w:val="00AF1D94"/>
    <w:rsid w:val="00AF60C5"/>
    <w:rsid w:val="00B009C6"/>
    <w:rsid w:val="00B01548"/>
    <w:rsid w:val="00B21D29"/>
    <w:rsid w:val="00B25034"/>
    <w:rsid w:val="00B33863"/>
    <w:rsid w:val="00B37D17"/>
    <w:rsid w:val="00B4175E"/>
    <w:rsid w:val="00B472F6"/>
    <w:rsid w:val="00B54C25"/>
    <w:rsid w:val="00B76B91"/>
    <w:rsid w:val="00BC10A6"/>
    <w:rsid w:val="00BC5B75"/>
    <w:rsid w:val="00BC622A"/>
    <w:rsid w:val="00BD211A"/>
    <w:rsid w:val="00BE0A78"/>
    <w:rsid w:val="00BE51A6"/>
    <w:rsid w:val="00BE79F0"/>
    <w:rsid w:val="00BF046D"/>
    <w:rsid w:val="00BF5D04"/>
    <w:rsid w:val="00C13563"/>
    <w:rsid w:val="00C404A6"/>
    <w:rsid w:val="00C40A36"/>
    <w:rsid w:val="00C44419"/>
    <w:rsid w:val="00C45E7B"/>
    <w:rsid w:val="00C471B1"/>
    <w:rsid w:val="00C53A95"/>
    <w:rsid w:val="00C6316B"/>
    <w:rsid w:val="00C634A9"/>
    <w:rsid w:val="00C67E69"/>
    <w:rsid w:val="00C772FF"/>
    <w:rsid w:val="00C801AF"/>
    <w:rsid w:val="00C80256"/>
    <w:rsid w:val="00CB6BC0"/>
    <w:rsid w:val="00CC1B7C"/>
    <w:rsid w:val="00CC727F"/>
    <w:rsid w:val="00CE5BB0"/>
    <w:rsid w:val="00CF15C3"/>
    <w:rsid w:val="00CF2B6F"/>
    <w:rsid w:val="00D017ED"/>
    <w:rsid w:val="00D13405"/>
    <w:rsid w:val="00D153B1"/>
    <w:rsid w:val="00D224FE"/>
    <w:rsid w:val="00D31162"/>
    <w:rsid w:val="00D31ECE"/>
    <w:rsid w:val="00D62853"/>
    <w:rsid w:val="00D6493E"/>
    <w:rsid w:val="00DA1124"/>
    <w:rsid w:val="00DB7B83"/>
    <w:rsid w:val="00DC3AA6"/>
    <w:rsid w:val="00DD20B7"/>
    <w:rsid w:val="00DD75A3"/>
    <w:rsid w:val="00DE02AE"/>
    <w:rsid w:val="00DE092B"/>
    <w:rsid w:val="00DE6A0C"/>
    <w:rsid w:val="00DF1D7F"/>
    <w:rsid w:val="00DF7E0C"/>
    <w:rsid w:val="00E02FB4"/>
    <w:rsid w:val="00E20571"/>
    <w:rsid w:val="00E21651"/>
    <w:rsid w:val="00E235F7"/>
    <w:rsid w:val="00E239D4"/>
    <w:rsid w:val="00E40B22"/>
    <w:rsid w:val="00E4588F"/>
    <w:rsid w:val="00E46DA3"/>
    <w:rsid w:val="00E76005"/>
    <w:rsid w:val="00E8619B"/>
    <w:rsid w:val="00EA406B"/>
    <w:rsid w:val="00EB0798"/>
    <w:rsid w:val="00EB40AD"/>
    <w:rsid w:val="00EB586E"/>
    <w:rsid w:val="00EB5FC8"/>
    <w:rsid w:val="00EC4A14"/>
    <w:rsid w:val="00ED5A41"/>
    <w:rsid w:val="00F033EC"/>
    <w:rsid w:val="00F04F68"/>
    <w:rsid w:val="00F12670"/>
    <w:rsid w:val="00F13A8C"/>
    <w:rsid w:val="00F14B27"/>
    <w:rsid w:val="00F2410C"/>
    <w:rsid w:val="00F3148D"/>
    <w:rsid w:val="00F35298"/>
    <w:rsid w:val="00F36B0D"/>
    <w:rsid w:val="00F46D8F"/>
    <w:rsid w:val="00F47E37"/>
    <w:rsid w:val="00F640B6"/>
    <w:rsid w:val="00F80E40"/>
    <w:rsid w:val="00FA5B82"/>
    <w:rsid w:val="00FA61F0"/>
    <w:rsid w:val="00FA639E"/>
    <w:rsid w:val="00FC25E4"/>
    <w:rsid w:val="00FC4EF7"/>
    <w:rsid w:val="00FE1DEE"/>
    <w:rsid w:val="00FE281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3C32"/>
    <w:pPr>
      <w:adjustRightInd w:val="0"/>
      <w:snapToGrid w:val="0"/>
      <w:spacing w:before="180" w:after="180" w:line="240" w:lineRule="atLeast"/>
    </w:pPr>
    <w:rPr>
      <w:rFonts w:ascii="Cambria" w:eastAsia="MS Mincho" w:hAnsi="Cambria" w:cs="Times New Roman"/>
      <w:szCs w:val="20"/>
      <w:lang w:eastAsia="ja-JP"/>
    </w:rPr>
  </w:style>
  <w:style w:type="paragraph" w:styleId="Heading1">
    <w:name w:val="heading 1"/>
    <w:basedOn w:val="Normal"/>
    <w:next w:val="Normal"/>
    <w:link w:val="Heading1Char"/>
    <w:qFormat/>
    <w:rsid w:val="00F3148D"/>
    <w:pPr>
      <w:keepNext/>
      <w:keepLines/>
      <w:spacing w:after="360"/>
      <w:outlineLvl w:val="0"/>
    </w:pPr>
    <w:rPr>
      <w:rFonts w:ascii="Arial" w:eastAsia="Times New Roman" w:hAnsi="Arial"/>
      <w:b/>
      <w:bCs/>
      <w:sz w:val="64"/>
      <w:szCs w:val="28"/>
    </w:rPr>
  </w:style>
  <w:style w:type="paragraph" w:styleId="Heading2">
    <w:name w:val="heading 2"/>
    <w:basedOn w:val="Normal"/>
    <w:next w:val="Normal"/>
    <w:link w:val="Heading2Char"/>
    <w:qFormat/>
    <w:rsid w:val="00F3148D"/>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F3148D"/>
    <w:pPr>
      <w:keepNext/>
      <w:keepLines/>
      <w:spacing w:before="40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F3148D"/>
    <w:pPr>
      <w:spacing w:line="220" w:lineRule="atLeast"/>
      <w:outlineLvl w:val="3"/>
    </w:pPr>
    <w:rPr>
      <w:b/>
      <w:bCs/>
      <w:szCs w:val="21"/>
    </w:rPr>
  </w:style>
  <w:style w:type="paragraph" w:styleId="Heading5">
    <w:name w:val="heading 5"/>
    <w:basedOn w:val="Normal"/>
    <w:next w:val="Normal"/>
    <w:link w:val="Heading5Char"/>
    <w:uiPriority w:val="9"/>
    <w:qFormat/>
    <w:rsid w:val="00F3148D"/>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F3148D"/>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C2C3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237"/>
    <w:rPr>
      <w:rFonts w:ascii="Arial" w:eastAsia="Times New Roman" w:hAnsi="Arial" w:cs="Times New Roman"/>
      <w:b/>
      <w:bCs/>
      <w:sz w:val="64"/>
      <w:szCs w:val="28"/>
    </w:rPr>
  </w:style>
  <w:style w:type="character" w:customStyle="1" w:styleId="Heading2Char">
    <w:name w:val="Heading 2 Char"/>
    <w:basedOn w:val="DefaultParagraphFont"/>
    <w:link w:val="Heading2"/>
    <w:rsid w:val="00930237"/>
    <w:rPr>
      <w:rFonts w:ascii="Arial" w:eastAsia="Times New Roman" w:hAnsi="Arial" w:cs="Times New Roman"/>
      <w:b/>
      <w:bCs/>
      <w:sz w:val="32"/>
      <w:szCs w:val="26"/>
    </w:rPr>
  </w:style>
  <w:style w:type="character" w:customStyle="1" w:styleId="Heading3Char">
    <w:name w:val="Heading 3 Char"/>
    <w:basedOn w:val="DefaultParagraphFont"/>
    <w:link w:val="Heading3"/>
    <w:rsid w:val="00025C67"/>
    <w:rPr>
      <w:rFonts w:ascii="Arial" w:eastAsia="Times New Roman" w:hAnsi="Arial" w:cs="Times New Roman"/>
      <w:b/>
      <w:bCs/>
      <w:sz w:val="21"/>
      <w:szCs w:val="21"/>
    </w:rPr>
  </w:style>
  <w:style w:type="paragraph" w:customStyle="1" w:styleId="AxisLabel">
    <w:name w:val="Axis Label"/>
    <w:basedOn w:val="Normal"/>
    <w:qFormat/>
    <w:rsid w:val="00F3148D"/>
    <w:pPr>
      <w:spacing w:line="240" w:lineRule="auto"/>
    </w:pPr>
    <w:rPr>
      <w:rFonts w:ascii="Arial" w:hAnsi="Arial"/>
      <w:noProof/>
      <w:sz w:val="14"/>
      <w:lang w:eastAsia="en-AU"/>
    </w:rPr>
  </w:style>
  <w:style w:type="paragraph" w:customStyle="1" w:styleId="AxisTitle">
    <w:name w:val="Axis Title"/>
    <w:basedOn w:val="Normal"/>
    <w:qFormat/>
    <w:rsid w:val="00F3148D"/>
    <w:pPr>
      <w:spacing w:line="240" w:lineRule="auto"/>
    </w:pPr>
    <w:rPr>
      <w:rFonts w:ascii="Arial" w:hAnsi="Arial"/>
      <w:sz w:val="16"/>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rPr>
      <w:sz w:val="17"/>
      <w:szCs w:val="18"/>
    </w:rPr>
  </w:style>
  <w:style w:type="paragraph" w:customStyle="1" w:styleId="Contents">
    <w:name w:val="Contents"/>
    <w:basedOn w:val="Normal"/>
    <w:rsid w:val="008A5E0B"/>
    <w:pPr>
      <w:spacing w:after="360"/>
    </w:pPr>
    <w:rPr>
      <w:rFonts w:ascii="Arial" w:eastAsia="Cambria" w:hAnsi="Arial"/>
      <w:b/>
      <w:sz w:val="64"/>
    </w:rPr>
  </w:style>
  <w:style w:type="paragraph" w:styleId="Date">
    <w:name w:val="Date"/>
    <w:basedOn w:val="Normal"/>
    <w:next w:val="Normal"/>
    <w:link w:val="DateChar"/>
    <w:uiPriority w:val="99"/>
    <w:rsid w:val="00F3148D"/>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FF2126"/>
    <w:rPr>
      <w:rFonts w:ascii="Cambria" w:hAnsi="Cambria" w:cs="Times New Roman"/>
      <w:b/>
      <w:bCs/>
      <w:sz w:val="21"/>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44337B"/>
    <w:pPr>
      <w:tabs>
        <w:tab w:val="center" w:pos="4513"/>
        <w:tab w:val="right" w:pos="9026"/>
      </w:tabs>
      <w:spacing w:before="120" w:line="240" w:lineRule="auto"/>
    </w:pPr>
    <w:rPr>
      <w:rFonts w:ascii="Arial" w:hAnsi="Arial"/>
      <w:sz w:val="18"/>
    </w:rPr>
  </w:style>
  <w:style w:type="character" w:customStyle="1" w:styleId="FooterChar">
    <w:name w:val="Footer Char"/>
    <w:basedOn w:val="DefaultParagraphFont"/>
    <w:link w:val="Footer"/>
    <w:uiPriority w:val="99"/>
    <w:rsid w:val="0044337B"/>
    <w:rPr>
      <w:rFonts w:ascii="Arial" w:eastAsia="MS Mincho" w:hAnsi="Arial" w:cs="Times New Roman"/>
      <w:sz w:val="18"/>
      <w:szCs w:val="20"/>
      <w:lang w:eastAsia="ja-JP"/>
    </w:rPr>
  </w:style>
  <w:style w:type="paragraph" w:styleId="Header">
    <w:name w:val="header"/>
    <w:basedOn w:val="Normal"/>
    <w:link w:val="HeaderChar"/>
    <w:uiPriority w:val="99"/>
    <w:rsid w:val="006C1F3B"/>
    <w:pPr>
      <w:pBdr>
        <w:bottom w:val="single" w:sz="4" w:space="3" w:color="auto"/>
      </w:pBdr>
      <w:tabs>
        <w:tab w:val="center" w:pos="4513"/>
        <w:tab w:val="right" w:pos="9026"/>
      </w:tabs>
      <w:spacing w:after="480" w:line="240" w:lineRule="auto"/>
      <w:jc w:val="right"/>
    </w:pPr>
    <w:rPr>
      <w:rFonts w:eastAsia="Cambria"/>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5C5E62"/>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 w:val="21"/>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 w:val="21"/>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rsid w:val="00F3148D"/>
    <w:rPr>
      <w:color w:val="006DA7"/>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3148D"/>
    <w:pPr>
      <w:numPr>
        <w:numId w:val="7"/>
      </w:numPr>
      <w:spacing w:after="160"/>
    </w:pPr>
  </w:style>
  <w:style w:type="paragraph" w:styleId="ListBullet2">
    <w:name w:val="List Bullet 2"/>
    <w:basedOn w:val="Normal"/>
    <w:uiPriority w:val="99"/>
    <w:qFormat/>
    <w:rsid w:val="00F3148D"/>
    <w:pPr>
      <w:numPr>
        <w:ilvl w:val="1"/>
        <w:numId w:val="7"/>
      </w:numPr>
      <w:contextualSpacing/>
    </w:pPr>
  </w:style>
  <w:style w:type="paragraph" w:styleId="ListBullet3">
    <w:name w:val="List Bullet 3"/>
    <w:basedOn w:val="Normal"/>
    <w:uiPriority w:val="99"/>
    <w:qFormat/>
    <w:rsid w:val="00F3148D"/>
    <w:pPr>
      <w:numPr>
        <w:ilvl w:val="2"/>
        <w:numId w:val="7"/>
      </w:numPr>
      <w:contextualSpacing/>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qFormat/>
    <w:locked/>
    <w:rsid w:val="00F3148D"/>
    <w:pPr>
      <w:spacing w:line="240" w:lineRule="auto"/>
    </w:pPr>
    <w:rPr>
      <w:rFonts w:ascii="Arial" w:hAnsi="Arial"/>
      <w:sz w:val="16"/>
    </w:r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TableCaption">
    <w:name w:val="Table Caption"/>
    <w:basedOn w:val="FigureCaption"/>
    <w:qFormat/>
    <w:rsid w:val="00F3148D"/>
    <w:pPr>
      <w:spacing w:after="240"/>
    </w:pPr>
    <w:rPr>
      <w:sz w:val="17"/>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703FCD"/>
    <w:pPr>
      <w:keepNext/>
      <w:spacing w:before="180" w:after="180" w:line="240" w:lineRule="auto"/>
    </w:pPr>
    <w:rPr>
      <w:rFonts w:ascii="Cambria" w:hAnsi="Cambria" w:cs="Times New Roman"/>
      <w:color w:val="000000"/>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9857B4"/>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qFormat/>
    <w:rsid w:val="00D153B1"/>
    <w:rPr>
      <w:b/>
    </w:rPr>
  </w:style>
  <w:style w:type="paragraph" w:customStyle="1" w:styleId="Addressee">
    <w:name w:val="Addressee"/>
    <w:basedOn w:val="Normal"/>
    <w:qFormat/>
    <w:rsid w:val="001F7BF8"/>
  </w:style>
  <w:style w:type="character" w:customStyle="1" w:styleId="ABN">
    <w:name w:val="ABN"/>
    <w:basedOn w:val="DefaultParagraphFont"/>
    <w:uiPriority w:val="1"/>
    <w:qFormat/>
    <w:rsid w:val="001F7BF8"/>
    <w:rPr>
      <w:rFonts w:ascii="Arial" w:hAnsi="Arial"/>
      <w:color w:val="002C47"/>
      <w:sz w:val="14"/>
    </w:rPr>
  </w:style>
  <w:style w:type="paragraph" w:customStyle="1" w:styleId="BodyCopy">
    <w:name w:val="Body Copy"/>
    <w:basedOn w:val="Normal"/>
    <w:qFormat/>
    <w:rsid w:val="001F7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Letterhead.dotx" TargetMode="Externa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B071-7740-4B5A-9A13-221267C7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Letterhead.dotx</Template>
  <TotalTime>43</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Mohammed</dc:creator>
  <cp:lastModifiedBy>Hilhorst, Matt</cp:lastModifiedBy>
  <cp:revision>13</cp:revision>
  <cp:lastPrinted>2014-06-06T03:00:00Z</cp:lastPrinted>
  <dcterms:created xsi:type="dcterms:W3CDTF">2014-06-03T01:32:00Z</dcterms:created>
  <dcterms:modified xsi:type="dcterms:W3CDTF">2014-06-06T03:27:00Z</dcterms:modified>
  <cp:contentStatus/>
</cp:coreProperties>
</file>