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64" w:rsidRPr="00C7270C" w:rsidRDefault="004F56FF" w:rsidP="004F56FF">
      <w:pPr>
        <w:widowControl/>
        <w:overflowPunct w:val="0"/>
        <w:autoSpaceDE w:val="0"/>
        <w:autoSpaceDN w:val="0"/>
        <w:spacing w:line="240" w:lineRule="auto"/>
        <w:ind w:left="567" w:hanging="567"/>
        <w:jc w:val="center"/>
        <w:rPr>
          <w:b/>
          <w:bCs/>
          <w:sz w:val="22"/>
          <w:szCs w:val="22"/>
        </w:rPr>
      </w:pPr>
      <w:r w:rsidRPr="00C7270C">
        <w:rPr>
          <w:b/>
          <w:bCs/>
          <w:sz w:val="22"/>
          <w:szCs w:val="22"/>
        </w:rPr>
        <w:t>ASIC MARKET INTEGRITY RULES (</w:t>
      </w:r>
      <w:r w:rsidR="007D0852">
        <w:rPr>
          <w:b/>
          <w:bCs/>
          <w:sz w:val="22"/>
          <w:szCs w:val="22"/>
        </w:rPr>
        <w:t>ASX 24 MARKET</w:t>
      </w:r>
      <w:r w:rsidR="00E31EF9" w:rsidRPr="00C7270C">
        <w:rPr>
          <w:b/>
          <w:bCs/>
          <w:sz w:val="22"/>
          <w:szCs w:val="22"/>
        </w:rPr>
        <w:t>-CAPITAL</w:t>
      </w:r>
      <w:r w:rsidRPr="00C7270C">
        <w:rPr>
          <w:b/>
          <w:bCs/>
          <w:sz w:val="22"/>
          <w:szCs w:val="22"/>
        </w:rPr>
        <w:t xml:space="preserve">) </w:t>
      </w:r>
      <w:r w:rsidR="00E31EF9" w:rsidRPr="00C7270C">
        <w:rPr>
          <w:b/>
          <w:bCs/>
          <w:sz w:val="22"/>
          <w:szCs w:val="22"/>
        </w:rPr>
        <w:t>2014</w:t>
      </w:r>
    </w:p>
    <w:p w:rsidR="00977764" w:rsidRPr="00C7270C" w:rsidRDefault="004F56FF" w:rsidP="004F56FF">
      <w:pPr>
        <w:widowControl/>
        <w:overflowPunct w:val="0"/>
        <w:autoSpaceDE w:val="0"/>
        <w:autoSpaceDN w:val="0"/>
        <w:spacing w:line="240" w:lineRule="auto"/>
        <w:ind w:left="567" w:hanging="567"/>
        <w:jc w:val="center"/>
        <w:rPr>
          <w:b/>
          <w:bCs/>
          <w:sz w:val="22"/>
          <w:szCs w:val="22"/>
        </w:rPr>
      </w:pPr>
      <w:r w:rsidRPr="00C7270C">
        <w:rPr>
          <w:b/>
          <w:bCs/>
          <w:sz w:val="22"/>
          <w:szCs w:val="22"/>
        </w:rPr>
        <w:t>EXPLANATORY STATEMENT</w:t>
      </w:r>
    </w:p>
    <w:p w:rsidR="004F56FF" w:rsidRPr="00C7270C" w:rsidRDefault="004F56FF" w:rsidP="004F56FF">
      <w:pPr>
        <w:widowControl/>
        <w:tabs>
          <w:tab w:val="left" w:pos="567"/>
          <w:tab w:val="left" w:pos="680"/>
        </w:tabs>
        <w:overflowPunct w:val="0"/>
        <w:autoSpaceDE w:val="0"/>
        <w:autoSpaceDN w:val="0"/>
        <w:spacing w:before="200" w:line="300" w:lineRule="atLeast"/>
        <w:jc w:val="center"/>
        <w:rPr>
          <w:sz w:val="22"/>
          <w:szCs w:val="22"/>
        </w:rPr>
      </w:pPr>
      <w:r w:rsidRPr="00C7270C">
        <w:rPr>
          <w:sz w:val="22"/>
          <w:szCs w:val="22"/>
        </w:rPr>
        <w:t>Prepared by the Australian Securities and Investments Commission</w:t>
      </w:r>
    </w:p>
    <w:p w:rsidR="004F56FF" w:rsidRPr="00C7270C" w:rsidRDefault="004F56FF" w:rsidP="004F56FF">
      <w:pPr>
        <w:widowControl/>
        <w:tabs>
          <w:tab w:val="left" w:pos="567"/>
          <w:tab w:val="left" w:pos="680"/>
        </w:tabs>
        <w:overflowPunct w:val="0"/>
        <w:autoSpaceDE w:val="0"/>
        <w:autoSpaceDN w:val="0"/>
        <w:spacing w:before="200" w:line="300" w:lineRule="atLeast"/>
        <w:jc w:val="center"/>
        <w:rPr>
          <w:i/>
          <w:iCs/>
          <w:sz w:val="22"/>
          <w:szCs w:val="22"/>
        </w:rPr>
      </w:pPr>
      <w:r w:rsidRPr="00C7270C">
        <w:rPr>
          <w:i/>
          <w:iCs/>
          <w:sz w:val="22"/>
          <w:szCs w:val="22"/>
        </w:rPr>
        <w:t>Corporations Act 2001</w:t>
      </w:r>
    </w:p>
    <w:p w:rsidR="008C0BEB" w:rsidRPr="00C7270C" w:rsidRDefault="008C0BEB" w:rsidP="008C0BEB">
      <w:pPr>
        <w:widowControl/>
        <w:tabs>
          <w:tab w:val="left" w:pos="567"/>
          <w:tab w:val="left" w:pos="680"/>
        </w:tabs>
        <w:overflowPunct w:val="0"/>
        <w:autoSpaceDE w:val="0"/>
        <w:autoSpaceDN w:val="0"/>
        <w:spacing w:line="240" w:lineRule="auto"/>
        <w:rPr>
          <w:sz w:val="22"/>
          <w:szCs w:val="22"/>
        </w:rPr>
      </w:pPr>
    </w:p>
    <w:p w:rsidR="00BC1D19" w:rsidRPr="00C7270C" w:rsidRDefault="00BC1D19" w:rsidP="008C0BEB">
      <w:pPr>
        <w:widowControl/>
        <w:tabs>
          <w:tab w:val="left" w:pos="567"/>
          <w:tab w:val="left" w:pos="680"/>
        </w:tabs>
        <w:overflowPunct w:val="0"/>
        <w:autoSpaceDE w:val="0"/>
        <w:autoSpaceDN w:val="0"/>
        <w:spacing w:line="240" w:lineRule="auto"/>
        <w:rPr>
          <w:sz w:val="22"/>
          <w:szCs w:val="22"/>
        </w:rPr>
      </w:pPr>
      <w:r w:rsidRPr="00C7270C">
        <w:rPr>
          <w:sz w:val="22"/>
          <w:szCs w:val="22"/>
        </w:rPr>
        <w:t>The Australian Securities and Investments Commission (</w:t>
      </w:r>
      <w:r w:rsidRPr="00C7270C">
        <w:rPr>
          <w:b/>
          <w:bCs/>
          <w:sz w:val="22"/>
          <w:szCs w:val="22"/>
        </w:rPr>
        <w:t>ASIC</w:t>
      </w:r>
      <w:r w:rsidRPr="00C7270C">
        <w:rPr>
          <w:sz w:val="22"/>
          <w:szCs w:val="22"/>
        </w:rPr>
        <w:t xml:space="preserve">) makes the </w:t>
      </w:r>
      <w:r w:rsidRPr="00C7270C">
        <w:rPr>
          <w:i/>
          <w:iCs/>
          <w:sz w:val="22"/>
          <w:szCs w:val="22"/>
        </w:rPr>
        <w:t>ASIC Market Integrity Rules (</w:t>
      </w:r>
      <w:r w:rsidR="007D0852">
        <w:rPr>
          <w:i/>
          <w:iCs/>
          <w:sz w:val="22"/>
          <w:szCs w:val="22"/>
        </w:rPr>
        <w:t>ASX 24 Market</w:t>
      </w:r>
      <w:r w:rsidR="00FD1B21" w:rsidRPr="00C7270C">
        <w:rPr>
          <w:i/>
          <w:iCs/>
          <w:sz w:val="22"/>
          <w:szCs w:val="22"/>
        </w:rPr>
        <w:t>-Capital</w:t>
      </w:r>
      <w:r w:rsidRPr="00C7270C">
        <w:rPr>
          <w:i/>
          <w:iCs/>
          <w:sz w:val="22"/>
          <w:szCs w:val="22"/>
        </w:rPr>
        <w:t>)</w:t>
      </w:r>
      <w:r w:rsidR="00044112" w:rsidRPr="00C7270C">
        <w:rPr>
          <w:i/>
          <w:iCs/>
          <w:sz w:val="22"/>
          <w:szCs w:val="22"/>
        </w:rPr>
        <w:t xml:space="preserve"> 2014</w:t>
      </w:r>
      <w:r w:rsidR="00044112" w:rsidRPr="00C7270C">
        <w:rPr>
          <w:sz w:val="22"/>
          <w:szCs w:val="22"/>
        </w:rPr>
        <w:t xml:space="preserve"> (the </w:t>
      </w:r>
      <w:r w:rsidR="008F02FD">
        <w:rPr>
          <w:b/>
          <w:bCs/>
          <w:i/>
          <w:sz w:val="22"/>
          <w:szCs w:val="22"/>
        </w:rPr>
        <w:t>ASIC Market Integrity Rules (ASX 24-Capital)</w:t>
      </w:r>
      <w:r w:rsidR="00044112" w:rsidRPr="00C7270C">
        <w:rPr>
          <w:sz w:val="22"/>
          <w:szCs w:val="22"/>
        </w:rPr>
        <w:t>)</w:t>
      </w:r>
      <w:r w:rsidRPr="00C7270C">
        <w:rPr>
          <w:i/>
          <w:iCs/>
          <w:sz w:val="22"/>
          <w:szCs w:val="22"/>
        </w:rPr>
        <w:t xml:space="preserve"> </w:t>
      </w:r>
      <w:r w:rsidRPr="00C7270C">
        <w:rPr>
          <w:sz w:val="22"/>
          <w:szCs w:val="22"/>
        </w:rPr>
        <w:t xml:space="preserve">under subsection </w:t>
      </w:r>
      <w:proofErr w:type="gramStart"/>
      <w:r w:rsidRPr="00C7270C">
        <w:rPr>
          <w:sz w:val="22"/>
          <w:szCs w:val="22"/>
        </w:rPr>
        <w:t>798G(</w:t>
      </w:r>
      <w:proofErr w:type="gramEnd"/>
      <w:r w:rsidRPr="00C7270C">
        <w:rPr>
          <w:sz w:val="22"/>
          <w:szCs w:val="22"/>
        </w:rPr>
        <w:t xml:space="preserve">1) of the </w:t>
      </w:r>
      <w:r w:rsidRPr="00C7270C">
        <w:rPr>
          <w:i/>
          <w:iCs/>
          <w:sz w:val="22"/>
          <w:szCs w:val="22"/>
        </w:rPr>
        <w:t>Corporations Act 2001</w:t>
      </w:r>
      <w:r w:rsidRPr="00C7270C">
        <w:rPr>
          <w:sz w:val="22"/>
          <w:szCs w:val="22"/>
        </w:rPr>
        <w:t xml:space="preserve"> (the </w:t>
      </w:r>
      <w:r w:rsidRPr="00C7270C">
        <w:rPr>
          <w:b/>
          <w:bCs/>
          <w:i/>
          <w:sz w:val="22"/>
          <w:szCs w:val="22"/>
        </w:rPr>
        <w:t>Corporations</w:t>
      </w:r>
      <w:r w:rsidRPr="00C7270C">
        <w:rPr>
          <w:i/>
          <w:sz w:val="22"/>
          <w:szCs w:val="22"/>
        </w:rPr>
        <w:t xml:space="preserve"> </w:t>
      </w:r>
      <w:r w:rsidRPr="00C7270C">
        <w:rPr>
          <w:b/>
          <w:bCs/>
          <w:i/>
          <w:sz w:val="22"/>
          <w:szCs w:val="22"/>
        </w:rPr>
        <w:t>Act</w:t>
      </w:r>
      <w:r w:rsidRPr="00C7270C">
        <w:rPr>
          <w:sz w:val="22"/>
          <w:szCs w:val="22"/>
        </w:rPr>
        <w:t>). Capitalised terms used in this Explanatory Statement (e.g. “</w:t>
      </w:r>
      <w:r w:rsidR="0033520A" w:rsidRPr="00C7270C">
        <w:rPr>
          <w:sz w:val="22"/>
          <w:szCs w:val="22"/>
        </w:rPr>
        <w:t xml:space="preserve">Market </w:t>
      </w:r>
      <w:r w:rsidRPr="00C7270C">
        <w:rPr>
          <w:sz w:val="22"/>
          <w:szCs w:val="22"/>
        </w:rPr>
        <w:t>Participant”) are defined in the</w:t>
      </w:r>
      <w:r w:rsidR="00712FF1" w:rsidRPr="00C7270C">
        <w:rPr>
          <w:sz w:val="22"/>
          <w:szCs w:val="22"/>
        </w:rPr>
        <w:t xml:space="preserve"> </w:t>
      </w:r>
      <w:r w:rsidR="008F02FD">
        <w:rPr>
          <w:sz w:val="22"/>
          <w:szCs w:val="22"/>
        </w:rPr>
        <w:t>ASIC Market Integrity Rules (ASX 24-Capital)</w:t>
      </w:r>
      <w:r w:rsidRPr="00C7270C">
        <w:rPr>
          <w:sz w:val="22"/>
          <w:szCs w:val="22"/>
        </w:rPr>
        <w:t>.</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Enabling legislation</w:t>
      </w:r>
    </w:p>
    <w:p w:rsidR="007C4A84" w:rsidRPr="00C7270C" w:rsidRDefault="007C4A84" w:rsidP="00BC5A69">
      <w:pPr>
        <w:widowControl/>
        <w:tabs>
          <w:tab w:val="left" w:pos="709"/>
        </w:tabs>
        <w:overflowPunct w:val="0"/>
        <w:autoSpaceDE w:val="0"/>
        <w:autoSpaceDN w:val="0"/>
        <w:spacing w:before="200" w:after="120" w:line="240" w:lineRule="auto"/>
        <w:rPr>
          <w:sz w:val="22"/>
          <w:szCs w:val="22"/>
        </w:rPr>
      </w:pPr>
      <w:r w:rsidRPr="00C7270C">
        <w:rPr>
          <w:sz w:val="22"/>
          <w:szCs w:val="22"/>
        </w:rPr>
        <w:t xml:space="preserve">Subsection 798G(1) of the </w:t>
      </w:r>
      <w:r w:rsidR="00AF6DCB" w:rsidRPr="00C7270C">
        <w:rPr>
          <w:sz w:val="22"/>
          <w:szCs w:val="22"/>
        </w:rPr>
        <w:t xml:space="preserve">Corporations </w:t>
      </w:r>
      <w:r w:rsidRPr="00C7270C">
        <w:rPr>
          <w:sz w:val="22"/>
          <w:szCs w:val="22"/>
        </w:rPr>
        <w:t>Act provides that ASIC may, by legislative instrument, make rules that deal with</w:t>
      </w:r>
      <w:r w:rsidR="00DC145B" w:rsidRPr="00C7270C">
        <w:rPr>
          <w:sz w:val="22"/>
          <w:szCs w:val="22"/>
        </w:rPr>
        <w:t xml:space="preserve"> the</w:t>
      </w:r>
      <w:r w:rsidR="00B00CC2" w:rsidRPr="00C7270C">
        <w:rPr>
          <w:sz w:val="22"/>
          <w:szCs w:val="22"/>
        </w:rPr>
        <w:t xml:space="preserve"> activities or conduct of licensed markets and of persons in relation to licensed markets and financial products traded on licensed markets.</w:t>
      </w:r>
    </w:p>
    <w:p w:rsidR="00DB7D4F" w:rsidRPr="00C7270C" w:rsidRDefault="00385017" w:rsidP="008E220D">
      <w:pPr>
        <w:spacing w:before="240" w:line="240" w:lineRule="auto"/>
        <w:rPr>
          <w:sz w:val="22"/>
          <w:szCs w:val="22"/>
        </w:rPr>
      </w:pPr>
      <w:r w:rsidRPr="00C7270C">
        <w:rPr>
          <w:sz w:val="22"/>
          <w:szCs w:val="22"/>
        </w:rPr>
        <w:t xml:space="preserve">The </w:t>
      </w:r>
      <w:r w:rsidR="008F02FD">
        <w:rPr>
          <w:sz w:val="22"/>
          <w:szCs w:val="22"/>
        </w:rPr>
        <w:t>ASIC Market Integrity Rules (ASX 24-Capital)</w:t>
      </w:r>
      <w:r w:rsidR="006A67B1" w:rsidRPr="00C7270C">
        <w:rPr>
          <w:sz w:val="22"/>
          <w:szCs w:val="22"/>
        </w:rPr>
        <w:t xml:space="preserve">, along with the </w:t>
      </w:r>
      <w:r w:rsidR="006A67B1" w:rsidRPr="00C7270C">
        <w:rPr>
          <w:i/>
          <w:sz w:val="22"/>
          <w:szCs w:val="22"/>
        </w:rPr>
        <w:t>ASIC Market Integrity Rules (</w:t>
      </w:r>
      <w:r w:rsidR="007D0852">
        <w:rPr>
          <w:i/>
          <w:sz w:val="22"/>
          <w:szCs w:val="22"/>
        </w:rPr>
        <w:t>ASX 24 Market</w:t>
      </w:r>
      <w:r w:rsidR="006A67B1" w:rsidRPr="00C7270C">
        <w:rPr>
          <w:i/>
          <w:sz w:val="22"/>
          <w:szCs w:val="22"/>
        </w:rPr>
        <w:t>) 2010</w:t>
      </w:r>
      <w:r w:rsidR="006A67B1" w:rsidRPr="00C7270C">
        <w:rPr>
          <w:sz w:val="22"/>
          <w:szCs w:val="22"/>
        </w:rPr>
        <w:t xml:space="preserve"> (the </w:t>
      </w:r>
      <w:r w:rsidR="007D0852">
        <w:rPr>
          <w:b/>
          <w:bCs/>
          <w:i/>
          <w:sz w:val="22"/>
          <w:szCs w:val="22"/>
        </w:rPr>
        <w:t>ASIC Market Integrity Rules (ASX 24)</w:t>
      </w:r>
      <w:r w:rsidR="006A67B1" w:rsidRPr="00C7270C">
        <w:rPr>
          <w:sz w:val="22"/>
          <w:szCs w:val="22"/>
        </w:rPr>
        <w:t xml:space="preserve">), </w:t>
      </w:r>
      <w:r w:rsidRPr="00C7270C">
        <w:rPr>
          <w:sz w:val="22"/>
          <w:szCs w:val="22"/>
        </w:rPr>
        <w:t xml:space="preserve">deal with the activities and conduct of the licensed market </w:t>
      </w:r>
      <w:r w:rsidR="001B7847" w:rsidRPr="00C7270C">
        <w:rPr>
          <w:sz w:val="22"/>
          <w:szCs w:val="22"/>
        </w:rPr>
        <w:t xml:space="preserve">(the </w:t>
      </w:r>
      <w:r w:rsidR="007D0852">
        <w:rPr>
          <w:b/>
          <w:i/>
          <w:sz w:val="22"/>
          <w:szCs w:val="22"/>
        </w:rPr>
        <w:t>ASX 24 Market</w:t>
      </w:r>
      <w:r w:rsidR="001B7847" w:rsidRPr="00C7270C">
        <w:rPr>
          <w:sz w:val="22"/>
          <w:szCs w:val="22"/>
        </w:rPr>
        <w:t>)</w:t>
      </w:r>
      <w:r w:rsidR="001B7847" w:rsidRPr="00C7270C">
        <w:rPr>
          <w:b/>
          <w:sz w:val="22"/>
          <w:szCs w:val="22"/>
        </w:rPr>
        <w:t xml:space="preserve"> </w:t>
      </w:r>
      <w:r w:rsidR="008F02FD">
        <w:rPr>
          <w:sz w:val="22"/>
          <w:szCs w:val="22"/>
        </w:rPr>
        <w:t>operated by</w:t>
      </w:r>
      <w:r w:rsidR="008F02FD" w:rsidRPr="008F02FD">
        <w:t xml:space="preserve"> </w:t>
      </w:r>
      <w:r w:rsidR="008F02FD" w:rsidRPr="008F02FD">
        <w:rPr>
          <w:sz w:val="22"/>
          <w:szCs w:val="22"/>
        </w:rPr>
        <w:t>Australian Securities Exchange Limited (ACN 000 943 377)</w:t>
      </w:r>
      <w:r w:rsidR="008F02FD">
        <w:rPr>
          <w:sz w:val="22"/>
          <w:szCs w:val="22"/>
        </w:rPr>
        <w:t xml:space="preserve"> </w:t>
      </w:r>
      <w:r w:rsidR="00026554" w:rsidRPr="00C7270C">
        <w:rPr>
          <w:sz w:val="22"/>
          <w:szCs w:val="22"/>
        </w:rPr>
        <w:t>(</w:t>
      </w:r>
      <w:r w:rsidR="00026554" w:rsidRPr="00C7270C">
        <w:rPr>
          <w:b/>
          <w:i/>
          <w:sz w:val="22"/>
          <w:szCs w:val="22"/>
        </w:rPr>
        <w:t>ASX</w:t>
      </w:r>
      <w:r w:rsidR="008F02FD">
        <w:rPr>
          <w:b/>
          <w:i/>
          <w:sz w:val="22"/>
          <w:szCs w:val="22"/>
        </w:rPr>
        <w:t xml:space="preserve"> 24</w:t>
      </w:r>
      <w:r w:rsidR="00026554" w:rsidRPr="00C7270C">
        <w:rPr>
          <w:sz w:val="22"/>
          <w:szCs w:val="22"/>
        </w:rPr>
        <w:t>)</w:t>
      </w:r>
      <w:r w:rsidRPr="00C7270C">
        <w:rPr>
          <w:sz w:val="22"/>
          <w:szCs w:val="22"/>
        </w:rPr>
        <w:t xml:space="preserve">. </w:t>
      </w:r>
      <w:r w:rsidR="00330DEE" w:rsidRPr="00C7270C">
        <w:rPr>
          <w:sz w:val="22"/>
          <w:szCs w:val="22"/>
        </w:rPr>
        <w:t xml:space="preserve">From 26 May 2014, </w:t>
      </w:r>
      <w:r w:rsidR="009D06A0" w:rsidRPr="00C7270C">
        <w:rPr>
          <w:sz w:val="22"/>
          <w:szCs w:val="22"/>
        </w:rPr>
        <w:t xml:space="preserve">Market Participants of the </w:t>
      </w:r>
      <w:r w:rsidR="007D0852">
        <w:rPr>
          <w:sz w:val="22"/>
          <w:szCs w:val="22"/>
        </w:rPr>
        <w:t>ASX 24 Market</w:t>
      </w:r>
      <w:r w:rsidR="009D06A0" w:rsidRPr="00C7270C">
        <w:rPr>
          <w:sz w:val="22"/>
          <w:szCs w:val="22"/>
        </w:rPr>
        <w:t xml:space="preserve"> are required to comply with</w:t>
      </w:r>
      <w:r w:rsidR="00755F0A" w:rsidRPr="00C7270C">
        <w:rPr>
          <w:sz w:val="22"/>
          <w:szCs w:val="22"/>
        </w:rPr>
        <w:t xml:space="preserve"> both</w:t>
      </w:r>
      <w:r w:rsidR="009D06A0" w:rsidRPr="00C7270C">
        <w:rPr>
          <w:sz w:val="22"/>
          <w:szCs w:val="22"/>
        </w:rPr>
        <w:t xml:space="preserve"> the </w:t>
      </w:r>
      <w:r w:rsidR="007D0852">
        <w:rPr>
          <w:sz w:val="22"/>
          <w:szCs w:val="22"/>
        </w:rPr>
        <w:t>ASIC Market Integrity Rules (ASX 24)</w:t>
      </w:r>
      <w:r w:rsidR="00755F0A" w:rsidRPr="00C7270C">
        <w:rPr>
          <w:sz w:val="22"/>
          <w:szCs w:val="22"/>
        </w:rPr>
        <w:t xml:space="preserve"> and the </w:t>
      </w:r>
      <w:r w:rsidR="008F02FD">
        <w:rPr>
          <w:sz w:val="22"/>
          <w:szCs w:val="22"/>
        </w:rPr>
        <w:t>ASIC Market Integrity Rules (ASX 24-Capital)</w:t>
      </w:r>
      <w:r w:rsidR="009D06A0" w:rsidRPr="00C7270C">
        <w:rPr>
          <w:sz w:val="22"/>
          <w:szCs w:val="22"/>
        </w:rPr>
        <w:t>.</w:t>
      </w:r>
    </w:p>
    <w:p w:rsidR="00270B9F" w:rsidRPr="00B2276C" w:rsidRDefault="00270B9F" w:rsidP="00270B9F">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Background</w:t>
      </w:r>
    </w:p>
    <w:p w:rsidR="00B962FF" w:rsidRPr="00C7270C" w:rsidRDefault="006A67B1" w:rsidP="006F379A">
      <w:pPr>
        <w:spacing w:before="240" w:line="240" w:lineRule="auto"/>
        <w:rPr>
          <w:bCs/>
          <w:sz w:val="22"/>
          <w:szCs w:val="22"/>
        </w:rPr>
      </w:pPr>
      <w:r w:rsidRPr="00C7270C">
        <w:rPr>
          <w:sz w:val="22"/>
          <w:szCs w:val="22"/>
        </w:rPr>
        <w:t>T</w:t>
      </w:r>
      <w:r w:rsidR="006F379A" w:rsidRPr="00C7270C">
        <w:rPr>
          <w:sz w:val="22"/>
          <w:szCs w:val="22"/>
        </w:rPr>
        <w:t>he</w:t>
      </w:r>
      <w:r w:rsidR="00204112" w:rsidRPr="00C7270C">
        <w:rPr>
          <w:sz w:val="22"/>
          <w:szCs w:val="22"/>
        </w:rPr>
        <w:t xml:space="preserve"> </w:t>
      </w:r>
      <w:r w:rsidR="007D0852">
        <w:rPr>
          <w:bCs/>
          <w:sz w:val="22"/>
          <w:szCs w:val="22"/>
        </w:rPr>
        <w:t>ASIC Market Integrity Rules (ASX 24)</w:t>
      </w:r>
      <w:r w:rsidR="00204112" w:rsidRPr="00C7270C">
        <w:rPr>
          <w:bCs/>
          <w:sz w:val="22"/>
          <w:szCs w:val="22"/>
        </w:rPr>
        <w:t xml:space="preserve"> were made </w:t>
      </w:r>
      <w:r w:rsidR="00B962FF" w:rsidRPr="00C7270C">
        <w:rPr>
          <w:bCs/>
          <w:sz w:val="22"/>
          <w:szCs w:val="22"/>
        </w:rPr>
        <w:t xml:space="preserve">by ASIC </w:t>
      </w:r>
      <w:r w:rsidR="008B6B6A">
        <w:rPr>
          <w:bCs/>
          <w:sz w:val="22"/>
          <w:szCs w:val="22"/>
        </w:rPr>
        <w:t>in</w:t>
      </w:r>
      <w:r w:rsidR="00204112" w:rsidRPr="00C7270C">
        <w:rPr>
          <w:bCs/>
          <w:sz w:val="22"/>
          <w:szCs w:val="22"/>
        </w:rPr>
        <w:t xml:space="preserve"> August 2010</w:t>
      </w:r>
      <w:r w:rsidR="00B962FF" w:rsidRPr="00C7270C">
        <w:rPr>
          <w:bCs/>
          <w:sz w:val="22"/>
          <w:szCs w:val="22"/>
        </w:rPr>
        <w:t xml:space="preserve">. </w:t>
      </w:r>
      <w:r w:rsidR="0025047E" w:rsidRPr="00C7270C">
        <w:rPr>
          <w:bCs/>
          <w:sz w:val="22"/>
          <w:szCs w:val="22"/>
        </w:rPr>
        <w:t xml:space="preserve">ASIC has amended the </w:t>
      </w:r>
      <w:r w:rsidR="007D0852">
        <w:rPr>
          <w:bCs/>
          <w:sz w:val="22"/>
          <w:szCs w:val="22"/>
        </w:rPr>
        <w:t>ASIC Market Integrity Rules (ASX 24)</w:t>
      </w:r>
      <w:r w:rsidR="00B962FF" w:rsidRPr="00C7270C">
        <w:rPr>
          <w:bCs/>
          <w:sz w:val="22"/>
          <w:szCs w:val="22"/>
        </w:rPr>
        <w:t xml:space="preserve"> </w:t>
      </w:r>
      <w:r w:rsidR="0025047E" w:rsidRPr="00C7270C">
        <w:rPr>
          <w:bCs/>
          <w:sz w:val="22"/>
          <w:szCs w:val="22"/>
        </w:rPr>
        <w:t xml:space="preserve">on a number of occasions, </w:t>
      </w:r>
      <w:r w:rsidR="0006227E" w:rsidRPr="00C7270C">
        <w:rPr>
          <w:bCs/>
          <w:sz w:val="22"/>
          <w:szCs w:val="22"/>
        </w:rPr>
        <w:t xml:space="preserve">including </w:t>
      </w:r>
      <w:r w:rsidR="00A23DB3">
        <w:rPr>
          <w:bCs/>
          <w:sz w:val="22"/>
          <w:szCs w:val="22"/>
        </w:rPr>
        <w:t>in</w:t>
      </w:r>
      <w:r w:rsidR="0006227E" w:rsidRPr="00C7270C">
        <w:rPr>
          <w:bCs/>
          <w:sz w:val="22"/>
          <w:szCs w:val="22"/>
        </w:rPr>
        <w:t xml:space="preserve"> August 20</w:t>
      </w:r>
      <w:r w:rsidR="00FE4A5A">
        <w:rPr>
          <w:bCs/>
          <w:sz w:val="22"/>
          <w:szCs w:val="22"/>
        </w:rPr>
        <w:t>11</w:t>
      </w:r>
      <w:r w:rsidR="0006227E" w:rsidRPr="00C7270C">
        <w:rPr>
          <w:bCs/>
          <w:sz w:val="22"/>
          <w:szCs w:val="22"/>
        </w:rPr>
        <w:t xml:space="preserve"> to transfer</w:t>
      </w:r>
      <w:r w:rsidR="008C36FF" w:rsidRPr="00C7270C">
        <w:rPr>
          <w:bCs/>
          <w:sz w:val="22"/>
          <w:szCs w:val="22"/>
        </w:rPr>
        <w:t xml:space="preserve"> responsibility for supervision of</w:t>
      </w:r>
      <w:r w:rsidR="00D7346D" w:rsidRPr="00C7270C">
        <w:rPr>
          <w:bCs/>
          <w:sz w:val="22"/>
          <w:szCs w:val="22"/>
        </w:rPr>
        <w:t xml:space="preserve"> </w:t>
      </w:r>
      <w:r w:rsidR="008C36FF" w:rsidRPr="00C7270C">
        <w:rPr>
          <w:bCs/>
          <w:sz w:val="22"/>
          <w:szCs w:val="22"/>
        </w:rPr>
        <w:t xml:space="preserve">Market Participant </w:t>
      </w:r>
      <w:r w:rsidR="00B962FF" w:rsidRPr="00C7270C">
        <w:rPr>
          <w:bCs/>
          <w:sz w:val="22"/>
          <w:szCs w:val="22"/>
        </w:rPr>
        <w:t>capital requir</w:t>
      </w:r>
      <w:r w:rsidR="0006227E" w:rsidRPr="00C7270C">
        <w:rPr>
          <w:bCs/>
          <w:sz w:val="22"/>
          <w:szCs w:val="22"/>
        </w:rPr>
        <w:t xml:space="preserve">ements from </w:t>
      </w:r>
      <w:r w:rsidR="008C36FF" w:rsidRPr="00C7270C">
        <w:rPr>
          <w:bCs/>
          <w:sz w:val="22"/>
          <w:szCs w:val="22"/>
        </w:rPr>
        <w:t>ASX</w:t>
      </w:r>
      <w:r w:rsidR="00FE4A5A">
        <w:rPr>
          <w:bCs/>
          <w:sz w:val="22"/>
          <w:szCs w:val="22"/>
        </w:rPr>
        <w:t xml:space="preserve"> 24</w:t>
      </w:r>
      <w:r w:rsidR="008C36FF" w:rsidRPr="00C7270C">
        <w:rPr>
          <w:bCs/>
          <w:sz w:val="22"/>
          <w:szCs w:val="22"/>
        </w:rPr>
        <w:t xml:space="preserve"> to ASIC</w:t>
      </w:r>
      <w:r w:rsidR="00B962FF" w:rsidRPr="00C7270C">
        <w:rPr>
          <w:bCs/>
          <w:sz w:val="22"/>
          <w:szCs w:val="22"/>
        </w:rPr>
        <w:t>.</w:t>
      </w:r>
      <w:r w:rsidR="0055722D" w:rsidRPr="00C7270C">
        <w:rPr>
          <w:bCs/>
          <w:sz w:val="22"/>
          <w:szCs w:val="22"/>
        </w:rPr>
        <w:t xml:space="preserve"> </w:t>
      </w:r>
    </w:p>
    <w:p w:rsidR="00905A7A" w:rsidRPr="00905A7A" w:rsidRDefault="00905A7A" w:rsidP="00905A7A">
      <w:pPr>
        <w:spacing w:before="200" w:line="240" w:lineRule="auto"/>
        <w:outlineLvl w:val="3"/>
        <w:rPr>
          <w:rFonts w:eastAsia="Calibri"/>
          <w:iCs/>
          <w:sz w:val="23"/>
          <w:szCs w:val="23"/>
        </w:rPr>
      </w:pPr>
      <w:r w:rsidRPr="00905A7A">
        <w:rPr>
          <w:rFonts w:eastAsia="Calibri"/>
          <w:iCs/>
          <w:sz w:val="23"/>
          <w:szCs w:val="23"/>
        </w:rPr>
        <w:t>All market integrity rules made by ASIC under subsection 798G(1) of the Corporations Act are legislative instruments and must be lodged for registration on the Federal Register of Legislative Instruments (</w:t>
      </w:r>
      <w:r w:rsidRPr="00905A7A">
        <w:rPr>
          <w:rFonts w:eastAsia="Calibri"/>
          <w:b/>
          <w:i/>
          <w:iCs/>
          <w:sz w:val="23"/>
          <w:szCs w:val="23"/>
        </w:rPr>
        <w:t>FRLI</w:t>
      </w:r>
      <w:r w:rsidRPr="00905A7A">
        <w:rPr>
          <w:rFonts w:eastAsia="Calibri"/>
          <w:iCs/>
          <w:sz w:val="23"/>
          <w:szCs w:val="23"/>
        </w:rPr>
        <w:t>), the Commonwealth database of legislative instruments maintained by the Office of Parliamentary Counsel. Each time ASIC amends the market integrity rules, ASIC is required to prepare and lodge for registration a FRLI a 'compilation' showing the rules as in force as at the date of the amendments.</w:t>
      </w:r>
    </w:p>
    <w:p w:rsidR="00905A7A" w:rsidRPr="00905A7A" w:rsidRDefault="00905A7A" w:rsidP="00905A7A">
      <w:pPr>
        <w:spacing w:before="200" w:line="240" w:lineRule="auto"/>
        <w:outlineLvl w:val="3"/>
        <w:rPr>
          <w:rFonts w:eastAsia="Calibri"/>
          <w:iCs/>
          <w:sz w:val="23"/>
          <w:szCs w:val="23"/>
        </w:rPr>
      </w:pPr>
      <w:r w:rsidRPr="00905A7A">
        <w:rPr>
          <w:rFonts w:eastAsia="Calibri"/>
          <w:iCs/>
          <w:sz w:val="23"/>
          <w:szCs w:val="23"/>
        </w:rPr>
        <w:t>In July 2013, the FRLI fee structure changed to recognise the whole-of-life cost of making material available to agencies and the public. Under the revised fee structure, ASIC is now required to pay a lodgement fee and a fee per page for each compilation of the market integrity rules it lodges for registration with FRLI. ASIC's costs for lodging compilations of the ASIC Market Integrity Rules (ASX</w:t>
      </w:r>
      <w:r w:rsidR="00E41464">
        <w:rPr>
          <w:rFonts w:eastAsia="Calibri"/>
          <w:iCs/>
          <w:sz w:val="23"/>
          <w:szCs w:val="23"/>
        </w:rPr>
        <w:t xml:space="preserve"> 24</w:t>
      </w:r>
      <w:r w:rsidRPr="00905A7A">
        <w:rPr>
          <w:rFonts w:eastAsia="Calibri"/>
          <w:iCs/>
          <w:sz w:val="23"/>
          <w:szCs w:val="23"/>
        </w:rPr>
        <w:t>) have increased significantly under this new fee structure.</w:t>
      </w:r>
    </w:p>
    <w:p w:rsidR="00905A7A" w:rsidRPr="00905A7A" w:rsidRDefault="00905A7A" w:rsidP="00905A7A">
      <w:pPr>
        <w:spacing w:before="200" w:line="240" w:lineRule="auto"/>
        <w:outlineLvl w:val="3"/>
        <w:rPr>
          <w:rFonts w:eastAsia="Calibri"/>
          <w:iCs/>
          <w:sz w:val="23"/>
          <w:szCs w:val="23"/>
        </w:rPr>
      </w:pPr>
      <w:r w:rsidRPr="00905A7A">
        <w:rPr>
          <w:rFonts w:eastAsia="Calibri"/>
          <w:iCs/>
          <w:sz w:val="23"/>
          <w:szCs w:val="23"/>
        </w:rPr>
        <w:t>ASIC has reviewed the ASIC Market Integrity Rules (ASX</w:t>
      </w:r>
      <w:r w:rsidR="00E41464">
        <w:rPr>
          <w:rFonts w:eastAsia="Calibri"/>
          <w:iCs/>
          <w:sz w:val="23"/>
          <w:szCs w:val="23"/>
        </w:rPr>
        <w:t xml:space="preserve"> 24</w:t>
      </w:r>
      <w:r w:rsidRPr="00905A7A">
        <w:rPr>
          <w:rFonts w:eastAsia="Calibri"/>
          <w:iCs/>
          <w:sz w:val="23"/>
          <w:szCs w:val="23"/>
        </w:rPr>
        <w:t>) to identify ways in which it can manage its FRLI lodgement costs in respect of compilations of those rules and has concluded that the most effective way to manage these costs is to transfer the market participant capital requirements in the ASIC Market Integrity Rules (ASX</w:t>
      </w:r>
      <w:r w:rsidR="00E41464">
        <w:rPr>
          <w:rFonts w:eastAsia="Calibri"/>
          <w:iCs/>
          <w:sz w:val="23"/>
          <w:szCs w:val="23"/>
        </w:rPr>
        <w:t xml:space="preserve"> 24</w:t>
      </w:r>
      <w:r w:rsidRPr="00905A7A">
        <w:rPr>
          <w:rFonts w:eastAsia="Calibri"/>
          <w:iCs/>
          <w:sz w:val="23"/>
          <w:szCs w:val="23"/>
        </w:rPr>
        <w:t xml:space="preserve">) into a separate rulebook for that market. </w:t>
      </w:r>
    </w:p>
    <w:p w:rsidR="00905A7A" w:rsidRPr="00905A7A" w:rsidRDefault="00905A7A" w:rsidP="00905A7A">
      <w:pPr>
        <w:spacing w:before="200" w:line="240" w:lineRule="auto"/>
        <w:outlineLvl w:val="3"/>
        <w:rPr>
          <w:rFonts w:eastAsia="Calibri"/>
          <w:iCs/>
          <w:sz w:val="23"/>
          <w:szCs w:val="23"/>
        </w:rPr>
      </w:pPr>
      <w:r w:rsidRPr="00905A7A">
        <w:rPr>
          <w:rFonts w:eastAsia="Calibri"/>
          <w:iCs/>
          <w:sz w:val="23"/>
          <w:szCs w:val="23"/>
        </w:rPr>
        <w:t>The market integrity rules setting out market participant capital requirements and associated capital forms comprise the bulk of the ASIC Market Integrity Rules (ASX</w:t>
      </w:r>
      <w:r w:rsidR="00236F85">
        <w:rPr>
          <w:rFonts w:eastAsia="Calibri"/>
          <w:iCs/>
          <w:sz w:val="23"/>
          <w:szCs w:val="23"/>
        </w:rPr>
        <w:t xml:space="preserve"> 24</w:t>
      </w:r>
      <w:r w:rsidRPr="00905A7A">
        <w:rPr>
          <w:rFonts w:eastAsia="Calibri"/>
          <w:iCs/>
          <w:sz w:val="23"/>
          <w:szCs w:val="23"/>
        </w:rPr>
        <w:t>) and accordingly will be a significant contributing factor in the overall increase in ASIC's FRLI lodgement costs in respect of compilations of those rules. The market integrity rules setting out the capital requirements and capital forms have not been amended since they were introduced, and ASIC does not propose to amend the substance of the capital requirements at this time. ASIC therefore considers that the costs of continuing to lodge compilations of the ASIC Market Integrity Rules (ASX</w:t>
      </w:r>
      <w:r w:rsidR="00345E8F">
        <w:rPr>
          <w:rFonts w:eastAsia="Calibri"/>
          <w:iCs/>
          <w:sz w:val="23"/>
          <w:szCs w:val="23"/>
        </w:rPr>
        <w:t xml:space="preserve"> 24</w:t>
      </w:r>
      <w:r w:rsidRPr="00905A7A">
        <w:rPr>
          <w:rFonts w:eastAsia="Calibri"/>
          <w:iCs/>
          <w:sz w:val="23"/>
          <w:szCs w:val="23"/>
        </w:rPr>
        <w:t xml:space="preserve">) that include the market participant capital requirements and associated capital </w:t>
      </w:r>
      <w:proofErr w:type="gramStart"/>
      <w:r w:rsidRPr="00905A7A">
        <w:rPr>
          <w:rFonts w:eastAsia="Calibri"/>
          <w:iCs/>
          <w:sz w:val="23"/>
          <w:szCs w:val="23"/>
        </w:rPr>
        <w:t>forms,</w:t>
      </w:r>
      <w:proofErr w:type="gramEnd"/>
      <w:r w:rsidRPr="00905A7A">
        <w:rPr>
          <w:rFonts w:eastAsia="Calibri"/>
          <w:iCs/>
          <w:sz w:val="23"/>
          <w:szCs w:val="23"/>
        </w:rPr>
        <w:t xml:space="preserve"> significantly outweigh the benefits of maintaining all of those rules within the same rulebook.</w:t>
      </w:r>
    </w:p>
    <w:p w:rsidR="00905A7A" w:rsidRPr="00905A7A" w:rsidRDefault="00905A7A" w:rsidP="00905A7A">
      <w:pPr>
        <w:spacing w:before="200" w:line="240" w:lineRule="auto"/>
        <w:outlineLvl w:val="3"/>
        <w:rPr>
          <w:rFonts w:eastAsia="Calibri"/>
          <w:iCs/>
          <w:sz w:val="23"/>
          <w:szCs w:val="23"/>
        </w:rPr>
      </w:pPr>
      <w:r w:rsidRPr="00905A7A">
        <w:rPr>
          <w:rFonts w:eastAsia="Calibri"/>
          <w:iCs/>
          <w:sz w:val="23"/>
          <w:szCs w:val="23"/>
        </w:rPr>
        <w:t xml:space="preserve">ASIC has also concluded that further cost efficiencies could be gained by reducing the number of separate capital forms in the schedules to the market integrity rules, as part of the same process. </w:t>
      </w:r>
    </w:p>
    <w:p w:rsidR="00905A7A" w:rsidRPr="00905A7A" w:rsidRDefault="00905A7A" w:rsidP="00905A7A">
      <w:pPr>
        <w:spacing w:before="200" w:line="240" w:lineRule="auto"/>
        <w:outlineLvl w:val="3"/>
        <w:rPr>
          <w:rFonts w:eastAsia="Calibri"/>
          <w:iCs/>
          <w:sz w:val="23"/>
          <w:szCs w:val="23"/>
        </w:rPr>
      </w:pPr>
      <w:r w:rsidRPr="00905A7A">
        <w:rPr>
          <w:rFonts w:eastAsia="Calibri"/>
          <w:iCs/>
          <w:sz w:val="23"/>
          <w:szCs w:val="23"/>
        </w:rPr>
        <w:t xml:space="preserve">ASIC has aligned the commencement date for these changes, with the commencement date for </w:t>
      </w:r>
      <w:r w:rsidR="00F87D20">
        <w:rPr>
          <w:rFonts w:eastAsia="Calibri"/>
          <w:iCs/>
          <w:sz w:val="23"/>
          <w:szCs w:val="23"/>
        </w:rPr>
        <w:t xml:space="preserve">similar amendments to the market integrity rules for the APX, ASX, Chi-X and FEX Markets </w:t>
      </w:r>
      <w:r w:rsidRPr="00905A7A">
        <w:rPr>
          <w:rFonts w:eastAsia="Calibri"/>
          <w:iCs/>
          <w:sz w:val="23"/>
          <w:szCs w:val="23"/>
        </w:rPr>
        <w:t>that take effect on 26 May 2014.</w:t>
      </w:r>
    </w:p>
    <w:p w:rsidR="0059586D" w:rsidRDefault="0059586D" w:rsidP="0059586D">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C00E5C">
        <w:rPr>
          <w:rFonts w:ascii="Arial" w:hAnsi="Arial" w:cs="Arial"/>
          <w:b/>
        </w:rPr>
        <w:t>Purpose of the legislative instrument</w:t>
      </w:r>
    </w:p>
    <w:p w:rsidR="00C15EE8" w:rsidRDefault="00C15EE8" w:rsidP="008E220D">
      <w:pPr>
        <w:widowControl/>
        <w:autoSpaceDE w:val="0"/>
        <w:autoSpaceDN w:val="0"/>
        <w:spacing w:line="240" w:lineRule="auto"/>
        <w:textAlignment w:val="auto"/>
        <w:rPr>
          <w:sz w:val="23"/>
          <w:szCs w:val="23"/>
          <w:lang w:eastAsia="en-AU"/>
        </w:rPr>
      </w:pPr>
    </w:p>
    <w:p w:rsidR="00C00E5C" w:rsidRPr="00C7270C" w:rsidRDefault="00465CEE" w:rsidP="008115F6">
      <w:pPr>
        <w:spacing w:line="240" w:lineRule="auto"/>
        <w:rPr>
          <w:sz w:val="22"/>
          <w:szCs w:val="22"/>
          <w:u w:val="single"/>
        </w:rPr>
      </w:pPr>
      <w:r w:rsidRPr="00C7270C">
        <w:rPr>
          <w:sz w:val="22"/>
          <w:szCs w:val="22"/>
        </w:rPr>
        <w:t xml:space="preserve">The </w:t>
      </w:r>
      <w:r w:rsidR="008F02FD">
        <w:rPr>
          <w:sz w:val="22"/>
          <w:szCs w:val="22"/>
        </w:rPr>
        <w:t>ASIC Market Integrity Rules (ASX 24-Capital)</w:t>
      </w:r>
      <w:r w:rsidR="00795A3D">
        <w:rPr>
          <w:sz w:val="22"/>
          <w:szCs w:val="22"/>
        </w:rPr>
        <w:t xml:space="preserve"> </w:t>
      </w:r>
      <w:r w:rsidRPr="00C7270C">
        <w:rPr>
          <w:bCs/>
          <w:sz w:val="22"/>
          <w:szCs w:val="22"/>
        </w:rPr>
        <w:t xml:space="preserve">repeals the capital requirements in Chapters </w:t>
      </w:r>
      <w:r w:rsidR="001854E2">
        <w:rPr>
          <w:bCs/>
          <w:sz w:val="22"/>
          <w:szCs w:val="22"/>
        </w:rPr>
        <w:t>5</w:t>
      </w:r>
      <w:r w:rsidRPr="00C7270C">
        <w:rPr>
          <w:bCs/>
          <w:sz w:val="22"/>
          <w:szCs w:val="22"/>
        </w:rPr>
        <w:t xml:space="preserve"> and </w:t>
      </w:r>
      <w:r w:rsidR="001854E2">
        <w:rPr>
          <w:bCs/>
          <w:sz w:val="22"/>
          <w:szCs w:val="22"/>
        </w:rPr>
        <w:t>6</w:t>
      </w:r>
      <w:r w:rsidRPr="00C7270C">
        <w:rPr>
          <w:bCs/>
          <w:sz w:val="22"/>
          <w:szCs w:val="22"/>
        </w:rPr>
        <w:t xml:space="preserve"> and </w:t>
      </w:r>
      <w:r w:rsidR="001A1D75">
        <w:rPr>
          <w:bCs/>
          <w:sz w:val="22"/>
          <w:szCs w:val="22"/>
        </w:rPr>
        <w:t xml:space="preserve">Forms 2 to 8 of the </w:t>
      </w:r>
      <w:r w:rsidR="001854E2">
        <w:rPr>
          <w:bCs/>
          <w:sz w:val="22"/>
          <w:szCs w:val="22"/>
        </w:rPr>
        <w:t xml:space="preserve">Schedule of the </w:t>
      </w:r>
      <w:r w:rsidR="007D0852">
        <w:rPr>
          <w:bCs/>
          <w:sz w:val="22"/>
          <w:szCs w:val="22"/>
        </w:rPr>
        <w:t>ASIC Market Integrity Rules (ASX 24)</w:t>
      </w:r>
      <w:r w:rsidRPr="00C7270C">
        <w:rPr>
          <w:bCs/>
          <w:sz w:val="22"/>
          <w:szCs w:val="22"/>
        </w:rPr>
        <w:t xml:space="preserve"> </w:t>
      </w:r>
      <w:proofErr w:type="gramStart"/>
      <w:r w:rsidRPr="00C7270C">
        <w:rPr>
          <w:bCs/>
          <w:sz w:val="22"/>
          <w:szCs w:val="22"/>
        </w:rPr>
        <w:t>and 're</w:t>
      </w:r>
      <w:proofErr w:type="gramEnd"/>
      <w:r w:rsidR="00060458">
        <w:rPr>
          <w:bCs/>
          <w:sz w:val="22"/>
          <w:szCs w:val="22"/>
        </w:rPr>
        <w:t>-</w:t>
      </w:r>
      <w:r w:rsidRPr="00C7270C">
        <w:rPr>
          <w:bCs/>
          <w:sz w:val="22"/>
          <w:szCs w:val="22"/>
        </w:rPr>
        <w:t xml:space="preserve">makes' the capital requirements as </w:t>
      </w:r>
      <w:r w:rsidR="00CA23C8" w:rsidRPr="00C7270C">
        <w:rPr>
          <w:bCs/>
          <w:sz w:val="22"/>
          <w:szCs w:val="22"/>
        </w:rPr>
        <w:t xml:space="preserve">Chapters </w:t>
      </w:r>
      <w:r w:rsidR="001854E2">
        <w:rPr>
          <w:bCs/>
          <w:sz w:val="22"/>
          <w:szCs w:val="22"/>
        </w:rPr>
        <w:t xml:space="preserve">5 and 6 </w:t>
      </w:r>
      <w:r w:rsidR="00CA23C8" w:rsidRPr="00C7270C">
        <w:rPr>
          <w:bCs/>
          <w:sz w:val="22"/>
          <w:szCs w:val="22"/>
        </w:rPr>
        <w:t xml:space="preserve">and </w:t>
      </w:r>
      <w:r w:rsidR="001854E2">
        <w:rPr>
          <w:bCs/>
          <w:sz w:val="22"/>
          <w:szCs w:val="22"/>
        </w:rPr>
        <w:t>the</w:t>
      </w:r>
      <w:r w:rsidR="001A1D75">
        <w:rPr>
          <w:bCs/>
          <w:sz w:val="22"/>
          <w:szCs w:val="22"/>
        </w:rPr>
        <w:t xml:space="preserve"> Forms 3, 4, 5 and 7 of the</w:t>
      </w:r>
      <w:r w:rsidR="001854E2">
        <w:rPr>
          <w:bCs/>
          <w:sz w:val="22"/>
          <w:szCs w:val="22"/>
        </w:rPr>
        <w:t xml:space="preserve"> Schedule of</w:t>
      </w:r>
      <w:r w:rsidR="00CA23C8" w:rsidRPr="00C7270C">
        <w:rPr>
          <w:bCs/>
          <w:sz w:val="22"/>
          <w:szCs w:val="22"/>
        </w:rPr>
        <w:t xml:space="preserve"> the </w:t>
      </w:r>
      <w:r w:rsidR="008F02FD">
        <w:rPr>
          <w:bCs/>
          <w:sz w:val="22"/>
          <w:szCs w:val="22"/>
        </w:rPr>
        <w:t>ASIC Market Integrity Rules (ASX 24-Capital)</w:t>
      </w:r>
      <w:r w:rsidRPr="00C7270C">
        <w:rPr>
          <w:bCs/>
          <w:sz w:val="22"/>
          <w:szCs w:val="22"/>
        </w:rPr>
        <w:t xml:space="preserve">. </w:t>
      </w:r>
      <w:r w:rsidR="0013202C">
        <w:rPr>
          <w:bCs/>
          <w:sz w:val="23"/>
          <w:szCs w:val="23"/>
        </w:rPr>
        <w:t xml:space="preserve">The purpose of this change is to enable ASIC to </w:t>
      </w:r>
      <w:r w:rsidR="0013202C" w:rsidRPr="006162F3">
        <w:rPr>
          <w:rFonts w:eastAsia="Calibri"/>
          <w:iCs/>
          <w:sz w:val="23"/>
          <w:szCs w:val="23"/>
        </w:rPr>
        <w:t xml:space="preserve">manage </w:t>
      </w:r>
      <w:r w:rsidR="0013202C">
        <w:rPr>
          <w:rFonts w:eastAsia="Calibri"/>
          <w:iCs/>
          <w:sz w:val="23"/>
          <w:szCs w:val="23"/>
        </w:rPr>
        <w:t>its</w:t>
      </w:r>
      <w:r w:rsidR="0013202C" w:rsidRPr="006162F3">
        <w:rPr>
          <w:rFonts w:eastAsia="Calibri"/>
          <w:iCs/>
          <w:sz w:val="23"/>
          <w:szCs w:val="23"/>
        </w:rPr>
        <w:t xml:space="preserve"> FRLI lodgement costs in respec</w:t>
      </w:r>
      <w:r w:rsidR="0013202C">
        <w:rPr>
          <w:rFonts w:eastAsia="Calibri"/>
          <w:iCs/>
          <w:sz w:val="23"/>
          <w:szCs w:val="23"/>
        </w:rPr>
        <w:t xml:space="preserve">t of compilations of the </w:t>
      </w:r>
      <w:r w:rsidR="0013202C" w:rsidRPr="00CB5869">
        <w:rPr>
          <w:bCs/>
          <w:sz w:val="23"/>
          <w:szCs w:val="23"/>
        </w:rPr>
        <w:t>ASIC Market Integrity Rules (A</w:t>
      </w:r>
      <w:r w:rsidR="0013202C">
        <w:rPr>
          <w:bCs/>
          <w:sz w:val="23"/>
          <w:szCs w:val="23"/>
        </w:rPr>
        <w:t>S</w:t>
      </w:r>
      <w:r w:rsidR="0013202C" w:rsidRPr="00CB5869">
        <w:rPr>
          <w:bCs/>
          <w:sz w:val="23"/>
          <w:szCs w:val="23"/>
        </w:rPr>
        <w:t>X</w:t>
      </w:r>
      <w:r w:rsidR="005C009A">
        <w:rPr>
          <w:bCs/>
          <w:sz w:val="23"/>
          <w:szCs w:val="23"/>
        </w:rPr>
        <w:t xml:space="preserve"> 24</w:t>
      </w:r>
      <w:r w:rsidR="0013202C" w:rsidRPr="00CB5869">
        <w:rPr>
          <w:bCs/>
          <w:sz w:val="23"/>
          <w:szCs w:val="23"/>
        </w:rPr>
        <w:t>)</w:t>
      </w:r>
      <w:r w:rsidR="0013202C">
        <w:rPr>
          <w:bCs/>
          <w:sz w:val="23"/>
          <w:szCs w:val="23"/>
        </w:rPr>
        <w:t xml:space="preserve">.  </w:t>
      </w:r>
      <w:r w:rsidR="00C00E5C" w:rsidRPr="00C7270C">
        <w:rPr>
          <w:sz w:val="22"/>
          <w:szCs w:val="22"/>
        </w:rPr>
        <w:t xml:space="preserve">Details of the </w:t>
      </w:r>
      <w:r w:rsidR="00060458" w:rsidRPr="00CB5869">
        <w:rPr>
          <w:bCs/>
          <w:sz w:val="23"/>
          <w:szCs w:val="23"/>
        </w:rPr>
        <w:t>ASIC Market Integrity Rules (A</w:t>
      </w:r>
      <w:r w:rsidR="00060458">
        <w:rPr>
          <w:bCs/>
          <w:sz w:val="23"/>
          <w:szCs w:val="23"/>
        </w:rPr>
        <w:t>S</w:t>
      </w:r>
      <w:r w:rsidR="00060458" w:rsidRPr="00CB5869">
        <w:rPr>
          <w:bCs/>
          <w:sz w:val="23"/>
          <w:szCs w:val="23"/>
        </w:rPr>
        <w:t>X</w:t>
      </w:r>
      <w:r w:rsidR="00060458">
        <w:rPr>
          <w:bCs/>
          <w:sz w:val="23"/>
          <w:szCs w:val="23"/>
        </w:rPr>
        <w:t xml:space="preserve"> 24-Capital</w:t>
      </w:r>
      <w:r w:rsidR="00060458" w:rsidRPr="00CB5869">
        <w:rPr>
          <w:bCs/>
          <w:sz w:val="23"/>
          <w:szCs w:val="23"/>
        </w:rPr>
        <w:t>)</w:t>
      </w:r>
      <w:r w:rsidR="00C00E5C" w:rsidRPr="00C7270C">
        <w:rPr>
          <w:sz w:val="22"/>
          <w:szCs w:val="22"/>
        </w:rPr>
        <w:t xml:space="preserve"> are contained in </w:t>
      </w:r>
      <w:r w:rsidR="00C00E5C" w:rsidRPr="00C7270C">
        <w:rPr>
          <w:b/>
          <w:sz w:val="22"/>
          <w:szCs w:val="22"/>
          <w:u w:val="single"/>
        </w:rPr>
        <w:t>Attachment A</w:t>
      </w:r>
      <w:r w:rsidR="00C00E5C" w:rsidRPr="00C7270C">
        <w:rPr>
          <w:sz w:val="22"/>
          <w:szCs w:val="22"/>
          <w:u w:val="single"/>
        </w:rPr>
        <w:t>.</w:t>
      </w:r>
    </w:p>
    <w:p w:rsidR="00C00E5C" w:rsidRPr="00C00E5C" w:rsidRDefault="00C00E5C" w:rsidP="00C00E5C">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C00E5C">
        <w:rPr>
          <w:rFonts w:ascii="Arial" w:hAnsi="Arial" w:cs="Arial"/>
          <w:b/>
        </w:rPr>
        <w:t>Consultation</w:t>
      </w:r>
    </w:p>
    <w:p w:rsidR="002D153A" w:rsidRPr="002D153A" w:rsidRDefault="002D153A" w:rsidP="002D153A">
      <w:pPr>
        <w:spacing w:before="200" w:line="240" w:lineRule="auto"/>
        <w:rPr>
          <w:sz w:val="22"/>
          <w:szCs w:val="22"/>
        </w:rPr>
      </w:pPr>
      <w:r w:rsidRPr="002D153A">
        <w:rPr>
          <w:sz w:val="23"/>
          <w:szCs w:val="23"/>
        </w:rPr>
        <w:t>On 30 April 2014 ASIC wrote to Market Operators of the APX, ASX, ASX 24, Chi-X and FEX Markets, the Australian Bankers' Association (ABA), Australian Financial Markets Association (AFMA), the Financial Services Council (FSC) and the Stockbrokers Association of Australia (SAA), seeking feedback on the proposed changes to the market integrity rules to transfer market participant capital requirements into a separate rulebook for each market, and streamline the capital forms. Generally respondents were supportive of the proposal, with a number suggesting that ASIC take additional steps to 'consolidate' the capital rulebooks of the APX, ASX, ASX 24, Chi-X and FEX Markets into a single rulebook. No other significant issues were raised.</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Penalties</w:t>
      </w:r>
    </w:p>
    <w:p w:rsidR="000B4290" w:rsidRPr="00C7270C" w:rsidRDefault="000B4290" w:rsidP="000B4290">
      <w:pPr>
        <w:spacing w:line="240" w:lineRule="auto"/>
        <w:rPr>
          <w:sz w:val="22"/>
          <w:szCs w:val="22"/>
        </w:rPr>
      </w:pPr>
    </w:p>
    <w:p w:rsidR="007C4A84" w:rsidRPr="00020E45" w:rsidRDefault="007C4A84" w:rsidP="000B4290">
      <w:pPr>
        <w:spacing w:line="240" w:lineRule="auto"/>
        <w:rPr>
          <w:sz w:val="23"/>
          <w:szCs w:val="23"/>
        </w:rPr>
      </w:pPr>
      <w:r w:rsidRPr="00020E45">
        <w:rPr>
          <w:sz w:val="23"/>
          <w:szCs w:val="23"/>
        </w:rPr>
        <w:t xml:space="preserve">Subsection </w:t>
      </w:r>
      <w:proofErr w:type="gramStart"/>
      <w:r w:rsidRPr="00020E45">
        <w:rPr>
          <w:sz w:val="23"/>
          <w:szCs w:val="23"/>
        </w:rPr>
        <w:t>798G(</w:t>
      </w:r>
      <w:proofErr w:type="gramEnd"/>
      <w:r w:rsidRPr="00020E45">
        <w:rPr>
          <w:sz w:val="23"/>
          <w:szCs w:val="23"/>
        </w:rPr>
        <w:t xml:space="preserve">2) of the </w:t>
      </w:r>
      <w:r w:rsidR="00AF6DCB" w:rsidRPr="00020E45">
        <w:rPr>
          <w:sz w:val="23"/>
          <w:szCs w:val="23"/>
        </w:rPr>
        <w:t xml:space="preserve">Corporations </w:t>
      </w:r>
      <w:r w:rsidRPr="00020E45">
        <w:rPr>
          <w:sz w:val="23"/>
          <w:szCs w:val="23"/>
        </w:rPr>
        <w:t>Act provides that market integrity rules may include a penalty amount for a rule. A penalty amount must not exceed $1,000,000. Th</w:t>
      </w:r>
      <w:r w:rsidR="0014548C" w:rsidRPr="00020E45">
        <w:rPr>
          <w:sz w:val="23"/>
          <w:szCs w:val="23"/>
        </w:rPr>
        <w:t xml:space="preserve">e penalty amount set out below </w:t>
      </w:r>
      <w:r w:rsidR="00830065" w:rsidRPr="00020E45">
        <w:rPr>
          <w:sz w:val="23"/>
          <w:szCs w:val="23"/>
        </w:rPr>
        <w:t>a</w:t>
      </w:r>
      <w:r w:rsidR="0014548C" w:rsidRPr="00020E45">
        <w:rPr>
          <w:sz w:val="23"/>
          <w:szCs w:val="23"/>
        </w:rPr>
        <w:t xml:space="preserve"> </w:t>
      </w:r>
      <w:r w:rsidR="00AF6DCB" w:rsidRPr="00020E45">
        <w:rPr>
          <w:sz w:val="23"/>
          <w:szCs w:val="23"/>
        </w:rPr>
        <w:t>r</w:t>
      </w:r>
      <w:r w:rsidRPr="00020E45">
        <w:rPr>
          <w:sz w:val="23"/>
          <w:szCs w:val="23"/>
        </w:rPr>
        <w:t xml:space="preserve">ule is the penalty amount for that </w:t>
      </w:r>
      <w:r w:rsidR="00AF6DCB" w:rsidRPr="00020E45">
        <w:rPr>
          <w:sz w:val="23"/>
          <w:szCs w:val="23"/>
        </w:rPr>
        <w:t>r</w:t>
      </w:r>
      <w:r w:rsidRPr="00020E45">
        <w:rPr>
          <w:sz w:val="23"/>
          <w:szCs w:val="23"/>
        </w:rPr>
        <w:t>ule.</w:t>
      </w:r>
      <w:r w:rsidR="000B4290" w:rsidRPr="00020E45">
        <w:rPr>
          <w:sz w:val="23"/>
          <w:szCs w:val="23"/>
        </w:rPr>
        <w:t xml:space="preserve"> The </w:t>
      </w:r>
      <w:r w:rsidR="00BA0406" w:rsidRPr="00020E45">
        <w:rPr>
          <w:sz w:val="23"/>
          <w:szCs w:val="23"/>
        </w:rPr>
        <w:t>ASIC Market Integrity Rules (ASX 24-Capital)</w:t>
      </w:r>
      <w:r w:rsidR="000B4290" w:rsidRPr="00020E45">
        <w:rPr>
          <w:sz w:val="23"/>
          <w:szCs w:val="23"/>
        </w:rPr>
        <w:t xml:space="preserve"> </w:t>
      </w:r>
      <w:r w:rsidR="00C3552C" w:rsidRPr="00020E45">
        <w:rPr>
          <w:sz w:val="23"/>
          <w:szCs w:val="23"/>
        </w:rPr>
        <w:t>maintain</w:t>
      </w:r>
      <w:r w:rsidR="00A9265E" w:rsidRPr="00020E45">
        <w:rPr>
          <w:sz w:val="23"/>
          <w:szCs w:val="23"/>
        </w:rPr>
        <w:t xml:space="preserve"> </w:t>
      </w:r>
      <w:r w:rsidR="00C3552C" w:rsidRPr="00020E45">
        <w:rPr>
          <w:sz w:val="23"/>
          <w:szCs w:val="23"/>
        </w:rPr>
        <w:t>the same</w:t>
      </w:r>
      <w:r w:rsidR="000B4290" w:rsidRPr="00020E45">
        <w:rPr>
          <w:sz w:val="23"/>
          <w:szCs w:val="23"/>
        </w:rPr>
        <w:t xml:space="preserve"> penalties</w:t>
      </w:r>
      <w:r w:rsidR="00C3552C" w:rsidRPr="00020E45">
        <w:rPr>
          <w:sz w:val="23"/>
          <w:szCs w:val="23"/>
        </w:rPr>
        <w:t xml:space="preserve"> that were</w:t>
      </w:r>
      <w:r w:rsidR="000B4290" w:rsidRPr="00020E45">
        <w:rPr>
          <w:sz w:val="23"/>
          <w:szCs w:val="23"/>
        </w:rPr>
        <w:t xml:space="preserve"> payable in relation to</w:t>
      </w:r>
      <w:r w:rsidR="00C3552C" w:rsidRPr="00020E45">
        <w:rPr>
          <w:sz w:val="23"/>
          <w:szCs w:val="23"/>
        </w:rPr>
        <w:t xml:space="preserve"> breaches of</w:t>
      </w:r>
      <w:r w:rsidR="000B4290" w:rsidRPr="00020E45">
        <w:rPr>
          <w:sz w:val="23"/>
          <w:szCs w:val="23"/>
        </w:rPr>
        <w:t xml:space="preserve"> </w:t>
      </w:r>
      <w:r w:rsidR="00C3552C" w:rsidRPr="00020E45">
        <w:rPr>
          <w:sz w:val="23"/>
          <w:szCs w:val="23"/>
        </w:rPr>
        <w:t xml:space="preserve">the capital requirements under </w:t>
      </w:r>
      <w:r w:rsidR="00C3552C" w:rsidRPr="00020E45">
        <w:rPr>
          <w:bCs/>
          <w:sz w:val="23"/>
          <w:szCs w:val="23"/>
        </w:rPr>
        <w:t xml:space="preserve">the </w:t>
      </w:r>
      <w:r w:rsidR="007D0852" w:rsidRPr="00020E45">
        <w:rPr>
          <w:bCs/>
          <w:sz w:val="23"/>
          <w:szCs w:val="23"/>
        </w:rPr>
        <w:t>ASIC Market Integrity Rules (ASX 24)</w:t>
      </w:r>
      <w:r w:rsidR="000B4290" w:rsidRPr="00020E45">
        <w:rPr>
          <w:sz w:val="23"/>
          <w:szCs w:val="23"/>
        </w:rPr>
        <w:t>.</w:t>
      </w:r>
    </w:p>
    <w:p w:rsidR="007C4A84" w:rsidRDefault="00B91F31"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 xml:space="preserve">Commencement of the </w:t>
      </w:r>
      <w:r w:rsidR="00043C6B">
        <w:rPr>
          <w:rFonts w:ascii="Arial" w:hAnsi="Arial" w:cs="Arial"/>
          <w:b/>
        </w:rPr>
        <w:t>Instrument</w:t>
      </w:r>
    </w:p>
    <w:p w:rsidR="00AC5FA9" w:rsidRDefault="00AC5FA9" w:rsidP="007E0E26">
      <w:pPr>
        <w:spacing w:line="240" w:lineRule="auto"/>
        <w:rPr>
          <w:sz w:val="23"/>
          <w:szCs w:val="23"/>
        </w:rPr>
      </w:pPr>
    </w:p>
    <w:p w:rsidR="007E0E26" w:rsidRPr="00202163" w:rsidRDefault="00AC5FA9" w:rsidP="007E0E26">
      <w:pPr>
        <w:spacing w:line="240" w:lineRule="auto"/>
        <w:rPr>
          <w:sz w:val="23"/>
          <w:szCs w:val="23"/>
        </w:rPr>
      </w:pPr>
      <w:r w:rsidRPr="00202163">
        <w:rPr>
          <w:sz w:val="23"/>
          <w:szCs w:val="23"/>
        </w:rPr>
        <w:t xml:space="preserve">The </w:t>
      </w:r>
      <w:r w:rsidR="00390F96" w:rsidRPr="00020E45">
        <w:rPr>
          <w:sz w:val="23"/>
          <w:szCs w:val="23"/>
        </w:rPr>
        <w:t xml:space="preserve">ASIC Market Integrity Rules (ASX 24-Capital) </w:t>
      </w:r>
      <w:r w:rsidRPr="00202163">
        <w:rPr>
          <w:sz w:val="23"/>
          <w:szCs w:val="23"/>
        </w:rPr>
        <w:t>will commence on the later of 26 May 2014 and the day</w:t>
      </w:r>
      <w:r w:rsidR="00390F96">
        <w:rPr>
          <w:sz w:val="23"/>
          <w:szCs w:val="23"/>
        </w:rPr>
        <w:t xml:space="preserve"> on which</w:t>
      </w:r>
      <w:r w:rsidRPr="00202163">
        <w:rPr>
          <w:sz w:val="23"/>
          <w:szCs w:val="23"/>
        </w:rPr>
        <w:t xml:space="preserve"> the </w:t>
      </w:r>
      <w:r w:rsidR="000B496C" w:rsidRPr="00020E45">
        <w:rPr>
          <w:sz w:val="23"/>
          <w:szCs w:val="23"/>
        </w:rPr>
        <w:t xml:space="preserve">ASIC Market Integrity Rules (ASX 24-Capital) </w:t>
      </w:r>
      <w:r w:rsidR="000B496C">
        <w:rPr>
          <w:sz w:val="23"/>
          <w:szCs w:val="23"/>
        </w:rPr>
        <w:t>are</w:t>
      </w:r>
      <w:r w:rsidRPr="00202163">
        <w:rPr>
          <w:sz w:val="23"/>
          <w:szCs w:val="23"/>
        </w:rPr>
        <w:t xml:space="preserve"> registered under the </w:t>
      </w:r>
      <w:r w:rsidRPr="00202163">
        <w:rPr>
          <w:i/>
          <w:sz w:val="23"/>
          <w:szCs w:val="23"/>
        </w:rPr>
        <w:t>Legislative Instruments Act 2003</w:t>
      </w:r>
      <w:r w:rsidRPr="00202163">
        <w:rPr>
          <w:sz w:val="23"/>
          <w:szCs w:val="23"/>
        </w:rPr>
        <w:t>.</w:t>
      </w:r>
      <w:r w:rsidR="00C7270C" w:rsidRPr="00202163">
        <w:rPr>
          <w:sz w:val="23"/>
          <w:szCs w:val="23"/>
        </w:rPr>
        <w:t xml:space="preserve"> </w:t>
      </w:r>
    </w:p>
    <w:p w:rsidR="005C4A7E" w:rsidRDefault="00342545"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 xml:space="preserve">Statement of Compatibility with Human Rights </w:t>
      </w:r>
    </w:p>
    <w:p w:rsidR="00D819F2" w:rsidRDefault="00D819F2" w:rsidP="00D819F2">
      <w:pPr>
        <w:spacing w:line="240" w:lineRule="auto"/>
        <w:rPr>
          <w:sz w:val="23"/>
          <w:szCs w:val="23"/>
        </w:rPr>
      </w:pPr>
    </w:p>
    <w:p w:rsidR="00126A7F" w:rsidRPr="00202163" w:rsidRDefault="00126A7F" w:rsidP="00D819F2">
      <w:pPr>
        <w:spacing w:line="240" w:lineRule="auto"/>
        <w:rPr>
          <w:sz w:val="23"/>
          <w:szCs w:val="23"/>
        </w:rPr>
      </w:pPr>
      <w:r w:rsidRPr="00202163">
        <w:rPr>
          <w:sz w:val="23"/>
          <w:szCs w:val="23"/>
        </w:rPr>
        <w:t xml:space="preserve">A Statement of Compatibility with Human Rights is included in this Explanatory Statement at </w:t>
      </w:r>
      <w:r w:rsidRPr="00202163">
        <w:rPr>
          <w:b/>
          <w:sz w:val="23"/>
          <w:szCs w:val="23"/>
          <w:u w:val="single"/>
        </w:rPr>
        <w:t>Attachment B</w:t>
      </w:r>
      <w:r w:rsidRPr="00202163">
        <w:rPr>
          <w:sz w:val="23"/>
          <w:szCs w:val="23"/>
          <w:u w:val="single"/>
        </w:rPr>
        <w:t>.</w:t>
      </w:r>
    </w:p>
    <w:p w:rsidR="00A47CDC" w:rsidRPr="00A47CDC" w:rsidRDefault="002C29A7" w:rsidP="00A47CDC">
      <w:pPr>
        <w:widowControl/>
        <w:overflowPunct w:val="0"/>
        <w:adjustRightInd/>
        <w:spacing w:before="360" w:after="60" w:line="240" w:lineRule="auto"/>
        <w:ind w:left="357" w:hanging="357"/>
        <w:jc w:val="left"/>
        <w:textAlignment w:val="auto"/>
        <w:rPr>
          <w:lang w:eastAsia="en-AU"/>
        </w:rPr>
      </w:pPr>
      <w:r>
        <w:rPr>
          <w:rFonts w:ascii="Arial" w:hAnsi="Arial" w:cs="Arial"/>
          <w:b/>
          <w:bCs/>
          <w:lang w:eastAsia="en-AU"/>
        </w:rPr>
        <w:t>8</w:t>
      </w:r>
      <w:r w:rsidR="00A47CDC" w:rsidRPr="00A47CDC">
        <w:rPr>
          <w:rFonts w:ascii="Arial" w:hAnsi="Arial" w:cs="Arial"/>
          <w:b/>
          <w:bCs/>
          <w:lang w:eastAsia="en-AU"/>
        </w:rPr>
        <w:t>.</w:t>
      </w:r>
      <w:r w:rsidR="00A47CDC" w:rsidRPr="00A47CDC">
        <w:rPr>
          <w:b/>
          <w:bCs/>
          <w:sz w:val="14"/>
          <w:szCs w:val="14"/>
          <w:lang w:eastAsia="en-AU"/>
        </w:rPr>
        <w:t xml:space="preserve">    </w:t>
      </w:r>
      <w:r w:rsidR="00A47CDC" w:rsidRPr="00A47CDC">
        <w:rPr>
          <w:rFonts w:ascii="Arial" w:hAnsi="Arial" w:cs="Arial"/>
          <w:b/>
          <w:bCs/>
          <w:lang w:eastAsia="en-AU"/>
        </w:rPr>
        <w:t>Regulation Impact Statement</w:t>
      </w:r>
    </w:p>
    <w:p w:rsidR="00CC55CB" w:rsidRDefault="00CC55CB" w:rsidP="00CC55CB">
      <w:pPr>
        <w:widowControl/>
        <w:adjustRightInd/>
        <w:spacing w:line="240" w:lineRule="auto"/>
        <w:textAlignment w:val="auto"/>
        <w:rPr>
          <w:sz w:val="23"/>
          <w:szCs w:val="23"/>
          <w:lang w:eastAsia="en-AU"/>
        </w:rPr>
      </w:pPr>
    </w:p>
    <w:p w:rsidR="00A47CDC" w:rsidRPr="00202163" w:rsidRDefault="002738C2" w:rsidP="00CC55CB">
      <w:pPr>
        <w:widowControl/>
        <w:adjustRightInd/>
        <w:spacing w:line="240" w:lineRule="auto"/>
        <w:textAlignment w:val="auto"/>
        <w:rPr>
          <w:sz w:val="23"/>
          <w:szCs w:val="23"/>
          <w:lang w:eastAsia="en-AU"/>
        </w:rPr>
      </w:pPr>
      <w:r w:rsidRPr="00202163">
        <w:rPr>
          <w:sz w:val="23"/>
          <w:szCs w:val="23"/>
          <w:lang w:eastAsia="en-AU"/>
        </w:rPr>
        <w:t xml:space="preserve">A Regulation Impact Statement was not required for </w:t>
      </w:r>
      <w:r w:rsidR="002F6B08">
        <w:rPr>
          <w:sz w:val="23"/>
          <w:szCs w:val="23"/>
          <w:lang w:eastAsia="en-AU"/>
        </w:rPr>
        <w:t xml:space="preserve">the </w:t>
      </w:r>
      <w:r w:rsidR="002F6B08" w:rsidRPr="00020E45">
        <w:rPr>
          <w:sz w:val="23"/>
          <w:szCs w:val="23"/>
        </w:rPr>
        <w:t xml:space="preserve">ASIC Market Integrity Rules (ASX 24-Capital) </w:t>
      </w:r>
      <w:r w:rsidRPr="00202163">
        <w:rPr>
          <w:sz w:val="23"/>
          <w:szCs w:val="23"/>
          <w:lang w:eastAsia="en-AU"/>
        </w:rPr>
        <w:t xml:space="preserve">as </w:t>
      </w:r>
      <w:r w:rsidR="002F6B08">
        <w:rPr>
          <w:sz w:val="23"/>
          <w:szCs w:val="23"/>
          <w:lang w:eastAsia="en-AU"/>
        </w:rPr>
        <w:t>they are</w:t>
      </w:r>
      <w:r w:rsidRPr="00202163">
        <w:rPr>
          <w:sz w:val="23"/>
          <w:szCs w:val="23"/>
          <w:lang w:eastAsia="en-AU"/>
        </w:rPr>
        <w:t xml:space="preserve"> minor or machinery in nature and do not substantially alter the existing requirements for </w:t>
      </w:r>
      <w:r w:rsidR="00BF5E4D" w:rsidRPr="00202163">
        <w:rPr>
          <w:sz w:val="23"/>
          <w:szCs w:val="23"/>
          <w:lang w:eastAsia="en-AU"/>
        </w:rPr>
        <w:t xml:space="preserve">Market </w:t>
      </w:r>
      <w:r w:rsidRPr="00202163">
        <w:rPr>
          <w:sz w:val="23"/>
          <w:szCs w:val="23"/>
          <w:lang w:eastAsia="en-AU"/>
        </w:rPr>
        <w:t>Participants.</w:t>
      </w:r>
    </w:p>
    <w:p w:rsidR="00977764" w:rsidRPr="005A1416" w:rsidRDefault="00A47CDC" w:rsidP="004A3CCF">
      <w:pPr>
        <w:spacing w:before="200" w:line="300" w:lineRule="atLeast"/>
        <w:jc w:val="left"/>
        <w:rPr>
          <w:b/>
          <w:sz w:val="22"/>
          <w:szCs w:val="22"/>
          <w:u w:val="single"/>
        </w:rPr>
      </w:pPr>
      <w:r w:rsidRPr="00A47CDC">
        <w:rPr>
          <w:b/>
          <w:bCs/>
          <w:sz w:val="23"/>
          <w:szCs w:val="23"/>
          <w:lang w:eastAsia="en-AU"/>
        </w:rPr>
        <w:br w:type="page"/>
      </w:r>
      <w:r w:rsidR="00403263" w:rsidRPr="005A1416">
        <w:rPr>
          <w:b/>
          <w:sz w:val="22"/>
          <w:szCs w:val="22"/>
          <w:u w:val="single"/>
        </w:rPr>
        <w:t>ATTACHMENT</w:t>
      </w:r>
      <w:r w:rsidR="008A1F40" w:rsidRPr="005A1416">
        <w:rPr>
          <w:b/>
          <w:sz w:val="22"/>
          <w:szCs w:val="22"/>
          <w:u w:val="single"/>
        </w:rPr>
        <w:t xml:space="preserve"> A</w:t>
      </w:r>
    </w:p>
    <w:p w:rsidR="00044112" w:rsidRPr="005A1416" w:rsidRDefault="00044112" w:rsidP="00783568">
      <w:pPr>
        <w:spacing w:before="200" w:line="300" w:lineRule="atLeast"/>
        <w:rPr>
          <w:sz w:val="22"/>
          <w:szCs w:val="22"/>
          <w:u w:val="single"/>
        </w:rPr>
      </w:pPr>
      <w:r w:rsidRPr="005A1416">
        <w:rPr>
          <w:sz w:val="22"/>
          <w:szCs w:val="22"/>
          <w:u w:val="single"/>
        </w:rPr>
        <w:t>Chapter 1: Introduction</w:t>
      </w:r>
    </w:p>
    <w:p w:rsidR="00044112" w:rsidRPr="005A1416" w:rsidRDefault="00044112" w:rsidP="00783568">
      <w:pPr>
        <w:spacing w:before="200" w:line="300" w:lineRule="atLeast"/>
        <w:rPr>
          <w:sz w:val="22"/>
          <w:szCs w:val="22"/>
          <w:u w:val="single"/>
        </w:rPr>
      </w:pPr>
      <w:r w:rsidRPr="005A1416">
        <w:rPr>
          <w:sz w:val="22"/>
          <w:szCs w:val="22"/>
          <w:u w:val="single"/>
        </w:rPr>
        <w:t xml:space="preserve">Part 1.1: Preliminary </w:t>
      </w:r>
    </w:p>
    <w:p w:rsidR="00D4510C" w:rsidRPr="005A1416" w:rsidRDefault="00D4510C" w:rsidP="00D4510C">
      <w:pPr>
        <w:spacing w:line="240" w:lineRule="auto"/>
        <w:rPr>
          <w:sz w:val="22"/>
          <w:szCs w:val="22"/>
        </w:rPr>
      </w:pPr>
    </w:p>
    <w:p w:rsidR="00583560" w:rsidRPr="001C5C70" w:rsidRDefault="001E3B14" w:rsidP="00291697">
      <w:pPr>
        <w:spacing w:line="240" w:lineRule="auto"/>
        <w:rPr>
          <w:bCs/>
          <w:sz w:val="23"/>
          <w:szCs w:val="23"/>
        </w:rPr>
      </w:pPr>
      <w:r w:rsidRPr="001C5C70">
        <w:rPr>
          <w:sz w:val="23"/>
          <w:szCs w:val="23"/>
        </w:rPr>
        <w:t xml:space="preserve">Part 1.1 of </w:t>
      </w:r>
      <w:r w:rsidR="00AD08BC" w:rsidRPr="001C5C70">
        <w:rPr>
          <w:sz w:val="23"/>
          <w:szCs w:val="23"/>
        </w:rPr>
        <w:t xml:space="preserve">the </w:t>
      </w:r>
      <w:r w:rsidR="00431B51" w:rsidRPr="001C5C70">
        <w:rPr>
          <w:sz w:val="23"/>
          <w:szCs w:val="23"/>
        </w:rPr>
        <w:t xml:space="preserve">ASIC Market Integrity Rules (ASX 24-Capital) </w:t>
      </w:r>
      <w:r w:rsidR="004F0D60" w:rsidRPr="001C5C70">
        <w:rPr>
          <w:sz w:val="23"/>
          <w:szCs w:val="23"/>
        </w:rPr>
        <w:t xml:space="preserve">reflects Part 1.1 of the ASIC Market Integrity Rules (ASX 24). </w:t>
      </w:r>
      <w:r w:rsidRPr="001C5C70">
        <w:rPr>
          <w:sz w:val="23"/>
          <w:szCs w:val="23"/>
        </w:rPr>
        <w:t xml:space="preserve"> </w:t>
      </w:r>
      <w:r w:rsidR="008A079C" w:rsidRPr="001C5C70">
        <w:rPr>
          <w:sz w:val="23"/>
          <w:szCs w:val="23"/>
        </w:rPr>
        <w:t>ASIC makes the rules under</w:t>
      </w:r>
      <w:r w:rsidR="00A37978" w:rsidRPr="001C5C70">
        <w:rPr>
          <w:sz w:val="23"/>
          <w:szCs w:val="23"/>
        </w:rPr>
        <w:t xml:space="preserve"> </w:t>
      </w:r>
      <w:r w:rsidR="00C57866" w:rsidRPr="001C5C70">
        <w:rPr>
          <w:sz w:val="23"/>
          <w:szCs w:val="23"/>
        </w:rPr>
        <w:t xml:space="preserve">subsection </w:t>
      </w:r>
      <w:proofErr w:type="gramStart"/>
      <w:r w:rsidR="00C57866" w:rsidRPr="001C5C70">
        <w:rPr>
          <w:sz w:val="23"/>
          <w:szCs w:val="23"/>
        </w:rPr>
        <w:t>798G(</w:t>
      </w:r>
      <w:proofErr w:type="gramEnd"/>
      <w:r w:rsidR="00C57866" w:rsidRPr="001C5C70">
        <w:rPr>
          <w:sz w:val="23"/>
          <w:szCs w:val="23"/>
        </w:rPr>
        <w:t>1) of the</w:t>
      </w:r>
      <w:r w:rsidR="005E5895" w:rsidRPr="001C5C70">
        <w:rPr>
          <w:sz w:val="23"/>
          <w:szCs w:val="23"/>
        </w:rPr>
        <w:t xml:space="preserve"> Corporations Act</w:t>
      </w:r>
      <w:r w:rsidR="00A37978" w:rsidRPr="001C5C70">
        <w:rPr>
          <w:sz w:val="23"/>
          <w:szCs w:val="23"/>
        </w:rPr>
        <w:t xml:space="preserve"> (Rule 1.1.1)</w:t>
      </w:r>
      <w:r w:rsidR="00C57866" w:rsidRPr="001C5C70">
        <w:rPr>
          <w:i/>
          <w:sz w:val="23"/>
          <w:szCs w:val="23"/>
        </w:rPr>
        <w:t>.</w:t>
      </w:r>
      <w:r w:rsidR="00A37978" w:rsidRPr="001C5C70">
        <w:rPr>
          <w:i/>
          <w:sz w:val="23"/>
          <w:szCs w:val="23"/>
        </w:rPr>
        <w:t xml:space="preserve"> </w:t>
      </w:r>
      <w:r w:rsidR="00A37978" w:rsidRPr="001C5C70">
        <w:rPr>
          <w:sz w:val="23"/>
          <w:szCs w:val="23"/>
        </w:rPr>
        <w:t xml:space="preserve">The title of the rules is the </w:t>
      </w:r>
      <w:r w:rsidR="00E9476C" w:rsidRPr="001C5C70">
        <w:rPr>
          <w:i/>
          <w:sz w:val="23"/>
          <w:szCs w:val="23"/>
        </w:rPr>
        <w:t>ASIC Market Integrity Rules (</w:t>
      </w:r>
      <w:r w:rsidR="007D0852" w:rsidRPr="001C5C70">
        <w:rPr>
          <w:i/>
          <w:sz w:val="23"/>
          <w:szCs w:val="23"/>
        </w:rPr>
        <w:t>ASX 24 Market</w:t>
      </w:r>
      <w:r w:rsidR="00E9476C" w:rsidRPr="001C5C70">
        <w:rPr>
          <w:i/>
          <w:sz w:val="23"/>
          <w:szCs w:val="23"/>
        </w:rPr>
        <w:t>-Capital) 2014</w:t>
      </w:r>
      <w:r w:rsidR="00054670" w:rsidRPr="001C5C70">
        <w:rPr>
          <w:sz w:val="23"/>
          <w:szCs w:val="23"/>
        </w:rPr>
        <w:t xml:space="preserve"> (Rule 1.1.2)</w:t>
      </w:r>
      <w:r w:rsidR="00C57866" w:rsidRPr="001C5C70">
        <w:rPr>
          <w:sz w:val="23"/>
          <w:szCs w:val="23"/>
        </w:rPr>
        <w:t>.</w:t>
      </w:r>
      <w:r w:rsidR="0034100F" w:rsidRPr="001C5C70">
        <w:rPr>
          <w:sz w:val="23"/>
          <w:szCs w:val="23"/>
        </w:rPr>
        <w:t xml:space="preserve"> </w:t>
      </w:r>
      <w:r w:rsidR="00E9476C" w:rsidRPr="001C5C70">
        <w:rPr>
          <w:sz w:val="23"/>
          <w:szCs w:val="23"/>
        </w:rPr>
        <w:t>Th</w:t>
      </w:r>
      <w:r w:rsidR="00054670" w:rsidRPr="001C5C70">
        <w:rPr>
          <w:sz w:val="23"/>
          <w:szCs w:val="23"/>
        </w:rPr>
        <w:t>e</w:t>
      </w:r>
      <w:r w:rsidR="00E9476C" w:rsidRPr="001C5C70">
        <w:rPr>
          <w:sz w:val="23"/>
          <w:szCs w:val="23"/>
        </w:rPr>
        <w:t xml:space="preserve"> rule</w:t>
      </w:r>
      <w:r w:rsidR="00054670" w:rsidRPr="001C5C70">
        <w:rPr>
          <w:sz w:val="23"/>
          <w:szCs w:val="23"/>
        </w:rPr>
        <w:t>s</w:t>
      </w:r>
      <w:r w:rsidR="00E9476C" w:rsidRPr="001C5C70">
        <w:rPr>
          <w:sz w:val="23"/>
          <w:szCs w:val="23"/>
        </w:rPr>
        <w:t xml:space="preserve"> </w:t>
      </w:r>
      <w:r w:rsidR="00054670" w:rsidRPr="001C5C70">
        <w:rPr>
          <w:sz w:val="23"/>
          <w:szCs w:val="23"/>
        </w:rPr>
        <w:t xml:space="preserve">will </w:t>
      </w:r>
      <w:r w:rsidR="008048A3" w:rsidRPr="001C5C70">
        <w:rPr>
          <w:sz w:val="23"/>
          <w:szCs w:val="23"/>
        </w:rPr>
        <w:t xml:space="preserve">commence on the later of </w:t>
      </w:r>
      <w:r w:rsidR="00E9476C" w:rsidRPr="001C5C70">
        <w:rPr>
          <w:sz w:val="23"/>
          <w:szCs w:val="23"/>
        </w:rPr>
        <w:t>26 May 2014 and</w:t>
      </w:r>
      <w:r w:rsidR="008048A3" w:rsidRPr="001C5C70">
        <w:rPr>
          <w:sz w:val="23"/>
          <w:szCs w:val="23"/>
        </w:rPr>
        <w:t xml:space="preserve"> </w:t>
      </w:r>
      <w:r w:rsidR="00E9476C" w:rsidRPr="001C5C70">
        <w:rPr>
          <w:sz w:val="23"/>
          <w:szCs w:val="23"/>
        </w:rPr>
        <w:t xml:space="preserve">the day the instrument is registered under the </w:t>
      </w:r>
      <w:r w:rsidR="00E9476C" w:rsidRPr="001C5C70">
        <w:rPr>
          <w:i/>
          <w:sz w:val="23"/>
          <w:szCs w:val="23"/>
        </w:rPr>
        <w:t>Legislative Instruments Act 2003</w:t>
      </w:r>
      <w:r w:rsidR="00054670" w:rsidRPr="001C5C70">
        <w:rPr>
          <w:sz w:val="23"/>
          <w:szCs w:val="23"/>
        </w:rPr>
        <w:t xml:space="preserve"> (Rule 1.1.3)</w:t>
      </w:r>
      <w:r w:rsidR="00E9476C" w:rsidRPr="001C5C70">
        <w:rPr>
          <w:sz w:val="23"/>
          <w:szCs w:val="23"/>
        </w:rPr>
        <w:t xml:space="preserve">. </w:t>
      </w:r>
    </w:p>
    <w:p w:rsidR="00D4510C" w:rsidRPr="001C5C70" w:rsidRDefault="00D4510C" w:rsidP="00291697">
      <w:pPr>
        <w:spacing w:line="240" w:lineRule="auto"/>
        <w:rPr>
          <w:sz w:val="23"/>
          <w:szCs w:val="23"/>
        </w:rPr>
      </w:pPr>
    </w:p>
    <w:p w:rsidR="00E22130" w:rsidRPr="001C5C70" w:rsidRDefault="00C57866" w:rsidP="001C5C70">
      <w:pPr>
        <w:spacing w:line="240" w:lineRule="auto"/>
        <w:rPr>
          <w:sz w:val="23"/>
          <w:szCs w:val="23"/>
        </w:rPr>
      </w:pPr>
      <w:r w:rsidRPr="001C5C70">
        <w:rPr>
          <w:sz w:val="23"/>
          <w:szCs w:val="23"/>
        </w:rPr>
        <w:t>Th</w:t>
      </w:r>
      <w:r w:rsidR="007E5442" w:rsidRPr="001C5C70">
        <w:rPr>
          <w:sz w:val="23"/>
          <w:szCs w:val="23"/>
        </w:rPr>
        <w:t>e</w:t>
      </w:r>
      <w:r w:rsidRPr="001C5C70">
        <w:rPr>
          <w:sz w:val="23"/>
          <w:szCs w:val="23"/>
        </w:rPr>
        <w:t xml:space="preserve"> </w:t>
      </w:r>
      <w:r w:rsidR="00075D21" w:rsidRPr="001C5C70">
        <w:rPr>
          <w:sz w:val="23"/>
          <w:szCs w:val="23"/>
        </w:rPr>
        <w:t xml:space="preserve">ASIC Market Integrity Rules (ASX 24-Capital) </w:t>
      </w:r>
      <w:r w:rsidR="00A12042" w:rsidRPr="001C5C70">
        <w:rPr>
          <w:sz w:val="23"/>
          <w:szCs w:val="23"/>
        </w:rPr>
        <w:t>a</w:t>
      </w:r>
      <w:r w:rsidR="001D6835" w:rsidRPr="001C5C70">
        <w:rPr>
          <w:sz w:val="23"/>
          <w:szCs w:val="23"/>
        </w:rPr>
        <w:t xml:space="preserve">pply to the activities and conduct of the </w:t>
      </w:r>
      <w:r w:rsidR="007D0852" w:rsidRPr="001C5C70">
        <w:rPr>
          <w:sz w:val="23"/>
          <w:szCs w:val="23"/>
        </w:rPr>
        <w:t>ASX 24 Market</w:t>
      </w:r>
      <w:r w:rsidR="001D6835" w:rsidRPr="001C5C70">
        <w:rPr>
          <w:sz w:val="23"/>
          <w:szCs w:val="23"/>
        </w:rPr>
        <w:t xml:space="preserve">, and of persons in relation to the </w:t>
      </w:r>
      <w:r w:rsidR="007D0852" w:rsidRPr="001C5C70">
        <w:rPr>
          <w:sz w:val="23"/>
          <w:szCs w:val="23"/>
        </w:rPr>
        <w:t>ASX 24 Market</w:t>
      </w:r>
      <w:r w:rsidR="001D6835" w:rsidRPr="001C5C70">
        <w:rPr>
          <w:sz w:val="23"/>
          <w:szCs w:val="23"/>
        </w:rPr>
        <w:t xml:space="preserve"> and in relation to Financial Products</w:t>
      </w:r>
      <w:r w:rsidR="00C823FE" w:rsidRPr="001C5C70">
        <w:rPr>
          <w:sz w:val="23"/>
          <w:szCs w:val="23"/>
        </w:rPr>
        <w:t xml:space="preserve"> traded on the </w:t>
      </w:r>
      <w:r w:rsidR="007D0852" w:rsidRPr="001C5C70">
        <w:rPr>
          <w:sz w:val="23"/>
          <w:szCs w:val="23"/>
        </w:rPr>
        <w:t>ASX 24 Market</w:t>
      </w:r>
      <w:r w:rsidR="00A12042" w:rsidRPr="001C5C70">
        <w:rPr>
          <w:sz w:val="23"/>
          <w:szCs w:val="23"/>
        </w:rPr>
        <w:t xml:space="preserve"> (Rule 1.1.4). The Market Operator, Market Participants, and </w:t>
      </w:r>
      <w:r w:rsidR="009B136C">
        <w:rPr>
          <w:sz w:val="23"/>
          <w:szCs w:val="23"/>
        </w:rPr>
        <w:t>any other</w:t>
      </w:r>
      <w:r w:rsidR="00FC63CF" w:rsidRPr="001C5C70">
        <w:rPr>
          <w:sz w:val="23"/>
          <w:szCs w:val="23"/>
        </w:rPr>
        <w:t xml:space="preserve"> entities </w:t>
      </w:r>
      <w:r w:rsidR="00286C7C" w:rsidRPr="001C5C70">
        <w:rPr>
          <w:sz w:val="23"/>
          <w:szCs w:val="23"/>
        </w:rPr>
        <w:t xml:space="preserve">prescribed </w:t>
      </w:r>
      <w:r w:rsidR="00FC63CF" w:rsidRPr="001C5C70">
        <w:rPr>
          <w:sz w:val="23"/>
          <w:szCs w:val="23"/>
        </w:rPr>
        <w:t xml:space="preserve">by regulations made under section 798H of the Corporations Act </w:t>
      </w:r>
      <w:r w:rsidR="00286C7C" w:rsidRPr="001C5C70">
        <w:rPr>
          <w:sz w:val="23"/>
          <w:szCs w:val="23"/>
        </w:rPr>
        <w:t xml:space="preserve">as being required </w:t>
      </w:r>
      <w:r w:rsidR="00FC63CF" w:rsidRPr="001C5C70">
        <w:rPr>
          <w:sz w:val="23"/>
          <w:szCs w:val="23"/>
        </w:rPr>
        <w:t xml:space="preserve">to comply with the market integrity rules must comply with the </w:t>
      </w:r>
      <w:r w:rsidR="007E5442" w:rsidRPr="001C5C70">
        <w:rPr>
          <w:sz w:val="23"/>
          <w:szCs w:val="23"/>
        </w:rPr>
        <w:t>r</w:t>
      </w:r>
      <w:r w:rsidR="00FC63CF" w:rsidRPr="001C5C70">
        <w:rPr>
          <w:sz w:val="23"/>
          <w:szCs w:val="23"/>
        </w:rPr>
        <w:t xml:space="preserve">ules as specified in the </w:t>
      </w:r>
      <w:r w:rsidR="007E5442" w:rsidRPr="001C5C70">
        <w:rPr>
          <w:sz w:val="23"/>
          <w:szCs w:val="23"/>
        </w:rPr>
        <w:t>r</w:t>
      </w:r>
      <w:r w:rsidR="00FC63CF" w:rsidRPr="001C5C70">
        <w:rPr>
          <w:sz w:val="23"/>
          <w:szCs w:val="23"/>
        </w:rPr>
        <w:t>ules</w:t>
      </w:r>
      <w:r w:rsidR="00A12042" w:rsidRPr="001C5C70">
        <w:rPr>
          <w:sz w:val="23"/>
          <w:szCs w:val="23"/>
        </w:rPr>
        <w:t xml:space="preserve"> (Rule 1.1.5)</w:t>
      </w:r>
      <w:r w:rsidR="00FC63CF" w:rsidRPr="001C5C70">
        <w:rPr>
          <w:sz w:val="23"/>
          <w:szCs w:val="23"/>
        </w:rPr>
        <w:t xml:space="preserve">. </w:t>
      </w:r>
    </w:p>
    <w:p w:rsidR="00D4510C" w:rsidRPr="001C5C70" w:rsidRDefault="00D4510C" w:rsidP="001C5C70">
      <w:pPr>
        <w:widowControl/>
        <w:adjustRightInd/>
        <w:spacing w:line="240" w:lineRule="auto"/>
        <w:textAlignment w:val="auto"/>
        <w:rPr>
          <w:sz w:val="23"/>
          <w:szCs w:val="23"/>
          <w:lang w:eastAsia="en-AU"/>
        </w:rPr>
      </w:pPr>
    </w:p>
    <w:p w:rsidR="0054706E" w:rsidRDefault="000C0B17" w:rsidP="001C5C70">
      <w:pPr>
        <w:widowControl/>
        <w:adjustRightInd/>
        <w:spacing w:line="240" w:lineRule="auto"/>
        <w:textAlignment w:val="auto"/>
        <w:rPr>
          <w:sz w:val="23"/>
          <w:szCs w:val="23"/>
          <w:lang w:eastAsia="en-AU"/>
        </w:rPr>
      </w:pPr>
      <w:r w:rsidRPr="001C5C70">
        <w:rPr>
          <w:sz w:val="23"/>
          <w:szCs w:val="23"/>
          <w:lang w:eastAsia="en-AU"/>
        </w:rPr>
        <w:t xml:space="preserve">Under the </w:t>
      </w:r>
      <w:r w:rsidR="00E6409E" w:rsidRPr="001C5C70">
        <w:rPr>
          <w:sz w:val="23"/>
          <w:szCs w:val="23"/>
        </w:rPr>
        <w:t>ASIC Market Integrity Rules (ASX 24-Capital)</w:t>
      </w:r>
      <w:r w:rsidR="00E6409E">
        <w:rPr>
          <w:sz w:val="23"/>
          <w:szCs w:val="23"/>
        </w:rPr>
        <w:t>,</w:t>
      </w:r>
      <w:r w:rsidR="00E6409E" w:rsidRPr="001C5C70">
        <w:rPr>
          <w:sz w:val="23"/>
          <w:szCs w:val="23"/>
        </w:rPr>
        <w:t xml:space="preserve"> </w:t>
      </w:r>
      <w:r w:rsidR="001E1F64" w:rsidRPr="001C5C70">
        <w:rPr>
          <w:sz w:val="23"/>
          <w:szCs w:val="23"/>
          <w:lang w:eastAsia="en-AU"/>
        </w:rPr>
        <w:t>conduct engaged in on behalf of a person by officers, Employees or other agents of the person</w:t>
      </w:r>
      <w:r w:rsidR="0076196D" w:rsidRPr="001C5C70">
        <w:rPr>
          <w:sz w:val="23"/>
          <w:szCs w:val="23"/>
        </w:rPr>
        <w:t>,</w:t>
      </w:r>
      <w:r w:rsidR="00711027" w:rsidRPr="001C5C70">
        <w:rPr>
          <w:sz w:val="23"/>
          <w:szCs w:val="23"/>
        </w:rPr>
        <w:t xml:space="preserve"> or by any other person at the direction or with the consent or agreement (whether express or implied) of an officer, Employee or agent of the person, </w:t>
      </w:r>
      <w:r w:rsidR="001E1F64" w:rsidRPr="001C5C70">
        <w:rPr>
          <w:sz w:val="23"/>
          <w:szCs w:val="23"/>
          <w:lang w:eastAsia="en-AU"/>
        </w:rPr>
        <w:t>is deemed to have been engaged in by the person</w:t>
      </w:r>
      <w:r w:rsidR="00BA24B5" w:rsidRPr="001C5C70">
        <w:rPr>
          <w:sz w:val="23"/>
          <w:szCs w:val="23"/>
          <w:lang w:eastAsia="en-AU"/>
        </w:rPr>
        <w:t xml:space="preserve"> (Rule 1.1.6)</w:t>
      </w:r>
      <w:r w:rsidR="001E1F64" w:rsidRPr="001C5C70">
        <w:rPr>
          <w:sz w:val="23"/>
          <w:szCs w:val="23"/>
          <w:lang w:eastAsia="en-AU"/>
        </w:rPr>
        <w:t>.</w:t>
      </w:r>
      <w:r w:rsidR="00232C49">
        <w:rPr>
          <w:sz w:val="23"/>
          <w:szCs w:val="23"/>
          <w:lang w:eastAsia="en-AU"/>
        </w:rPr>
        <w:t xml:space="preserve"> </w:t>
      </w:r>
      <w:r w:rsidR="004A5012" w:rsidRPr="00902514">
        <w:rPr>
          <w:sz w:val="23"/>
          <w:szCs w:val="23"/>
          <w:lang w:eastAsia="en-AU"/>
        </w:rPr>
        <w:t>Where</w:t>
      </w:r>
      <w:r w:rsidR="004A5012">
        <w:rPr>
          <w:sz w:val="23"/>
          <w:szCs w:val="23"/>
          <w:lang w:eastAsia="en-AU"/>
        </w:rPr>
        <w:t xml:space="preserve"> it</w:t>
      </w:r>
      <w:r w:rsidR="004A5012" w:rsidRPr="00902514">
        <w:rPr>
          <w:sz w:val="23"/>
          <w:szCs w:val="23"/>
          <w:lang w:eastAsia="en-AU"/>
        </w:rPr>
        <w:t xml:space="preserve"> is necessary to establish the state of mind of a person for the purposes of the rules in respect of conduct engaged in by the person, it is sufficient to show that an officer, Employee or other agent of the person by whom the conduct was engaged in, had that state of mind </w:t>
      </w:r>
      <w:r w:rsidR="00CF45F7" w:rsidRPr="001C5C70">
        <w:rPr>
          <w:sz w:val="23"/>
          <w:szCs w:val="23"/>
          <w:lang w:eastAsia="en-AU"/>
        </w:rPr>
        <w:t>(Rule 1.1.7)</w:t>
      </w:r>
      <w:r w:rsidR="001E1F64" w:rsidRPr="001C5C70">
        <w:rPr>
          <w:sz w:val="23"/>
          <w:szCs w:val="23"/>
          <w:lang w:eastAsia="en-AU"/>
        </w:rPr>
        <w:t>.</w:t>
      </w:r>
    </w:p>
    <w:p w:rsidR="004A5012" w:rsidRPr="001C5C70" w:rsidRDefault="004A5012" w:rsidP="001C5C70">
      <w:pPr>
        <w:widowControl/>
        <w:adjustRightInd/>
        <w:spacing w:line="240" w:lineRule="auto"/>
        <w:textAlignment w:val="auto"/>
        <w:rPr>
          <w:sz w:val="23"/>
          <w:szCs w:val="23"/>
          <w:lang w:eastAsia="en-AU"/>
        </w:rPr>
      </w:pPr>
    </w:p>
    <w:p w:rsidR="00E7288B" w:rsidRPr="001C5C70" w:rsidRDefault="00E7288B" w:rsidP="001C5C70">
      <w:pPr>
        <w:spacing w:line="240" w:lineRule="auto"/>
        <w:rPr>
          <w:sz w:val="23"/>
          <w:szCs w:val="23"/>
          <w:u w:val="single"/>
        </w:rPr>
      </w:pPr>
      <w:r w:rsidRPr="001C5C70">
        <w:rPr>
          <w:sz w:val="23"/>
          <w:szCs w:val="23"/>
          <w:u w:val="single"/>
        </w:rPr>
        <w:t>Part 1.2: Waiver</w:t>
      </w:r>
    </w:p>
    <w:p w:rsidR="00E7288B" w:rsidRPr="001C5C70" w:rsidRDefault="00E7288B" w:rsidP="001C5C70">
      <w:pPr>
        <w:widowControl/>
        <w:adjustRightInd/>
        <w:spacing w:line="240" w:lineRule="auto"/>
        <w:textAlignment w:val="auto"/>
        <w:rPr>
          <w:sz w:val="23"/>
          <w:szCs w:val="23"/>
          <w:lang w:eastAsia="en-AU"/>
        </w:rPr>
      </w:pPr>
    </w:p>
    <w:p w:rsidR="00FA1DF3" w:rsidRPr="001C5C70" w:rsidRDefault="002C2343" w:rsidP="002C2343">
      <w:pPr>
        <w:spacing w:line="240" w:lineRule="auto"/>
        <w:rPr>
          <w:sz w:val="23"/>
          <w:szCs w:val="23"/>
          <w:lang w:eastAsia="en-AU"/>
        </w:rPr>
      </w:pPr>
      <w:r w:rsidRPr="001C5C70">
        <w:rPr>
          <w:sz w:val="23"/>
          <w:szCs w:val="23"/>
        </w:rPr>
        <w:t>Part 1.</w:t>
      </w:r>
      <w:r>
        <w:rPr>
          <w:sz w:val="23"/>
          <w:szCs w:val="23"/>
        </w:rPr>
        <w:t>2</w:t>
      </w:r>
      <w:r w:rsidRPr="001C5C70">
        <w:rPr>
          <w:sz w:val="23"/>
          <w:szCs w:val="23"/>
        </w:rPr>
        <w:t xml:space="preserve"> of the ASIC Market Integrity Rules (ASX 24-Capital) reflects Part 1.</w:t>
      </w:r>
      <w:r>
        <w:rPr>
          <w:sz w:val="23"/>
          <w:szCs w:val="23"/>
        </w:rPr>
        <w:t>2</w:t>
      </w:r>
      <w:r w:rsidRPr="001C5C70">
        <w:rPr>
          <w:sz w:val="23"/>
          <w:szCs w:val="23"/>
        </w:rPr>
        <w:t xml:space="preserve"> of the ASIC Market Integrity Rules (ASX 24).  </w:t>
      </w:r>
      <w:r w:rsidR="00D4510C" w:rsidRPr="001C5C70">
        <w:rPr>
          <w:sz w:val="23"/>
          <w:szCs w:val="23"/>
          <w:lang w:eastAsia="en-AU"/>
        </w:rPr>
        <w:t>ASIC may relieve a person or any class of persons from the obligation to comply with provisions of the ru</w:t>
      </w:r>
      <w:r w:rsidR="001E1F64" w:rsidRPr="001C5C70">
        <w:rPr>
          <w:sz w:val="23"/>
          <w:szCs w:val="23"/>
          <w:lang w:eastAsia="en-AU"/>
        </w:rPr>
        <w:t>les, either generally or in a particular case or category, and either unconditionally or subject to such conditions as ASIC thinks fit</w:t>
      </w:r>
      <w:r w:rsidR="00BE150F" w:rsidRPr="001C5C70">
        <w:rPr>
          <w:sz w:val="23"/>
          <w:szCs w:val="23"/>
          <w:lang w:eastAsia="en-AU"/>
        </w:rPr>
        <w:t xml:space="preserve"> (Rule 1.2.1), and may specify the period or specific event during which the relief will apply (Rule 1.2.3)</w:t>
      </w:r>
      <w:r w:rsidR="001E1F64" w:rsidRPr="001C5C70">
        <w:rPr>
          <w:sz w:val="23"/>
          <w:szCs w:val="23"/>
          <w:lang w:eastAsia="en-AU"/>
        </w:rPr>
        <w:t>.</w:t>
      </w:r>
      <w:r w:rsidR="00BE150F" w:rsidRPr="001C5C70">
        <w:rPr>
          <w:sz w:val="23"/>
          <w:szCs w:val="23"/>
          <w:lang w:eastAsia="en-AU"/>
        </w:rPr>
        <w:t xml:space="preserve"> If any conditions on a waiver are imposed, </w:t>
      </w:r>
      <w:r w:rsidR="001E1F64" w:rsidRPr="001C5C70">
        <w:rPr>
          <w:sz w:val="23"/>
          <w:szCs w:val="23"/>
          <w:lang w:eastAsia="en-AU"/>
        </w:rPr>
        <w:t>all of the conditions must be complied with for the waiver to be effective</w:t>
      </w:r>
      <w:r w:rsidR="00BE150F" w:rsidRPr="001C5C70">
        <w:rPr>
          <w:sz w:val="23"/>
          <w:szCs w:val="23"/>
          <w:lang w:eastAsia="en-AU"/>
        </w:rPr>
        <w:t xml:space="preserve"> (Rule 1.2.1(2)</w:t>
      </w:r>
      <w:r w:rsidR="00750BE9">
        <w:rPr>
          <w:sz w:val="23"/>
          <w:szCs w:val="23"/>
          <w:lang w:eastAsia="en-AU"/>
        </w:rPr>
        <w:t>)</w:t>
      </w:r>
      <w:r w:rsidR="00BE150F" w:rsidRPr="001C5C70">
        <w:rPr>
          <w:sz w:val="23"/>
          <w:szCs w:val="23"/>
          <w:lang w:eastAsia="en-AU"/>
        </w:rPr>
        <w:t xml:space="preserve"> and failure to comply with a condition is a breach of Rule 1.2.2</w:t>
      </w:r>
      <w:r w:rsidR="001E1F64" w:rsidRPr="001C5C70">
        <w:rPr>
          <w:sz w:val="23"/>
          <w:szCs w:val="23"/>
          <w:lang w:eastAsia="en-AU"/>
        </w:rPr>
        <w:t>.</w:t>
      </w:r>
      <w:r w:rsidR="00350D6E" w:rsidRPr="001C5C70">
        <w:rPr>
          <w:sz w:val="23"/>
          <w:szCs w:val="23"/>
          <w:lang w:eastAsia="en-AU"/>
        </w:rPr>
        <w:t xml:space="preserve"> ASIC may withdraw a waiver in writing at any time (Rule 1.2.1(3)). </w:t>
      </w:r>
    </w:p>
    <w:p w:rsidR="00FA1DF3" w:rsidRPr="001C5C70" w:rsidRDefault="00FA1DF3" w:rsidP="001C5C70">
      <w:pPr>
        <w:widowControl/>
        <w:adjustRightInd/>
        <w:spacing w:line="240" w:lineRule="auto"/>
        <w:textAlignment w:val="auto"/>
        <w:rPr>
          <w:sz w:val="23"/>
          <w:szCs w:val="23"/>
          <w:lang w:eastAsia="en-AU"/>
        </w:rPr>
      </w:pPr>
    </w:p>
    <w:p w:rsidR="00350D6E" w:rsidRPr="001C5C70" w:rsidRDefault="00350D6E" w:rsidP="001C5C70">
      <w:pPr>
        <w:widowControl/>
        <w:adjustRightInd/>
        <w:spacing w:line="240" w:lineRule="auto"/>
        <w:textAlignment w:val="auto"/>
        <w:rPr>
          <w:sz w:val="23"/>
          <w:szCs w:val="23"/>
          <w:lang w:eastAsia="en-AU"/>
        </w:rPr>
      </w:pPr>
      <w:r w:rsidRPr="001C5C70">
        <w:rPr>
          <w:sz w:val="23"/>
          <w:szCs w:val="23"/>
          <w:lang w:eastAsia="en-AU"/>
        </w:rPr>
        <w:t xml:space="preserve">A </w:t>
      </w:r>
      <w:r w:rsidR="001E1F64" w:rsidRPr="001C5C70">
        <w:rPr>
          <w:sz w:val="23"/>
          <w:szCs w:val="23"/>
          <w:lang w:eastAsia="en-AU"/>
        </w:rPr>
        <w:t>waiver, conditions on a waiver and a request by a person for a waiver must be in writing</w:t>
      </w:r>
      <w:r w:rsidRPr="001C5C70">
        <w:rPr>
          <w:sz w:val="23"/>
          <w:szCs w:val="23"/>
          <w:lang w:eastAsia="en-AU"/>
        </w:rPr>
        <w:t>, and ASIC may publish notice of a waiver (subrules 1.2.1(4), (5) and (6))</w:t>
      </w:r>
      <w:r w:rsidR="001E1F64" w:rsidRPr="001C5C70">
        <w:rPr>
          <w:sz w:val="23"/>
          <w:szCs w:val="23"/>
          <w:lang w:eastAsia="en-AU"/>
        </w:rPr>
        <w:t>.</w:t>
      </w:r>
      <w:r w:rsidRPr="001C5C70">
        <w:rPr>
          <w:sz w:val="23"/>
          <w:szCs w:val="23"/>
          <w:lang w:eastAsia="en-AU"/>
        </w:rPr>
        <w:t xml:space="preserve"> ASIC may also establish, maintain and publish a register for recording details of relief, in accordance with Rule 1.2.4.</w:t>
      </w:r>
    </w:p>
    <w:p w:rsidR="005D2C32" w:rsidRPr="001C5C70" w:rsidRDefault="005D2C32" w:rsidP="001C5C70">
      <w:pPr>
        <w:widowControl/>
        <w:adjustRightInd/>
        <w:spacing w:line="240" w:lineRule="auto"/>
        <w:textAlignment w:val="auto"/>
        <w:rPr>
          <w:sz w:val="23"/>
          <w:szCs w:val="23"/>
          <w:lang w:eastAsia="en-AU"/>
        </w:rPr>
      </w:pPr>
    </w:p>
    <w:p w:rsidR="00FA1DF3" w:rsidRPr="001C5C70" w:rsidRDefault="00FA1DF3" w:rsidP="001C5C70">
      <w:pPr>
        <w:widowControl/>
        <w:adjustRightInd/>
        <w:spacing w:line="240" w:lineRule="auto"/>
        <w:textAlignment w:val="auto"/>
        <w:rPr>
          <w:sz w:val="23"/>
          <w:szCs w:val="23"/>
          <w:u w:val="single"/>
          <w:lang w:eastAsia="en-AU"/>
        </w:rPr>
      </w:pPr>
      <w:r w:rsidRPr="001C5C70">
        <w:rPr>
          <w:sz w:val="23"/>
          <w:szCs w:val="23"/>
          <w:u w:val="single"/>
          <w:lang w:eastAsia="en-AU"/>
        </w:rPr>
        <w:t>Part 1.3: Notice, notification and service of documents</w:t>
      </w:r>
    </w:p>
    <w:p w:rsidR="00FA1DF3" w:rsidRPr="001C5C70" w:rsidRDefault="00FA1DF3" w:rsidP="001C5C70">
      <w:pPr>
        <w:widowControl/>
        <w:adjustRightInd/>
        <w:spacing w:line="240" w:lineRule="auto"/>
        <w:textAlignment w:val="auto"/>
        <w:rPr>
          <w:sz w:val="23"/>
          <w:szCs w:val="23"/>
          <w:lang w:eastAsia="en-AU"/>
        </w:rPr>
      </w:pPr>
    </w:p>
    <w:p w:rsidR="005D2C32" w:rsidRPr="001C5C70" w:rsidRDefault="00340FAB" w:rsidP="001C5C70">
      <w:pPr>
        <w:widowControl/>
        <w:adjustRightInd/>
        <w:spacing w:line="240" w:lineRule="auto"/>
        <w:textAlignment w:val="auto"/>
        <w:rPr>
          <w:sz w:val="23"/>
          <w:szCs w:val="23"/>
          <w:lang w:eastAsia="en-AU"/>
        </w:rPr>
      </w:pPr>
      <w:r w:rsidRPr="001C5C70">
        <w:rPr>
          <w:sz w:val="23"/>
          <w:szCs w:val="23"/>
        </w:rPr>
        <w:t>Part 1.</w:t>
      </w:r>
      <w:r>
        <w:rPr>
          <w:sz w:val="23"/>
          <w:szCs w:val="23"/>
        </w:rPr>
        <w:t>3</w:t>
      </w:r>
      <w:r w:rsidRPr="001C5C70">
        <w:rPr>
          <w:sz w:val="23"/>
          <w:szCs w:val="23"/>
        </w:rPr>
        <w:t xml:space="preserve"> of the ASIC Market Integrity Rules (ASX 24-Capital) reflects Part 1.1 of the ASIC Market Integrity Rules (ASX 24).  </w:t>
      </w:r>
      <w:r w:rsidR="005D2C32" w:rsidRPr="001C5C70">
        <w:rPr>
          <w:sz w:val="23"/>
          <w:szCs w:val="23"/>
          <w:lang w:eastAsia="en-AU"/>
        </w:rPr>
        <w:t>A Market Participant must have email for the purpose of receiving notices under the rules (Rule 1.3.1). ASIC may give notice to a Market Participant under the Rules by a number of methods set out in Rule 1.3.2.</w:t>
      </w:r>
    </w:p>
    <w:p w:rsidR="001E1F64" w:rsidRPr="001C5C70" w:rsidRDefault="001E1F64" w:rsidP="001C5C70">
      <w:pPr>
        <w:widowControl/>
        <w:adjustRightInd/>
        <w:spacing w:line="240" w:lineRule="auto"/>
        <w:textAlignment w:val="auto"/>
        <w:rPr>
          <w:bCs/>
          <w:sz w:val="23"/>
          <w:szCs w:val="23"/>
          <w:u w:val="single"/>
          <w:lang w:eastAsia="en-AU"/>
        </w:rPr>
      </w:pPr>
      <w:r w:rsidRPr="001C5C70">
        <w:rPr>
          <w:bCs/>
          <w:sz w:val="23"/>
          <w:szCs w:val="23"/>
          <w:u w:val="single"/>
          <w:lang w:eastAsia="en-AU"/>
        </w:rPr>
        <w:t>Part 1.4</w:t>
      </w:r>
      <w:r w:rsidR="00662435" w:rsidRPr="001C5C70">
        <w:rPr>
          <w:bCs/>
          <w:sz w:val="23"/>
          <w:szCs w:val="23"/>
          <w:u w:val="single"/>
          <w:lang w:eastAsia="en-AU"/>
        </w:rPr>
        <w:t>:</w:t>
      </w:r>
      <w:r w:rsidRPr="001C5C70">
        <w:rPr>
          <w:bCs/>
          <w:sz w:val="23"/>
          <w:szCs w:val="23"/>
          <w:u w:val="single"/>
          <w:lang w:eastAsia="en-AU"/>
        </w:rPr>
        <w:t xml:space="preserve"> Interpretation</w:t>
      </w:r>
    </w:p>
    <w:p w:rsidR="00E01225" w:rsidRPr="005A1416" w:rsidRDefault="00E01225" w:rsidP="00E01225">
      <w:pPr>
        <w:spacing w:line="240" w:lineRule="auto"/>
        <w:rPr>
          <w:sz w:val="22"/>
          <w:szCs w:val="22"/>
        </w:rPr>
      </w:pPr>
    </w:p>
    <w:p w:rsidR="001E1F64" w:rsidRDefault="00E01225" w:rsidP="001C5C70">
      <w:pPr>
        <w:widowControl/>
        <w:adjustRightInd/>
        <w:spacing w:line="240" w:lineRule="auto"/>
        <w:textAlignment w:val="auto"/>
        <w:rPr>
          <w:sz w:val="23"/>
          <w:szCs w:val="23"/>
          <w:lang w:eastAsia="en-AU"/>
        </w:rPr>
      </w:pPr>
      <w:r w:rsidRPr="001C5C70">
        <w:rPr>
          <w:sz w:val="23"/>
          <w:szCs w:val="23"/>
        </w:rPr>
        <w:t>Part 1.</w:t>
      </w:r>
      <w:r>
        <w:rPr>
          <w:sz w:val="23"/>
          <w:szCs w:val="23"/>
        </w:rPr>
        <w:t>4</w:t>
      </w:r>
      <w:r w:rsidRPr="001C5C70">
        <w:rPr>
          <w:sz w:val="23"/>
          <w:szCs w:val="23"/>
        </w:rPr>
        <w:t xml:space="preserve"> of the ASIC Market Integrity Rules (ASX 24-Capital) reflects Part 1.1 of the ASIC Market Integrity Rules (ASX 24). </w:t>
      </w:r>
      <w:r w:rsidR="00320AF8" w:rsidRPr="001C5C70">
        <w:rPr>
          <w:sz w:val="23"/>
          <w:szCs w:val="23"/>
          <w:lang w:eastAsia="en-AU"/>
        </w:rPr>
        <w:t>I</w:t>
      </w:r>
      <w:r w:rsidR="001E1F64" w:rsidRPr="001C5C70">
        <w:rPr>
          <w:sz w:val="23"/>
          <w:szCs w:val="23"/>
          <w:lang w:eastAsia="en-AU"/>
        </w:rPr>
        <w:t xml:space="preserve">n the </w:t>
      </w:r>
      <w:r w:rsidR="00320AF8" w:rsidRPr="001C5C70">
        <w:rPr>
          <w:sz w:val="23"/>
          <w:szCs w:val="23"/>
          <w:lang w:eastAsia="en-AU"/>
        </w:rPr>
        <w:t>r</w:t>
      </w:r>
      <w:r w:rsidR="001E1F64" w:rsidRPr="001C5C70">
        <w:rPr>
          <w:sz w:val="23"/>
          <w:szCs w:val="23"/>
          <w:lang w:eastAsia="en-AU"/>
        </w:rPr>
        <w:t>ules, references to time are to the time in Sydney, Australia</w:t>
      </w:r>
      <w:r w:rsidR="00320AF8" w:rsidRPr="001C5C70">
        <w:rPr>
          <w:sz w:val="23"/>
          <w:szCs w:val="23"/>
          <w:lang w:eastAsia="en-AU"/>
        </w:rPr>
        <w:t xml:space="preserve"> (Rule 1.4.1)</w:t>
      </w:r>
      <w:r w:rsidR="001E1F64" w:rsidRPr="001C5C70">
        <w:rPr>
          <w:sz w:val="23"/>
          <w:szCs w:val="23"/>
          <w:lang w:eastAsia="en-AU"/>
        </w:rPr>
        <w:t>.</w:t>
      </w:r>
      <w:r w:rsidR="00320AF8" w:rsidRPr="001C5C70">
        <w:rPr>
          <w:sz w:val="23"/>
          <w:szCs w:val="23"/>
          <w:lang w:eastAsia="en-AU"/>
        </w:rPr>
        <w:t xml:space="preserve"> W</w:t>
      </w:r>
      <w:r w:rsidR="001E1F64" w:rsidRPr="001C5C70">
        <w:rPr>
          <w:sz w:val="23"/>
          <w:szCs w:val="23"/>
          <w:lang w:eastAsia="en-AU"/>
        </w:rPr>
        <w:t xml:space="preserve">ords and expressions defined in the Corporations Act will unless otherwise defined or specified in the </w:t>
      </w:r>
      <w:r w:rsidR="00320AF8" w:rsidRPr="001C5C70">
        <w:rPr>
          <w:sz w:val="23"/>
          <w:szCs w:val="23"/>
          <w:lang w:eastAsia="en-AU"/>
        </w:rPr>
        <w:t>ru</w:t>
      </w:r>
      <w:r w:rsidR="001E1F64" w:rsidRPr="001C5C70">
        <w:rPr>
          <w:sz w:val="23"/>
          <w:szCs w:val="23"/>
          <w:lang w:eastAsia="en-AU"/>
        </w:rPr>
        <w:t xml:space="preserve">les or the contrary intention appears, have the same meaning in the </w:t>
      </w:r>
      <w:r w:rsidR="00320AF8" w:rsidRPr="001C5C70">
        <w:rPr>
          <w:sz w:val="23"/>
          <w:szCs w:val="23"/>
          <w:lang w:eastAsia="en-AU"/>
        </w:rPr>
        <w:t>r</w:t>
      </w:r>
      <w:r w:rsidR="001E1F64" w:rsidRPr="001C5C70">
        <w:rPr>
          <w:sz w:val="23"/>
          <w:szCs w:val="23"/>
          <w:lang w:eastAsia="en-AU"/>
        </w:rPr>
        <w:t>ules</w:t>
      </w:r>
      <w:r w:rsidR="00320AF8" w:rsidRPr="001C5C70">
        <w:rPr>
          <w:sz w:val="23"/>
          <w:szCs w:val="23"/>
          <w:lang w:eastAsia="en-AU"/>
        </w:rPr>
        <w:t xml:space="preserve"> (Rule 1.4.2)</w:t>
      </w:r>
      <w:r w:rsidR="001E1F64" w:rsidRPr="001C5C70">
        <w:rPr>
          <w:sz w:val="23"/>
          <w:szCs w:val="23"/>
          <w:lang w:eastAsia="en-AU"/>
        </w:rPr>
        <w:t>.</w:t>
      </w:r>
    </w:p>
    <w:p w:rsidR="00ED2E55" w:rsidRPr="001C5C70" w:rsidRDefault="00ED2E55" w:rsidP="001C5C70">
      <w:pPr>
        <w:widowControl/>
        <w:adjustRightInd/>
        <w:spacing w:line="240" w:lineRule="auto"/>
        <w:textAlignment w:val="auto"/>
        <w:rPr>
          <w:sz w:val="23"/>
          <w:szCs w:val="23"/>
          <w:lang w:eastAsia="en-AU"/>
        </w:rPr>
      </w:pPr>
    </w:p>
    <w:p w:rsidR="00564B23" w:rsidRDefault="001E1F64" w:rsidP="001C5C70">
      <w:pPr>
        <w:widowControl/>
        <w:adjustRightInd/>
        <w:spacing w:line="240" w:lineRule="auto"/>
        <w:textAlignment w:val="auto"/>
        <w:rPr>
          <w:sz w:val="23"/>
          <w:szCs w:val="23"/>
          <w:lang w:eastAsia="en-AU"/>
        </w:rPr>
      </w:pPr>
      <w:r w:rsidRPr="001C5C70">
        <w:rPr>
          <w:sz w:val="23"/>
          <w:szCs w:val="23"/>
          <w:lang w:eastAsia="en-AU"/>
        </w:rPr>
        <w:t xml:space="preserve">Rule 1.4.3 provides definitions for terms used in the </w:t>
      </w:r>
      <w:r w:rsidR="00992EF5" w:rsidRPr="001C5C70">
        <w:rPr>
          <w:sz w:val="23"/>
          <w:szCs w:val="23"/>
          <w:lang w:eastAsia="en-AU"/>
        </w:rPr>
        <w:t>r</w:t>
      </w:r>
      <w:r w:rsidRPr="001C5C70">
        <w:rPr>
          <w:sz w:val="23"/>
          <w:szCs w:val="23"/>
          <w:lang w:eastAsia="en-AU"/>
        </w:rPr>
        <w:t>ules</w:t>
      </w:r>
      <w:r w:rsidR="00992EF5" w:rsidRPr="001C5C70">
        <w:rPr>
          <w:sz w:val="23"/>
          <w:szCs w:val="23"/>
          <w:lang w:eastAsia="en-AU"/>
        </w:rPr>
        <w:t xml:space="preserve">. Those defined terms </w:t>
      </w:r>
      <w:r w:rsidR="00564B23" w:rsidRPr="001C5C70">
        <w:rPr>
          <w:sz w:val="23"/>
          <w:szCs w:val="23"/>
          <w:lang w:eastAsia="en-AU"/>
        </w:rPr>
        <w:t xml:space="preserve">reflect definitions in Rule 1.4.3 of </w:t>
      </w:r>
      <w:r w:rsidR="00992EF5" w:rsidRPr="001C5C70">
        <w:rPr>
          <w:sz w:val="23"/>
          <w:szCs w:val="23"/>
          <w:lang w:eastAsia="en-AU"/>
        </w:rPr>
        <w:t xml:space="preserve">the </w:t>
      </w:r>
      <w:r w:rsidR="00ED2E55">
        <w:rPr>
          <w:sz w:val="23"/>
          <w:szCs w:val="23"/>
          <w:lang w:eastAsia="en-AU"/>
        </w:rPr>
        <w:t>ASIC Market Integrity Rules (ASX 24)</w:t>
      </w:r>
      <w:r w:rsidR="00992EF5" w:rsidRPr="001C5C70">
        <w:rPr>
          <w:sz w:val="23"/>
          <w:szCs w:val="23"/>
          <w:lang w:eastAsia="en-AU"/>
        </w:rPr>
        <w:t xml:space="preserve"> that applied to Chapters </w:t>
      </w:r>
      <w:r w:rsidR="00B7637F" w:rsidRPr="001C5C70">
        <w:rPr>
          <w:sz w:val="23"/>
          <w:szCs w:val="23"/>
          <w:lang w:eastAsia="en-AU"/>
        </w:rPr>
        <w:t>5</w:t>
      </w:r>
      <w:r w:rsidR="00992EF5" w:rsidRPr="001C5C70">
        <w:rPr>
          <w:sz w:val="23"/>
          <w:szCs w:val="23"/>
          <w:lang w:eastAsia="en-AU"/>
        </w:rPr>
        <w:t xml:space="preserve"> and </w:t>
      </w:r>
      <w:r w:rsidR="00B7637F" w:rsidRPr="001C5C70">
        <w:rPr>
          <w:sz w:val="23"/>
          <w:szCs w:val="23"/>
          <w:lang w:eastAsia="en-AU"/>
        </w:rPr>
        <w:t>6</w:t>
      </w:r>
      <w:r w:rsidR="00992EF5" w:rsidRPr="001C5C70">
        <w:rPr>
          <w:sz w:val="23"/>
          <w:szCs w:val="23"/>
          <w:lang w:eastAsia="en-AU"/>
        </w:rPr>
        <w:t xml:space="preserve"> and</w:t>
      </w:r>
      <w:r w:rsidR="00B7637F" w:rsidRPr="001C5C70">
        <w:rPr>
          <w:sz w:val="23"/>
          <w:szCs w:val="23"/>
          <w:lang w:eastAsia="en-AU"/>
        </w:rPr>
        <w:t xml:space="preserve"> the Schedule </w:t>
      </w:r>
      <w:r w:rsidR="00992EF5" w:rsidRPr="001C5C70">
        <w:rPr>
          <w:sz w:val="23"/>
          <w:szCs w:val="23"/>
          <w:lang w:eastAsia="en-AU"/>
        </w:rPr>
        <w:t>of the</w:t>
      </w:r>
      <w:r w:rsidR="00005356">
        <w:rPr>
          <w:sz w:val="23"/>
          <w:szCs w:val="23"/>
          <w:lang w:eastAsia="en-AU"/>
        </w:rPr>
        <w:t xml:space="preserve"> ASIC Market Integrity Rules (ASX 24)</w:t>
      </w:r>
      <w:r w:rsidR="00564B23" w:rsidRPr="001C5C70">
        <w:rPr>
          <w:sz w:val="23"/>
          <w:szCs w:val="23"/>
          <w:lang w:eastAsia="en-AU"/>
        </w:rPr>
        <w:t>.</w:t>
      </w:r>
      <w:r w:rsidR="007F748F" w:rsidRPr="001C5C70">
        <w:rPr>
          <w:sz w:val="23"/>
          <w:szCs w:val="23"/>
          <w:lang w:eastAsia="en-AU"/>
        </w:rPr>
        <w:t xml:space="preserve"> There are additional definitions specified in Chapters </w:t>
      </w:r>
      <w:r w:rsidR="00A862BD" w:rsidRPr="001C5C70">
        <w:rPr>
          <w:sz w:val="23"/>
          <w:szCs w:val="23"/>
          <w:lang w:eastAsia="en-AU"/>
        </w:rPr>
        <w:t>5</w:t>
      </w:r>
      <w:r w:rsidR="007F748F" w:rsidRPr="001C5C70">
        <w:rPr>
          <w:sz w:val="23"/>
          <w:szCs w:val="23"/>
          <w:lang w:eastAsia="en-AU"/>
        </w:rPr>
        <w:t xml:space="preserve"> and </w:t>
      </w:r>
      <w:r w:rsidR="00A862BD" w:rsidRPr="001C5C70">
        <w:rPr>
          <w:sz w:val="23"/>
          <w:szCs w:val="23"/>
          <w:lang w:eastAsia="en-AU"/>
        </w:rPr>
        <w:t>6</w:t>
      </w:r>
      <w:r w:rsidR="007F748F" w:rsidRPr="001C5C70">
        <w:rPr>
          <w:sz w:val="23"/>
          <w:szCs w:val="23"/>
          <w:lang w:eastAsia="en-AU"/>
        </w:rPr>
        <w:t>.</w:t>
      </w:r>
    </w:p>
    <w:p w:rsidR="000749D4" w:rsidRPr="001C5C70" w:rsidRDefault="000749D4" w:rsidP="001C5C70">
      <w:pPr>
        <w:widowControl/>
        <w:adjustRightInd/>
        <w:spacing w:line="240" w:lineRule="auto"/>
        <w:textAlignment w:val="auto"/>
        <w:rPr>
          <w:sz w:val="23"/>
          <w:szCs w:val="23"/>
          <w:lang w:eastAsia="en-AU"/>
        </w:rPr>
      </w:pPr>
    </w:p>
    <w:p w:rsidR="00597055" w:rsidRPr="001C5C70" w:rsidRDefault="00597055" w:rsidP="001C5C70">
      <w:pPr>
        <w:widowControl/>
        <w:adjustRightInd/>
        <w:spacing w:line="240" w:lineRule="auto"/>
        <w:textAlignment w:val="auto"/>
        <w:rPr>
          <w:sz w:val="23"/>
          <w:szCs w:val="23"/>
          <w:u w:val="single"/>
          <w:lang w:eastAsia="en-AU"/>
        </w:rPr>
      </w:pPr>
      <w:r w:rsidRPr="001C5C70">
        <w:rPr>
          <w:sz w:val="23"/>
          <w:szCs w:val="23"/>
          <w:u w:val="single"/>
          <w:lang w:eastAsia="en-AU"/>
        </w:rPr>
        <w:t>Part 1.5: Repeal</w:t>
      </w:r>
    </w:p>
    <w:p w:rsidR="000749D4" w:rsidRDefault="000749D4" w:rsidP="001C5C70">
      <w:pPr>
        <w:widowControl/>
        <w:adjustRightInd/>
        <w:spacing w:line="240" w:lineRule="auto"/>
        <w:textAlignment w:val="auto"/>
        <w:rPr>
          <w:sz w:val="23"/>
          <w:szCs w:val="23"/>
          <w:lang w:eastAsia="en-AU"/>
        </w:rPr>
      </w:pPr>
    </w:p>
    <w:p w:rsidR="00702FB2" w:rsidRDefault="00702FB2" w:rsidP="001C5C70">
      <w:pPr>
        <w:widowControl/>
        <w:adjustRightInd/>
        <w:spacing w:line="240" w:lineRule="auto"/>
        <w:textAlignment w:val="auto"/>
        <w:rPr>
          <w:sz w:val="23"/>
          <w:szCs w:val="23"/>
          <w:lang w:eastAsia="en-AU"/>
        </w:rPr>
      </w:pPr>
      <w:r w:rsidRPr="001C5C70">
        <w:rPr>
          <w:sz w:val="23"/>
          <w:szCs w:val="23"/>
          <w:lang w:eastAsia="en-AU"/>
        </w:rPr>
        <w:t xml:space="preserve">Part 1.5 of the rules provides for the repeal of the capital requirements from the </w:t>
      </w:r>
      <w:r w:rsidRPr="000749D4">
        <w:rPr>
          <w:sz w:val="23"/>
          <w:szCs w:val="23"/>
          <w:lang w:eastAsia="en-AU"/>
        </w:rPr>
        <w:t>ASIC Market Integrity Rules (</w:t>
      </w:r>
      <w:r w:rsidR="007D0852" w:rsidRPr="000749D4">
        <w:rPr>
          <w:sz w:val="23"/>
          <w:szCs w:val="23"/>
          <w:lang w:eastAsia="en-AU"/>
        </w:rPr>
        <w:t>ASX 24</w:t>
      </w:r>
      <w:r w:rsidRPr="000749D4">
        <w:rPr>
          <w:sz w:val="23"/>
          <w:szCs w:val="23"/>
          <w:lang w:eastAsia="en-AU"/>
        </w:rPr>
        <w:t>)</w:t>
      </w:r>
      <w:r w:rsidR="000749D4">
        <w:rPr>
          <w:sz w:val="23"/>
          <w:szCs w:val="23"/>
          <w:lang w:eastAsia="en-AU"/>
        </w:rPr>
        <w:t>.</w:t>
      </w:r>
    </w:p>
    <w:p w:rsidR="000749D4" w:rsidRPr="000749D4" w:rsidRDefault="000749D4" w:rsidP="001C5C70">
      <w:pPr>
        <w:widowControl/>
        <w:adjustRightInd/>
        <w:spacing w:line="240" w:lineRule="auto"/>
        <w:textAlignment w:val="auto"/>
        <w:rPr>
          <w:sz w:val="23"/>
          <w:szCs w:val="23"/>
          <w:lang w:eastAsia="en-AU"/>
        </w:rPr>
      </w:pPr>
    </w:p>
    <w:p w:rsidR="00597055" w:rsidRDefault="00597055" w:rsidP="001C5C70">
      <w:pPr>
        <w:widowControl/>
        <w:adjustRightInd/>
        <w:spacing w:line="240" w:lineRule="auto"/>
        <w:textAlignment w:val="auto"/>
        <w:rPr>
          <w:sz w:val="23"/>
          <w:szCs w:val="23"/>
          <w:lang w:eastAsia="en-AU"/>
        </w:rPr>
      </w:pPr>
      <w:r w:rsidRPr="001C5C70">
        <w:rPr>
          <w:sz w:val="23"/>
          <w:szCs w:val="23"/>
          <w:lang w:eastAsia="en-AU"/>
        </w:rPr>
        <w:t>Rule 1.5.1</w:t>
      </w:r>
      <w:r w:rsidR="00702FB2" w:rsidRPr="001C5C70">
        <w:rPr>
          <w:sz w:val="23"/>
          <w:szCs w:val="23"/>
          <w:lang w:eastAsia="en-AU"/>
        </w:rPr>
        <w:t xml:space="preserve"> provides that </w:t>
      </w:r>
      <w:r w:rsidRPr="001C5C70">
        <w:rPr>
          <w:sz w:val="23"/>
          <w:szCs w:val="23"/>
          <w:lang w:eastAsia="en-AU"/>
        </w:rPr>
        <w:t xml:space="preserve">Chapters </w:t>
      </w:r>
      <w:r w:rsidR="00E37B9E" w:rsidRPr="001C5C70">
        <w:rPr>
          <w:sz w:val="23"/>
          <w:szCs w:val="23"/>
          <w:lang w:eastAsia="en-AU"/>
        </w:rPr>
        <w:t>5</w:t>
      </w:r>
      <w:r w:rsidRPr="001C5C70">
        <w:rPr>
          <w:sz w:val="23"/>
          <w:szCs w:val="23"/>
          <w:lang w:eastAsia="en-AU"/>
        </w:rPr>
        <w:t xml:space="preserve"> and </w:t>
      </w:r>
      <w:r w:rsidR="00E37B9E" w:rsidRPr="001C5C70">
        <w:rPr>
          <w:sz w:val="23"/>
          <w:szCs w:val="23"/>
          <w:lang w:eastAsia="en-AU"/>
        </w:rPr>
        <w:t>6</w:t>
      </w:r>
      <w:r w:rsidR="00702FB2" w:rsidRPr="001C5C70">
        <w:rPr>
          <w:sz w:val="23"/>
          <w:szCs w:val="23"/>
          <w:lang w:eastAsia="en-AU"/>
        </w:rPr>
        <w:t xml:space="preserve">, and </w:t>
      </w:r>
      <w:r w:rsidRPr="001C5C70">
        <w:rPr>
          <w:sz w:val="23"/>
          <w:szCs w:val="23"/>
          <w:lang w:eastAsia="en-AU"/>
        </w:rPr>
        <w:tab/>
      </w:r>
      <w:r w:rsidR="001A1D75" w:rsidRPr="001C5C70">
        <w:rPr>
          <w:sz w:val="23"/>
          <w:szCs w:val="23"/>
          <w:lang w:eastAsia="en-AU"/>
        </w:rPr>
        <w:t>Forms 2 to 8 of the</w:t>
      </w:r>
      <w:r w:rsidR="00E37B9E" w:rsidRPr="001C5C70">
        <w:rPr>
          <w:sz w:val="23"/>
          <w:szCs w:val="23"/>
          <w:lang w:eastAsia="en-AU"/>
        </w:rPr>
        <w:t xml:space="preserve"> </w:t>
      </w:r>
      <w:r w:rsidRPr="001C5C70">
        <w:rPr>
          <w:sz w:val="23"/>
          <w:szCs w:val="23"/>
          <w:lang w:eastAsia="en-AU"/>
        </w:rPr>
        <w:t>Schedul</w:t>
      </w:r>
      <w:r w:rsidR="00E37B9E" w:rsidRPr="001C5C70">
        <w:rPr>
          <w:sz w:val="23"/>
          <w:szCs w:val="23"/>
          <w:lang w:eastAsia="en-AU"/>
        </w:rPr>
        <w:t>e</w:t>
      </w:r>
      <w:r w:rsidR="00702FB2" w:rsidRPr="001C5C70">
        <w:rPr>
          <w:sz w:val="23"/>
          <w:szCs w:val="23"/>
          <w:lang w:eastAsia="en-AU"/>
        </w:rPr>
        <w:t xml:space="preserve"> of the </w:t>
      </w:r>
      <w:r w:rsidR="009770BB" w:rsidRPr="000749D4">
        <w:rPr>
          <w:sz w:val="23"/>
          <w:szCs w:val="23"/>
          <w:lang w:eastAsia="en-AU"/>
        </w:rPr>
        <w:t>ASIC Market Integrity Rules (ASX 24)</w:t>
      </w:r>
      <w:r w:rsidR="00C41F01">
        <w:rPr>
          <w:sz w:val="23"/>
          <w:szCs w:val="23"/>
          <w:lang w:eastAsia="en-AU"/>
        </w:rPr>
        <w:t xml:space="preserve"> </w:t>
      </w:r>
      <w:r w:rsidR="00702FB2" w:rsidRPr="001C5C70">
        <w:rPr>
          <w:sz w:val="23"/>
          <w:szCs w:val="23"/>
          <w:lang w:eastAsia="en-AU"/>
        </w:rPr>
        <w:t>are repealed</w:t>
      </w:r>
      <w:r w:rsidRPr="001C5C70">
        <w:rPr>
          <w:sz w:val="23"/>
          <w:szCs w:val="23"/>
          <w:lang w:eastAsia="en-AU"/>
        </w:rPr>
        <w:t>.</w:t>
      </w:r>
      <w:r w:rsidR="00F37226" w:rsidRPr="001C5C70">
        <w:rPr>
          <w:sz w:val="23"/>
          <w:szCs w:val="23"/>
          <w:lang w:eastAsia="en-AU"/>
        </w:rPr>
        <w:t xml:space="preserve"> Those provisions are replaced by Chapters </w:t>
      </w:r>
      <w:r w:rsidR="00E37B9E" w:rsidRPr="001C5C70">
        <w:rPr>
          <w:sz w:val="23"/>
          <w:szCs w:val="23"/>
          <w:lang w:eastAsia="en-AU"/>
        </w:rPr>
        <w:t>5</w:t>
      </w:r>
      <w:r w:rsidR="00F37226" w:rsidRPr="001C5C70">
        <w:rPr>
          <w:sz w:val="23"/>
          <w:szCs w:val="23"/>
          <w:lang w:eastAsia="en-AU"/>
        </w:rPr>
        <w:t xml:space="preserve"> and </w:t>
      </w:r>
      <w:r w:rsidR="00E37B9E" w:rsidRPr="001C5C70">
        <w:rPr>
          <w:sz w:val="23"/>
          <w:szCs w:val="23"/>
          <w:lang w:eastAsia="en-AU"/>
        </w:rPr>
        <w:t>6</w:t>
      </w:r>
      <w:r w:rsidR="00F37226" w:rsidRPr="001C5C70">
        <w:rPr>
          <w:sz w:val="23"/>
          <w:szCs w:val="23"/>
          <w:lang w:eastAsia="en-AU"/>
        </w:rPr>
        <w:t>, and</w:t>
      </w:r>
      <w:r w:rsidR="001A1D75" w:rsidRPr="001C5C70">
        <w:rPr>
          <w:sz w:val="23"/>
          <w:szCs w:val="23"/>
          <w:lang w:eastAsia="en-AU"/>
        </w:rPr>
        <w:t xml:space="preserve"> </w:t>
      </w:r>
      <w:r w:rsidR="001A1D75" w:rsidRPr="001C5C70">
        <w:rPr>
          <w:bCs/>
          <w:iCs/>
          <w:sz w:val="23"/>
          <w:szCs w:val="23"/>
        </w:rPr>
        <w:t xml:space="preserve">Forms 3, 4, 5 and 7 of the </w:t>
      </w:r>
      <w:r w:rsidR="00F37226" w:rsidRPr="001C5C70">
        <w:rPr>
          <w:sz w:val="23"/>
          <w:szCs w:val="23"/>
          <w:lang w:eastAsia="en-AU"/>
        </w:rPr>
        <w:t>Schedule</w:t>
      </w:r>
      <w:r w:rsidR="001A1D75" w:rsidRPr="001C5C70">
        <w:rPr>
          <w:sz w:val="23"/>
          <w:szCs w:val="23"/>
          <w:lang w:eastAsia="en-AU"/>
        </w:rPr>
        <w:t xml:space="preserve"> of the </w:t>
      </w:r>
      <w:r w:rsidR="008042CC" w:rsidRPr="000749D4">
        <w:rPr>
          <w:sz w:val="23"/>
          <w:szCs w:val="23"/>
          <w:lang w:eastAsia="en-AU"/>
        </w:rPr>
        <w:t>ASIC Market Integrity Rules (ASX 24</w:t>
      </w:r>
      <w:r w:rsidR="008042CC">
        <w:rPr>
          <w:sz w:val="23"/>
          <w:szCs w:val="23"/>
          <w:lang w:eastAsia="en-AU"/>
        </w:rPr>
        <w:t>-Capital</w:t>
      </w:r>
      <w:r w:rsidR="008042CC" w:rsidRPr="000749D4">
        <w:rPr>
          <w:sz w:val="23"/>
          <w:szCs w:val="23"/>
          <w:lang w:eastAsia="en-AU"/>
        </w:rPr>
        <w:t>)</w:t>
      </w:r>
      <w:r w:rsidR="00F37226" w:rsidRPr="001C5C70">
        <w:rPr>
          <w:sz w:val="23"/>
          <w:szCs w:val="23"/>
          <w:lang w:eastAsia="en-AU"/>
        </w:rPr>
        <w:t>.</w:t>
      </w:r>
    </w:p>
    <w:p w:rsidR="0037142A" w:rsidRPr="001C5C70" w:rsidRDefault="0037142A" w:rsidP="001C5C70">
      <w:pPr>
        <w:widowControl/>
        <w:adjustRightInd/>
        <w:spacing w:line="240" w:lineRule="auto"/>
        <w:textAlignment w:val="auto"/>
        <w:rPr>
          <w:sz w:val="23"/>
          <w:szCs w:val="23"/>
          <w:lang w:eastAsia="en-AU"/>
        </w:rPr>
      </w:pPr>
    </w:p>
    <w:p w:rsidR="00392071" w:rsidRPr="001C5C70" w:rsidRDefault="00392071" w:rsidP="001C5C70">
      <w:pPr>
        <w:widowControl/>
        <w:adjustRightInd/>
        <w:spacing w:line="240" w:lineRule="auto"/>
        <w:textAlignment w:val="auto"/>
        <w:rPr>
          <w:sz w:val="23"/>
          <w:szCs w:val="23"/>
          <w:u w:val="single"/>
          <w:lang w:eastAsia="en-AU"/>
        </w:rPr>
      </w:pPr>
      <w:r w:rsidRPr="001C5C70">
        <w:rPr>
          <w:sz w:val="23"/>
          <w:szCs w:val="23"/>
          <w:u w:val="single"/>
          <w:lang w:eastAsia="en-AU"/>
        </w:rPr>
        <w:t xml:space="preserve">Chapters 2 to </w:t>
      </w:r>
      <w:r w:rsidR="005C3403" w:rsidRPr="001C5C70">
        <w:rPr>
          <w:sz w:val="23"/>
          <w:szCs w:val="23"/>
          <w:u w:val="single"/>
          <w:lang w:eastAsia="en-AU"/>
        </w:rPr>
        <w:t>4</w:t>
      </w:r>
    </w:p>
    <w:p w:rsidR="003C68B4" w:rsidRDefault="003C68B4" w:rsidP="001C5C70">
      <w:pPr>
        <w:widowControl/>
        <w:adjustRightInd/>
        <w:spacing w:line="240" w:lineRule="auto"/>
        <w:textAlignment w:val="auto"/>
        <w:rPr>
          <w:sz w:val="23"/>
          <w:szCs w:val="23"/>
          <w:lang w:eastAsia="en-AU"/>
        </w:rPr>
      </w:pPr>
    </w:p>
    <w:p w:rsidR="00392071" w:rsidRPr="001C5C70" w:rsidRDefault="00392071" w:rsidP="001C5C70">
      <w:pPr>
        <w:widowControl/>
        <w:adjustRightInd/>
        <w:spacing w:line="240" w:lineRule="auto"/>
        <w:textAlignment w:val="auto"/>
        <w:rPr>
          <w:sz w:val="23"/>
          <w:szCs w:val="23"/>
          <w:lang w:eastAsia="en-AU"/>
        </w:rPr>
      </w:pPr>
      <w:r w:rsidRPr="001C5C70">
        <w:rPr>
          <w:sz w:val="23"/>
          <w:szCs w:val="23"/>
          <w:lang w:eastAsia="en-AU"/>
        </w:rPr>
        <w:t xml:space="preserve">There is no Chapters 2 to </w:t>
      </w:r>
      <w:r w:rsidR="005C3403" w:rsidRPr="001C5C70">
        <w:rPr>
          <w:sz w:val="23"/>
          <w:szCs w:val="23"/>
          <w:lang w:eastAsia="en-AU"/>
        </w:rPr>
        <w:t>4</w:t>
      </w:r>
      <w:r w:rsidRPr="001C5C70">
        <w:rPr>
          <w:sz w:val="23"/>
          <w:szCs w:val="23"/>
          <w:lang w:eastAsia="en-AU"/>
        </w:rPr>
        <w:t xml:space="preserve"> in the rules.</w:t>
      </w:r>
      <w:r w:rsidR="00024FDB" w:rsidRPr="001C5C70">
        <w:rPr>
          <w:bCs/>
          <w:sz w:val="23"/>
          <w:szCs w:val="23"/>
        </w:rPr>
        <w:t xml:space="preserve"> To maximise consistency between the capital requirements under the</w:t>
      </w:r>
      <w:r w:rsidR="00A0075F">
        <w:rPr>
          <w:bCs/>
          <w:sz w:val="23"/>
          <w:szCs w:val="23"/>
        </w:rPr>
        <w:t xml:space="preserve">se rules and the </w:t>
      </w:r>
      <w:r w:rsidR="006932B7" w:rsidRPr="000749D4">
        <w:rPr>
          <w:sz w:val="23"/>
          <w:szCs w:val="23"/>
          <w:lang w:eastAsia="en-AU"/>
        </w:rPr>
        <w:t>ASIC Market Integrity Rules (ASX 24)</w:t>
      </w:r>
      <w:r w:rsidR="00024FDB" w:rsidRPr="001C5C70">
        <w:rPr>
          <w:bCs/>
          <w:sz w:val="23"/>
          <w:szCs w:val="23"/>
        </w:rPr>
        <w:t xml:space="preserve">, the numbering of the capital requirements in the </w:t>
      </w:r>
      <w:r w:rsidR="006932B7" w:rsidRPr="000749D4">
        <w:rPr>
          <w:sz w:val="23"/>
          <w:szCs w:val="23"/>
          <w:lang w:eastAsia="en-AU"/>
        </w:rPr>
        <w:t>ASIC Market Integrity Rules (ASX 24)</w:t>
      </w:r>
      <w:r w:rsidR="006932B7">
        <w:rPr>
          <w:sz w:val="23"/>
          <w:szCs w:val="23"/>
          <w:lang w:eastAsia="en-AU"/>
        </w:rPr>
        <w:t xml:space="preserve"> </w:t>
      </w:r>
      <w:r w:rsidR="00024FDB" w:rsidRPr="001C5C70">
        <w:rPr>
          <w:bCs/>
          <w:sz w:val="23"/>
          <w:szCs w:val="23"/>
        </w:rPr>
        <w:t>has been maintained.</w:t>
      </w:r>
    </w:p>
    <w:p w:rsidR="003C68B4" w:rsidRDefault="003C68B4" w:rsidP="001C5C70">
      <w:pPr>
        <w:widowControl/>
        <w:adjustRightInd/>
        <w:spacing w:line="240" w:lineRule="auto"/>
        <w:textAlignment w:val="auto"/>
        <w:rPr>
          <w:sz w:val="23"/>
          <w:szCs w:val="23"/>
          <w:u w:val="single"/>
          <w:lang w:eastAsia="en-AU"/>
        </w:rPr>
      </w:pPr>
    </w:p>
    <w:p w:rsidR="00CA4C46" w:rsidRPr="001C5C70" w:rsidRDefault="006976EC" w:rsidP="001C5C70">
      <w:pPr>
        <w:widowControl/>
        <w:adjustRightInd/>
        <w:spacing w:line="240" w:lineRule="auto"/>
        <w:textAlignment w:val="auto"/>
        <w:rPr>
          <w:sz w:val="23"/>
          <w:szCs w:val="23"/>
          <w:u w:val="single"/>
          <w:lang w:eastAsia="en-AU"/>
        </w:rPr>
      </w:pPr>
      <w:r w:rsidRPr="001C5C70">
        <w:rPr>
          <w:sz w:val="23"/>
          <w:szCs w:val="23"/>
          <w:u w:val="single"/>
          <w:lang w:eastAsia="en-AU"/>
        </w:rPr>
        <w:t xml:space="preserve">Chapter </w:t>
      </w:r>
      <w:r w:rsidR="00D12DAA" w:rsidRPr="001C5C70">
        <w:rPr>
          <w:sz w:val="23"/>
          <w:szCs w:val="23"/>
          <w:u w:val="single"/>
          <w:lang w:eastAsia="en-AU"/>
        </w:rPr>
        <w:t>5</w:t>
      </w:r>
      <w:r w:rsidRPr="001C5C70">
        <w:rPr>
          <w:sz w:val="23"/>
          <w:szCs w:val="23"/>
          <w:u w:val="single"/>
          <w:lang w:eastAsia="en-AU"/>
        </w:rPr>
        <w:t>: Capital requirements</w:t>
      </w:r>
    </w:p>
    <w:p w:rsidR="003C68B4" w:rsidRDefault="003C68B4" w:rsidP="001C5C70">
      <w:pPr>
        <w:widowControl/>
        <w:adjustRightInd/>
        <w:spacing w:line="240" w:lineRule="auto"/>
        <w:textAlignment w:val="auto"/>
        <w:rPr>
          <w:sz w:val="23"/>
          <w:szCs w:val="23"/>
          <w:lang w:eastAsia="en-AU"/>
        </w:rPr>
      </w:pPr>
    </w:p>
    <w:p w:rsidR="00EA5E9D" w:rsidRDefault="0068444E" w:rsidP="00633ADE">
      <w:pPr>
        <w:spacing w:line="240" w:lineRule="auto"/>
        <w:rPr>
          <w:sz w:val="23"/>
          <w:szCs w:val="23"/>
          <w:lang w:eastAsia="en-AU"/>
        </w:rPr>
      </w:pPr>
      <w:r w:rsidRPr="001C5C70">
        <w:rPr>
          <w:sz w:val="23"/>
          <w:szCs w:val="23"/>
          <w:lang w:eastAsia="en-AU"/>
        </w:rPr>
        <w:t xml:space="preserve">Chapter </w:t>
      </w:r>
      <w:r w:rsidR="00D12DAA" w:rsidRPr="001C5C70">
        <w:rPr>
          <w:sz w:val="23"/>
          <w:szCs w:val="23"/>
          <w:lang w:eastAsia="en-AU"/>
        </w:rPr>
        <w:t>5</w:t>
      </w:r>
      <w:r w:rsidRPr="001C5C70">
        <w:rPr>
          <w:sz w:val="23"/>
          <w:szCs w:val="23"/>
          <w:lang w:eastAsia="en-AU"/>
        </w:rPr>
        <w:t xml:space="preserve"> of the</w:t>
      </w:r>
      <w:r w:rsidR="00B43290">
        <w:rPr>
          <w:sz w:val="23"/>
          <w:szCs w:val="23"/>
          <w:lang w:eastAsia="en-AU"/>
        </w:rPr>
        <w:t xml:space="preserve"> </w:t>
      </w:r>
      <w:r w:rsidR="00B43290" w:rsidRPr="001C5C70">
        <w:rPr>
          <w:sz w:val="23"/>
          <w:szCs w:val="23"/>
        </w:rPr>
        <w:t xml:space="preserve">ASIC Market Integrity Rules (ASX 24-Capital) </w:t>
      </w:r>
      <w:r w:rsidR="009C0F63">
        <w:rPr>
          <w:sz w:val="23"/>
          <w:szCs w:val="23"/>
        </w:rPr>
        <w:t xml:space="preserve">replaces, and is identical to, Chapter 5 of the </w:t>
      </w:r>
      <w:r w:rsidR="00B43290" w:rsidRPr="001C5C70">
        <w:rPr>
          <w:sz w:val="23"/>
          <w:szCs w:val="23"/>
        </w:rPr>
        <w:t xml:space="preserve">ASIC Market Integrity Rules (ASX 24). </w:t>
      </w:r>
      <w:r w:rsidR="006E5791">
        <w:rPr>
          <w:sz w:val="23"/>
          <w:szCs w:val="23"/>
        </w:rPr>
        <w:t>Chapter 5</w:t>
      </w:r>
      <w:r w:rsidR="00B43290" w:rsidRPr="001C5C70">
        <w:rPr>
          <w:sz w:val="23"/>
          <w:szCs w:val="23"/>
        </w:rPr>
        <w:t xml:space="preserve"> </w:t>
      </w:r>
      <w:r w:rsidR="006E5791">
        <w:rPr>
          <w:sz w:val="23"/>
          <w:szCs w:val="23"/>
        </w:rPr>
        <w:t>of the</w:t>
      </w:r>
      <w:r w:rsidRPr="001C5C70">
        <w:rPr>
          <w:sz w:val="23"/>
          <w:szCs w:val="23"/>
          <w:lang w:eastAsia="en-AU"/>
        </w:rPr>
        <w:t xml:space="preserve"> rules sets out the core </w:t>
      </w:r>
      <w:r w:rsidR="00DF6425">
        <w:rPr>
          <w:sz w:val="23"/>
          <w:szCs w:val="23"/>
          <w:lang w:eastAsia="en-AU"/>
        </w:rPr>
        <w:t xml:space="preserve">obligation </w:t>
      </w:r>
      <w:r w:rsidRPr="001C5C70">
        <w:rPr>
          <w:sz w:val="23"/>
          <w:szCs w:val="23"/>
          <w:lang w:eastAsia="en-AU"/>
        </w:rPr>
        <w:t xml:space="preserve">on a </w:t>
      </w:r>
      <w:r w:rsidR="00D12DAA" w:rsidRPr="001C5C70">
        <w:rPr>
          <w:sz w:val="23"/>
          <w:szCs w:val="23"/>
          <w:lang w:eastAsia="en-AU"/>
        </w:rPr>
        <w:t>Trading</w:t>
      </w:r>
      <w:r w:rsidRPr="001C5C70">
        <w:rPr>
          <w:sz w:val="23"/>
          <w:szCs w:val="23"/>
          <w:lang w:eastAsia="en-AU"/>
        </w:rPr>
        <w:t xml:space="preserve"> Participant of the </w:t>
      </w:r>
      <w:r w:rsidR="007D0852" w:rsidRPr="001C5C70">
        <w:rPr>
          <w:sz w:val="23"/>
          <w:szCs w:val="23"/>
          <w:lang w:eastAsia="en-AU"/>
        </w:rPr>
        <w:t>ASX 24 Market</w:t>
      </w:r>
      <w:r w:rsidRPr="001C5C70">
        <w:rPr>
          <w:sz w:val="23"/>
          <w:szCs w:val="23"/>
          <w:lang w:eastAsia="en-AU"/>
        </w:rPr>
        <w:t xml:space="preserve"> to comply with the </w:t>
      </w:r>
      <w:r w:rsidR="00D12DAA" w:rsidRPr="001C5C70">
        <w:rPr>
          <w:sz w:val="23"/>
          <w:szCs w:val="23"/>
          <w:lang w:eastAsia="en-AU"/>
        </w:rPr>
        <w:t>NTA</w:t>
      </w:r>
      <w:r w:rsidR="00633ADE">
        <w:rPr>
          <w:sz w:val="23"/>
          <w:szCs w:val="23"/>
          <w:lang w:eastAsia="en-AU"/>
        </w:rPr>
        <w:t xml:space="preserve"> Requirements, </w:t>
      </w:r>
      <w:r w:rsidRPr="001C5C70">
        <w:rPr>
          <w:sz w:val="23"/>
          <w:szCs w:val="23"/>
          <w:lang w:eastAsia="en-AU"/>
        </w:rPr>
        <w:t>unless</w:t>
      </w:r>
      <w:r w:rsidR="00941E37" w:rsidRPr="001C5C70">
        <w:rPr>
          <w:sz w:val="23"/>
          <w:szCs w:val="23"/>
          <w:lang w:eastAsia="en-AU"/>
        </w:rPr>
        <w:t xml:space="preserve"> the Market Participant</w:t>
      </w:r>
      <w:r w:rsidR="00633ADE">
        <w:rPr>
          <w:sz w:val="23"/>
          <w:szCs w:val="23"/>
          <w:lang w:eastAsia="en-AU"/>
        </w:rPr>
        <w:t xml:space="preserve"> is only</w:t>
      </w:r>
      <w:r w:rsidR="00D46EA5" w:rsidRPr="001C5C70">
        <w:rPr>
          <w:sz w:val="23"/>
          <w:szCs w:val="23"/>
          <w:lang w:eastAsia="en-AU"/>
        </w:rPr>
        <w:t xml:space="preserve"> a Principal Trader</w:t>
      </w:r>
      <w:r w:rsidR="00941E37" w:rsidRPr="001C5C70">
        <w:rPr>
          <w:sz w:val="23"/>
          <w:szCs w:val="23"/>
          <w:lang w:eastAsia="en-AU"/>
        </w:rPr>
        <w:t xml:space="preserve"> or</w:t>
      </w:r>
      <w:r w:rsidR="00633ADE">
        <w:rPr>
          <w:sz w:val="23"/>
          <w:szCs w:val="23"/>
          <w:lang w:eastAsia="en-AU"/>
        </w:rPr>
        <w:t xml:space="preserve"> </w:t>
      </w:r>
      <w:r w:rsidR="00EA5E9D" w:rsidRPr="001C5C70">
        <w:rPr>
          <w:sz w:val="23"/>
          <w:szCs w:val="23"/>
          <w:lang w:eastAsia="en-AU"/>
        </w:rPr>
        <w:t xml:space="preserve">is a Clearing Participant of ASX Clear </w:t>
      </w:r>
      <w:r w:rsidR="00D12DAA" w:rsidRPr="001C5C70">
        <w:rPr>
          <w:sz w:val="23"/>
          <w:szCs w:val="23"/>
          <w:lang w:eastAsia="en-AU"/>
        </w:rPr>
        <w:t xml:space="preserve">(Futures) </w:t>
      </w:r>
      <w:r w:rsidR="00EA5E9D" w:rsidRPr="001C5C70">
        <w:rPr>
          <w:sz w:val="23"/>
          <w:szCs w:val="23"/>
          <w:lang w:eastAsia="en-AU"/>
        </w:rPr>
        <w:t xml:space="preserve">and complies with the capital requirements under the ASX Clear </w:t>
      </w:r>
      <w:r w:rsidR="00D12DAA" w:rsidRPr="001C5C70">
        <w:rPr>
          <w:sz w:val="23"/>
          <w:szCs w:val="23"/>
          <w:lang w:eastAsia="en-AU"/>
        </w:rPr>
        <w:t xml:space="preserve">(Futures) </w:t>
      </w:r>
      <w:r w:rsidR="00EA5E9D" w:rsidRPr="001C5C70">
        <w:rPr>
          <w:sz w:val="23"/>
          <w:szCs w:val="23"/>
          <w:lang w:eastAsia="en-AU"/>
        </w:rPr>
        <w:t xml:space="preserve">Operating Rules. </w:t>
      </w:r>
    </w:p>
    <w:p w:rsidR="00633ADE" w:rsidRPr="001C5C70" w:rsidRDefault="00633ADE" w:rsidP="00633ADE">
      <w:pPr>
        <w:spacing w:line="240" w:lineRule="auto"/>
        <w:rPr>
          <w:sz w:val="23"/>
          <w:szCs w:val="23"/>
          <w:lang w:eastAsia="en-AU"/>
        </w:rPr>
      </w:pPr>
    </w:p>
    <w:p w:rsidR="00AB07B8" w:rsidRPr="001C5C70" w:rsidRDefault="001D594C" w:rsidP="001C5C70">
      <w:pPr>
        <w:widowControl/>
        <w:adjustRightInd/>
        <w:spacing w:line="240" w:lineRule="auto"/>
        <w:textAlignment w:val="auto"/>
        <w:rPr>
          <w:sz w:val="23"/>
          <w:szCs w:val="23"/>
          <w:u w:val="single"/>
          <w:lang w:eastAsia="en-AU"/>
        </w:rPr>
      </w:pPr>
      <w:r w:rsidRPr="001C5C70">
        <w:rPr>
          <w:sz w:val="23"/>
          <w:szCs w:val="23"/>
          <w:u w:val="single"/>
          <w:lang w:eastAsia="en-AU"/>
        </w:rPr>
        <w:t xml:space="preserve">Chapter </w:t>
      </w:r>
      <w:r w:rsidR="00A92072" w:rsidRPr="001C5C70">
        <w:rPr>
          <w:sz w:val="23"/>
          <w:szCs w:val="23"/>
          <w:u w:val="single"/>
          <w:lang w:eastAsia="en-AU"/>
        </w:rPr>
        <w:t>6</w:t>
      </w:r>
      <w:r w:rsidRPr="001C5C70">
        <w:rPr>
          <w:sz w:val="23"/>
          <w:szCs w:val="23"/>
          <w:u w:val="single"/>
          <w:lang w:eastAsia="en-AU"/>
        </w:rPr>
        <w:t>: Accounts and audit</w:t>
      </w:r>
    </w:p>
    <w:p w:rsidR="004F241C" w:rsidRDefault="004F241C" w:rsidP="001C5C70">
      <w:pPr>
        <w:widowControl/>
        <w:adjustRightInd/>
        <w:spacing w:line="240" w:lineRule="auto"/>
        <w:textAlignment w:val="auto"/>
        <w:rPr>
          <w:sz w:val="23"/>
          <w:szCs w:val="23"/>
          <w:lang w:eastAsia="en-AU"/>
        </w:rPr>
      </w:pPr>
    </w:p>
    <w:p w:rsidR="00D435EF" w:rsidRDefault="001D594C" w:rsidP="004F241C">
      <w:pPr>
        <w:spacing w:line="240" w:lineRule="auto"/>
        <w:rPr>
          <w:sz w:val="23"/>
          <w:szCs w:val="23"/>
          <w:lang w:eastAsia="en-AU"/>
        </w:rPr>
      </w:pPr>
      <w:r w:rsidRPr="001C5C70">
        <w:rPr>
          <w:sz w:val="23"/>
          <w:szCs w:val="23"/>
          <w:lang w:eastAsia="en-AU"/>
        </w:rPr>
        <w:t xml:space="preserve">Chapter </w:t>
      </w:r>
      <w:r w:rsidR="00A92072" w:rsidRPr="001C5C70">
        <w:rPr>
          <w:sz w:val="23"/>
          <w:szCs w:val="23"/>
          <w:lang w:eastAsia="en-AU"/>
        </w:rPr>
        <w:t>6</w:t>
      </w:r>
      <w:r w:rsidRPr="001C5C70">
        <w:rPr>
          <w:sz w:val="23"/>
          <w:szCs w:val="23"/>
          <w:lang w:eastAsia="en-AU"/>
        </w:rPr>
        <w:t xml:space="preserve"> of the </w:t>
      </w:r>
      <w:r w:rsidR="004F241C">
        <w:rPr>
          <w:sz w:val="23"/>
          <w:szCs w:val="23"/>
          <w:lang w:eastAsia="en-AU"/>
        </w:rPr>
        <w:t>ASI</w:t>
      </w:r>
      <w:r w:rsidR="004F241C" w:rsidRPr="001C5C70">
        <w:rPr>
          <w:sz w:val="23"/>
          <w:szCs w:val="23"/>
        </w:rPr>
        <w:t>C Market Integrity Rules (ASX 24-Capital)</w:t>
      </w:r>
      <w:r w:rsidR="004F241C">
        <w:rPr>
          <w:sz w:val="23"/>
          <w:szCs w:val="23"/>
        </w:rPr>
        <w:t xml:space="preserve"> replaces, and with</w:t>
      </w:r>
      <w:r w:rsidR="00471322">
        <w:rPr>
          <w:sz w:val="23"/>
          <w:szCs w:val="23"/>
        </w:rPr>
        <w:t xml:space="preserve"> the exception of a</w:t>
      </w:r>
      <w:r w:rsidR="004F241C">
        <w:rPr>
          <w:sz w:val="23"/>
          <w:szCs w:val="23"/>
        </w:rPr>
        <w:t xml:space="preserve"> </w:t>
      </w:r>
      <w:r w:rsidR="00471322">
        <w:rPr>
          <w:sz w:val="22"/>
          <w:szCs w:val="22"/>
        </w:rPr>
        <w:t>small number of references to the streamlined capital return forms</w:t>
      </w:r>
      <w:r w:rsidR="004F241C">
        <w:rPr>
          <w:sz w:val="23"/>
          <w:szCs w:val="23"/>
        </w:rPr>
        <w:t xml:space="preserve"> is identical to, Chapter 6 </w:t>
      </w:r>
      <w:r w:rsidR="004F241C" w:rsidRPr="001C5C70">
        <w:rPr>
          <w:sz w:val="23"/>
          <w:szCs w:val="23"/>
        </w:rPr>
        <w:t xml:space="preserve">of the ASIC Market Integrity Rules (ASX 24). </w:t>
      </w:r>
      <w:r w:rsidR="004F241C">
        <w:rPr>
          <w:sz w:val="23"/>
          <w:szCs w:val="23"/>
        </w:rPr>
        <w:t>Chapter 6 of the</w:t>
      </w:r>
      <w:r w:rsidR="004F241C" w:rsidRPr="001C5C70">
        <w:rPr>
          <w:sz w:val="23"/>
          <w:szCs w:val="23"/>
        </w:rPr>
        <w:t xml:space="preserve"> </w:t>
      </w:r>
      <w:r w:rsidRPr="001C5C70">
        <w:rPr>
          <w:sz w:val="23"/>
          <w:szCs w:val="23"/>
          <w:lang w:eastAsia="en-AU"/>
        </w:rPr>
        <w:t xml:space="preserve">rules sets out the core reporting requirements for a Market Participant of the </w:t>
      </w:r>
      <w:r w:rsidR="007D0852" w:rsidRPr="001C5C70">
        <w:rPr>
          <w:sz w:val="23"/>
          <w:szCs w:val="23"/>
          <w:lang w:eastAsia="en-AU"/>
        </w:rPr>
        <w:t>ASX 24 Market</w:t>
      </w:r>
      <w:r w:rsidRPr="001C5C70">
        <w:rPr>
          <w:sz w:val="23"/>
          <w:szCs w:val="23"/>
          <w:lang w:eastAsia="en-AU"/>
        </w:rPr>
        <w:t xml:space="preserve"> that complies with the NTA Requirements.</w:t>
      </w:r>
    </w:p>
    <w:p w:rsidR="001679FD" w:rsidRPr="001C5C70" w:rsidRDefault="001679FD" w:rsidP="004F241C">
      <w:pPr>
        <w:spacing w:line="240" w:lineRule="auto"/>
        <w:rPr>
          <w:sz w:val="23"/>
          <w:szCs w:val="23"/>
          <w:lang w:eastAsia="en-AU"/>
        </w:rPr>
      </w:pPr>
    </w:p>
    <w:p w:rsidR="001679FD" w:rsidRDefault="00C04295" w:rsidP="001C5C70">
      <w:pPr>
        <w:widowControl/>
        <w:adjustRightInd/>
        <w:spacing w:line="240" w:lineRule="auto"/>
        <w:textAlignment w:val="auto"/>
        <w:rPr>
          <w:sz w:val="22"/>
          <w:szCs w:val="22"/>
          <w:lang w:eastAsia="en-AU"/>
        </w:rPr>
      </w:pPr>
      <w:r>
        <w:rPr>
          <w:sz w:val="23"/>
          <w:szCs w:val="23"/>
          <w:lang w:eastAsia="en-AU"/>
        </w:rPr>
        <w:t xml:space="preserve">Chapter 6 </w:t>
      </w:r>
      <w:r w:rsidR="00A518DB" w:rsidRPr="001C5C70">
        <w:rPr>
          <w:sz w:val="23"/>
          <w:szCs w:val="23"/>
          <w:lang w:eastAsia="en-AU"/>
        </w:rPr>
        <w:t xml:space="preserve">requires Market Participants complying with the NTA Requirements to submit to </w:t>
      </w:r>
      <w:r w:rsidR="001679FD" w:rsidRPr="005A1416">
        <w:rPr>
          <w:sz w:val="22"/>
          <w:szCs w:val="22"/>
          <w:lang w:eastAsia="en-AU"/>
        </w:rPr>
        <w:t>ASIC</w:t>
      </w:r>
      <w:r w:rsidR="001679FD">
        <w:rPr>
          <w:sz w:val="22"/>
          <w:szCs w:val="22"/>
          <w:lang w:eastAsia="en-AU"/>
        </w:rPr>
        <w:t xml:space="preserve"> Ad Hoc, Summary, Monthly and Annual NTA Returns and related NTA Return Declarations at the times specified.</w:t>
      </w:r>
    </w:p>
    <w:p w:rsidR="001679FD" w:rsidRDefault="001679FD" w:rsidP="001C5C70">
      <w:pPr>
        <w:widowControl/>
        <w:adjustRightInd/>
        <w:spacing w:line="240" w:lineRule="auto"/>
        <w:textAlignment w:val="auto"/>
        <w:rPr>
          <w:sz w:val="22"/>
          <w:szCs w:val="22"/>
          <w:lang w:eastAsia="en-AU"/>
        </w:rPr>
      </w:pPr>
    </w:p>
    <w:p w:rsidR="00D3651A" w:rsidRDefault="00D3651A" w:rsidP="001C5C70">
      <w:pPr>
        <w:widowControl/>
        <w:adjustRightInd/>
        <w:spacing w:line="240" w:lineRule="auto"/>
        <w:textAlignment w:val="auto"/>
        <w:rPr>
          <w:bCs/>
          <w:sz w:val="22"/>
          <w:szCs w:val="22"/>
        </w:rPr>
      </w:pPr>
      <w:r w:rsidRPr="005A1416">
        <w:rPr>
          <w:bCs/>
          <w:sz w:val="22"/>
          <w:szCs w:val="22"/>
        </w:rPr>
        <w:t>ASIC was able to reduce</w:t>
      </w:r>
      <w:r>
        <w:rPr>
          <w:bCs/>
          <w:sz w:val="22"/>
          <w:szCs w:val="22"/>
        </w:rPr>
        <w:t xml:space="preserve"> three of the four different </w:t>
      </w:r>
      <w:r w:rsidRPr="005A1416">
        <w:rPr>
          <w:bCs/>
          <w:sz w:val="22"/>
          <w:szCs w:val="22"/>
        </w:rPr>
        <w:t>returns</w:t>
      </w:r>
      <w:r>
        <w:rPr>
          <w:bCs/>
          <w:sz w:val="22"/>
          <w:szCs w:val="22"/>
        </w:rPr>
        <w:t xml:space="preserve"> relating to the NTA Requirements</w:t>
      </w:r>
      <w:r w:rsidRPr="005A1416">
        <w:rPr>
          <w:bCs/>
          <w:sz w:val="22"/>
          <w:szCs w:val="22"/>
        </w:rPr>
        <w:t xml:space="preserve"> in </w:t>
      </w:r>
      <w:r>
        <w:rPr>
          <w:bCs/>
          <w:sz w:val="22"/>
          <w:szCs w:val="22"/>
        </w:rPr>
        <w:t xml:space="preserve">the </w:t>
      </w:r>
      <w:r w:rsidRPr="005A1416">
        <w:rPr>
          <w:bCs/>
          <w:sz w:val="22"/>
          <w:szCs w:val="22"/>
        </w:rPr>
        <w:t xml:space="preserve">Schedule to </w:t>
      </w:r>
      <w:r>
        <w:rPr>
          <w:bCs/>
          <w:sz w:val="22"/>
          <w:szCs w:val="22"/>
        </w:rPr>
        <w:t xml:space="preserve">a single </w:t>
      </w:r>
      <w:r w:rsidRPr="005A1416">
        <w:rPr>
          <w:bCs/>
          <w:sz w:val="22"/>
          <w:szCs w:val="22"/>
        </w:rPr>
        <w:t>'master' return</w:t>
      </w:r>
      <w:r>
        <w:rPr>
          <w:bCs/>
          <w:sz w:val="22"/>
          <w:szCs w:val="22"/>
        </w:rPr>
        <w:t xml:space="preserve"> </w:t>
      </w:r>
      <w:r w:rsidRPr="005A1416">
        <w:rPr>
          <w:bCs/>
          <w:sz w:val="22"/>
          <w:szCs w:val="22"/>
        </w:rPr>
        <w:t xml:space="preserve">from which other returns can be derived. </w:t>
      </w:r>
      <w:r w:rsidRPr="005A1416">
        <w:rPr>
          <w:sz w:val="22"/>
          <w:szCs w:val="22"/>
          <w:lang w:eastAsia="en-AU"/>
        </w:rPr>
        <w:t xml:space="preserve">In order to accommodate this </w:t>
      </w:r>
      <w:r w:rsidR="00310800">
        <w:rPr>
          <w:sz w:val="22"/>
          <w:szCs w:val="22"/>
          <w:lang w:eastAsia="en-AU"/>
        </w:rPr>
        <w:t>change, new Rule 6.2</w:t>
      </w:r>
      <w:r w:rsidRPr="005A1416">
        <w:rPr>
          <w:sz w:val="22"/>
          <w:szCs w:val="22"/>
          <w:lang w:eastAsia="en-AU"/>
        </w:rPr>
        <w:t>.1A set</w:t>
      </w:r>
      <w:r>
        <w:rPr>
          <w:sz w:val="22"/>
          <w:szCs w:val="22"/>
          <w:lang w:eastAsia="en-AU"/>
        </w:rPr>
        <w:t>s</w:t>
      </w:r>
      <w:r w:rsidRPr="005A1416">
        <w:rPr>
          <w:sz w:val="22"/>
          <w:szCs w:val="22"/>
          <w:lang w:eastAsia="en-AU"/>
        </w:rPr>
        <w:t xml:space="preserve"> out definitions for the Ad-Hoc, Summary, Monthly and Annual Audited </w:t>
      </w:r>
      <w:r>
        <w:rPr>
          <w:sz w:val="22"/>
          <w:szCs w:val="22"/>
          <w:lang w:eastAsia="en-AU"/>
        </w:rPr>
        <w:t xml:space="preserve">NTA Returns </w:t>
      </w:r>
      <w:r w:rsidRPr="005A1416">
        <w:rPr>
          <w:sz w:val="22"/>
          <w:szCs w:val="22"/>
          <w:lang w:eastAsia="en-AU"/>
        </w:rPr>
        <w:t xml:space="preserve">and related </w:t>
      </w:r>
      <w:r>
        <w:rPr>
          <w:sz w:val="22"/>
          <w:szCs w:val="22"/>
          <w:lang w:eastAsia="en-AU"/>
        </w:rPr>
        <w:t>NTA Return</w:t>
      </w:r>
      <w:r w:rsidRPr="005A1416">
        <w:rPr>
          <w:sz w:val="22"/>
          <w:szCs w:val="22"/>
          <w:lang w:eastAsia="en-AU"/>
        </w:rPr>
        <w:t xml:space="preserve"> Declarations. These definitions act as signposts to the relevant sections of the streamlined 'master' </w:t>
      </w:r>
      <w:r>
        <w:rPr>
          <w:sz w:val="22"/>
          <w:szCs w:val="22"/>
          <w:lang w:eastAsia="en-AU"/>
        </w:rPr>
        <w:t>returns and declaration</w:t>
      </w:r>
      <w:r w:rsidRPr="005A1416">
        <w:rPr>
          <w:sz w:val="22"/>
          <w:szCs w:val="22"/>
          <w:lang w:eastAsia="en-AU"/>
        </w:rPr>
        <w:t xml:space="preserve"> in </w:t>
      </w:r>
      <w:r w:rsidR="00310800">
        <w:rPr>
          <w:sz w:val="22"/>
          <w:szCs w:val="22"/>
          <w:lang w:eastAsia="en-AU"/>
        </w:rPr>
        <w:t>the Schedule</w:t>
      </w:r>
      <w:r w:rsidRPr="005A1416">
        <w:rPr>
          <w:sz w:val="22"/>
          <w:szCs w:val="22"/>
          <w:lang w:eastAsia="en-AU"/>
        </w:rPr>
        <w:t xml:space="preserve">. </w:t>
      </w:r>
      <w:r>
        <w:rPr>
          <w:sz w:val="22"/>
          <w:szCs w:val="22"/>
          <w:lang w:eastAsia="en-AU"/>
        </w:rPr>
        <w:t>R</w:t>
      </w:r>
      <w:r w:rsidRPr="005A1416">
        <w:rPr>
          <w:bCs/>
          <w:sz w:val="22"/>
          <w:szCs w:val="22"/>
        </w:rPr>
        <w:t xml:space="preserve">eferences to the form numbers in </w:t>
      </w:r>
      <w:r w:rsidR="00310800">
        <w:rPr>
          <w:bCs/>
          <w:sz w:val="22"/>
          <w:szCs w:val="22"/>
        </w:rPr>
        <w:t xml:space="preserve">the </w:t>
      </w:r>
      <w:r w:rsidRPr="005A1416">
        <w:rPr>
          <w:bCs/>
          <w:sz w:val="22"/>
          <w:szCs w:val="22"/>
        </w:rPr>
        <w:t xml:space="preserve">Schedule throughout the remainder of Chapter </w:t>
      </w:r>
      <w:r w:rsidR="00310800">
        <w:rPr>
          <w:bCs/>
          <w:sz w:val="22"/>
          <w:szCs w:val="22"/>
        </w:rPr>
        <w:t>6</w:t>
      </w:r>
      <w:r w:rsidRPr="005A1416">
        <w:rPr>
          <w:bCs/>
          <w:sz w:val="22"/>
          <w:szCs w:val="22"/>
        </w:rPr>
        <w:t xml:space="preserve"> have been replaced with the defined terms.</w:t>
      </w:r>
      <w:r w:rsidRPr="0049058E">
        <w:rPr>
          <w:bCs/>
          <w:sz w:val="22"/>
          <w:szCs w:val="22"/>
        </w:rPr>
        <w:t xml:space="preserve"> </w:t>
      </w:r>
    </w:p>
    <w:p w:rsidR="00137BFD" w:rsidRDefault="00137BFD" w:rsidP="001C5C70">
      <w:pPr>
        <w:widowControl/>
        <w:adjustRightInd/>
        <w:spacing w:line="240" w:lineRule="auto"/>
        <w:textAlignment w:val="auto"/>
        <w:rPr>
          <w:sz w:val="23"/>
          <w:szCs w:val="23"/>
          <w:lang w:eastAsia="en-AU"/>
        </w:rPr>
      </w:pPr>
    </w:p>
    <w:p w:rsidR="00A518DB" w:rsidRDefault="00514912" w:rsidP="001C5C70">
      <w:pPr>
        <w:widowControl/>
        <w:adjustRightInd/>
        <w:spacing w:line="240" w:lineRule="auto"/>
        <w:textAlignment w:val="auto"/>
        <w:rPr>
          <w:sz w:val="23"/>
          <w:szCs w:val="23"/>
          <w:lang w:eastAsia="en-AU"/>
        </w:rPr>
      </w:pPr>
      <w:r w:rsidRPr="001C5C70">
        <w:rPr>
          <w:sz w:val="23"/>
          <w:szCs w:val="23"/>
          <w:lang w:eastAsia="en-AU"/>
        </w:rPr>
        <w:t xml:space="preserve">A Market Participant may continue to submit certain of its returns and declarations using the ASX Return Lodgement and Monitoring System as provided in Rule </w:t>
      </w:r>
      <w:r w:rsidR="006F3FC0" w:rsidRPr="001C5C70">
        <w:rPr>
          <w:sz w:val="23"/>
          <w:szCs w:val="23"/>
          <w:lang w:eastAsia="en-AU"/>
        </w:rPr>
        <w:t>6.2.1</w:t>
      </w:r>
      <w:r w:rsidRPr="001C5C70">
        <w:rPr>
          <w:sz w:val="23"/>
          <w:szCs w:val="23"/>
          <w:lang w:eastAsia="en-AU"/>
        </w:rPr>
        <w:t>.</w:t>
      </w:r>
      <w:r w:rsidR="0058055E" w:rsidRPr="001C5C70">
        <w:rPr>
          <w:sz w:val="23"/>
          <w:szCs w:val="23"/>
          <w:lang w:eastAsia="en-AU"/>
        </w:rPr>
        <w:t xml:space="preserve"> A Market Participant must continue to assist its auditor in any audit conducted under </w:t>
      </w:r>
      <w:r w:rsidR="006F3FC0" w:rsidRPr="001C5C70">
        <w:rPr>
          <w:sz w:val="23"/>
          <w:szCs w:val="23"/>
          <w:lang w:eastAsia="en-AU"/>
        </w:rPr>
        <w:t>Rule 6.2.1(1</w:t>
      </w:r>
      <w:proofErr w:type="gramStart"/>
      <w:r w:rsidR="006F3FC0" w:rsidRPr="001C5C70">
        <w:rPr>
          <w:sz w:val="23"/>
          <w:szCs w:val="23"/>
          <w:lang w:eastAsia="en-AU"/>
        </w:rPr>
        <w:t>)(</w:t>
      </w:r>
      <w:proofErr w:type="gramEnd"/>
      <w:r w:rsidR="006F3FC0" w:rsidRPr="001C5C70">
        <w:rPr>
          <w:sz w:val="23"/>
          <w:szCs w:val="23"/>
          <w:lang w:eastAsia="en-AU"/>
        </w:rPr>
        <w:t xml:space="preserve">c) </w:t>
      </w:r>
      <w:r w:rsidR="0058055E" w:rsidRPr="001C5C70">
        <w:rPr>
          <w:sz w:val="23"/>
          <w:szCs w:val="23"/>
          <w:lang w:eastAsia="en-AU"/>
        </w:rPr>
        <w:t xml:space="preserve">(see Rule </w:t>
      </w:r>
      <w:r w:rsidR="006F3FC0" w:rsidRPr="001C5C70">
        <w:rPr>
          <w:sz w:val="23"/>
          <w:szCs w:val="23"/>
          <w:lang w:eastAsia="en-AU"/>
        </w:rPr>
        <w:t>6.2.2</w:t>
      </w:r>
      <w:r w:rsidR="0058055E" w:rsidRPr="001C5C70">
        <w:rPr>
          <w:sz w:val="23"/>
          <w:szCs w:val="23"/>
          <w:lang w:eastAsia="en-AU"/>
        </w:rPr>
        <w:t>).</w:t>
      </w:r>
    </w:p>
    <w:p w:rsidR="000B44B7" w:rsidRDefault="000B44B7" w:rsidP="001C5C70">
      <w:pPr>
        <w:widowControl/>
        <w:adjustRightInd/>
        <w:spacing w:line="240" w:lineRule="auto"/>
        <w:textAlignment w:val="auto"/>
        <w:rPr>
          <w:bCs/>
          <w:sz w:val="23"/>
          <w:szCs w:val="23"/>
        </w:rPr>
      </w:pPr>
    </w:p>
    <w:p w:rsidR="00FB1724" w:rsidRPr="001C5C70" w:rsidRDefault="003E3BB3" w:rsidP="001C5C70">
      <w:pPr>
        <w:widowControl/>
        <w:adjustRightInd/>
        <w:spacing w:line="240" w:lineRule="auto"/>
        <w:textAlignment w:val="auto"/>
        <w:rPr>
          <w:sz w:val="23"/>
          <w:szCs w:val="23"/>
          <w:u w:val="single"/>
        </w:rPr>
      </w:pPr>
      <w:r w:rsidRPr="001C5C70">
        <w:rPr>
          <w:sz w:val="23"/>
          <w:szCs w:val="23"/>
          <w:u w:val="single"/>
        </w:rPr>
        <w:t>Schedule</w:t>
      </w:r>
    </w:p>
    <w:p w:rsidR="00FB1724" w:rsidRPr="001C5C70" w:rsidRDefault="00FB1724" w:rsidP="001C5C70">
      <w:pPr>
        <w:widowControl/>
        <w:adjustRightInd/>
        <w:spacing w:line="240" w:lineRule="auto"/>
        <w:textAlignment w:val="auto"/>
        <w:rPr>
          <w:sz w:val="23"/>
          <w:szCs w:val="23"/>
        </w:rPr>
      </w:pPr>
    </w:p>
    <w:p w:rsidR="00165F6B" w:rsidRDefault="00FB1724" w:rsidP="001C5C70">
      <w:pPr>
        <w:widowControl/>
        <w:adjustRightInd/>
        <w:spacing w:line="240" w:lineRule="auto"/>
        <w:textAlignment w:val="auto"/>
        <w:rPr>
          <w:sz w:val="23"/>
          <w:szCs w:val="23"/>
        </w:rPr>
      </w:pPr>
      <w:r w:rsidRPr="001C5C70">
        <w:rPr>
          <w:sz w:val="23"/>
          <w:szCs w:val="23"/>
        </w:rPr>
        <w:t>The Schedule sets out</w:t>
      </w:r>
      <w:r w:rsidR="00165F6B">
        <w:rPr>
          <w:sz w:val="23"/>
          <w:szCs w:val="23"/>
        </w:rPr>
        <w:t xml:space="preserve"> the following forms:</w:t>
      </w:r>
    </w:p>
    <w:p w:rsidR="00C76FEA" w:rsidRPr="00323D3A" w:rsidRDefault="00F35087" w:rsidP="00F35087">
      <w:pPr>
        <w:pStyle w:val="ListParagraph"/>
        <w:widowControl/>
        <w:numPr>
          <w:ilvl w:val="0"/>
          <w:numId w:val="27"/>
        </w:numPr>
        <w:adjustRightInd/>
        <w:spacing w:before="100" w:beforeAutospacing="1" w:after="100" w:afterAutospacing="1" w:line="240" w:lineRule="auto"/>
        <w:textAlignment w:val="auto"/>
        <w:rPr>
          <w:sz w:val="23"/>
          <w:szCs w:val="23"/>
          <w:lang w:eastAsia="en-AU"/>
        </w:rPr>
      </w:pPr>
      <w:r w:rsidRPr="00323D3A">
        <w:rPr>
          <w:sz w:val="23"/>
          <w:szCs w:val="23"/>
          <w:lang w:eastAsia="en-AU"/>
        </w:rPr>
        <w:t xml:space="preserve">Form </w:t>
      </w:r>
      <w:r w:rsidR="00C76FEA" w:rsidRPr="00323D3A">
        <w:rPr>
          <w:sz w:val="23"/>
          <w:szCs w:val="23"/>
          <w:lang w:eastAsia="en-AU"/>
        </w:rPr>
        <w:t>3</w:t>
      </w:r>
      <w:r w:rsidRPr="00323D3A">
        <w:rPr>
          <w:sz w:val="23"/>
          <w:szCs w:val="23"/>
          <w:lang w:eastAsia="en-AU"/>
        </w:rPr>
        <w:t xml:space="preserve"> (Part 1) –</w:t>
      </w:r>
      <w:r w:rsidR="00C76FEA" w:rsidRPr="00323D3A">
        <w:rPr>
          <w:sz w:val="23"/>
          <w:szCs w:val="23"/>
          <w:lang w:eastAsia="en-AU"/>
        </w:rPr>
        <w:t xml:space="preserve"> Directors' Declaration;</w:t>
      </w:r>
    </w:p>
    <w:p w:rsidR="00C76FEA" w:rsidRPr="00323D3A" w:rsidRDefault="00C76FEA" w:rsidP="00F35087">
      <w:pPr>
        <w:pStyle w:val="ListParagraph"/>
        <w:widowControl/>
        <w:numPr>
          <w:ilvl w:val="0"/>
          <w:numId w:val="27"/>
        </w:numPr>
        <w:adjustRightInd/>
        <w:spacing w:before="100" w:beforeAutospacing="1" w:after="100" w:afterAutospacing="1" w:line="240" w:lineRule="auto"/>
        <w:textAlignment w:val="auto"/>
        <w:rPr>
          <w:sz w:val="23"/>
          <w:szCs w:val="23"/>
          <w:lang w:eastAsia="en-AU"/>
        </w:rPr>
      </w:pPr>
      <w:r w:rsidRPr="00323D3A">
        <w:rPr>
          <w:sz w:val="23"/>
          <w:szCs w:val="23"/>
          <w:lang w:eastAsia="en-AU"/>
        </w:rPr>
        <w:t>Form 3 (Part 2) – Directors' Declaration (Annual Statement);</w:t>
      </w:r>
    </w:p>
    <w:p w:rsidR="00C76FEA" w:rsidRPr="00323D3A" w:rsidRDefault="00C76FEA" w:rsidP="00F35087">
      <w:pPr>
        <w:pStyle w:val="ListParagraph"/>
        <w:widowControl/>
        <w:numPr>
          <w:ilvl w:val="0"/>
          <w:numId w:val="27"/>
        </w:numPr>
        <w:adjustRightInd/>
        <w:spacing w:before="100" w:beforeAutospacing="1" w:after="100" w:afterAutospacing="1" w:line="240" w:lineRule="auto"/>
        <w:textAlignment w:val="auto"/>
        <w:rPr>
          <w:sz w:val="23"/>
          <w:szCs w:val="23"/>
          <w:lang w:eastAsia="en-AU"/>
        </w:rPr>
      </w:pPr>
      <w:r w:rsidRPr="00323D3A">
        <w:rPr>
          <w:sz w:val="23"/>
          <w:szCs w:val="23"/>
          <w:lang w:eastAsia="en-AU"/>
        </w:rPr>
        <w:t>Form 4 (Part 1) – Auditors' Report on the NTA Rules;</w:t>
      </w:r>
    </w:p>
    <w:p w:rsidR="00C76FEA" w:rsidRPr="00323D3A" w:rsidRDefault="00C76FEA" w:rsidP="00F35087">
      <w:pPr>
        <w:pStyle w:val="ListParagraph"/>
        <w:widowControl/>
        <w:numPr>
          <w:ilvl w:val="0"/>
          <w:numId w:val="27"/>
        </w:numPr>
        <w:adjustRightInd/>
        <w:spacing w:before="100" w:beforeAutospacing="1" w:after="100" w:afterAutospacing="1" w:line="240" w:lineRule="auto"/>
        <w:textAlignment w:val="auto"/>
        <w:rPr>
          <w:sz w:val="23"/>
          <w:szCs w:val="23"/>
          <w:lang w:eastAsia="en-AU"/>
        </w:rPr>
      </w:pPr>
      <w:r w:rsidRPr="00323D3A">
        <w:rPr>
          <w:sz w:val="23"/>
          <w:szCs w:val="23"/>
          <w:lang w:eastAsia="en-AU"/>
        </w:rPr>
        <w:t>Form 4 (Part 2) – Auditors' Report on the NTA Return;</w:t>
      </w:r>
    </w:p>
    <w:p w:rsidR="00C76FEA" w:rsidRPr="00323D3A" w:rsidRDefault="00C76FEA" w:rsidP="00F35087">
      <w:pPr>
        <w:pStyle w:val="ListParagraph"/>
        <w:widowControl/>
        <w:numPr>
          <w:ilvl w:val="0"/>
          <w:numId w:val="27"/>
        </w:numPr>
        <w:adjustRightInd/>
        <w:spacing w:before="100" w:beforeAutospacing="1" w:after="100" w:afterAutospacing="1" w:line="240" w:lineRule="auto"/>
        <w:textAlignment w:val="auto"/>
        <w:rPr>
          <w:sz w:val="23"/>
          <w:szCs w:val="23"/>
          <w:lang w:eastAsia="en-AU"/>
        </w:rPr>
      </w:pPr>
      <w:r w:rsidRPr="00323D3A">
        <w:rPr>
          <w:sz w:val="23"/>
          <w:szCs w:val="23"/>
          <w:lang w:eastAsia="en-AU"/>
        </w:rPr>
        <w:t>Form 5 – from which the Ad-Hoc, Annual Audited and Monthly NTA Returns are now derived;</w:t>
      </w:r>
    </w:p>
    <w:p w:rsidR="00F35087" w:rsidRPr="00323D3A" w:rsidRDefault="00F35087" w:rsidP="00F35087">
      <w:pPr>
        <w:pStyle w:val="ListParagraph"/>
        <w:widowControl/>
        <w:numPr>
          <w:ilvl w:val="0"/>
          <w:numId w:val="27"/>
        </w:numPr>
        <w:adjustRightInd/>
        <w:spacing w:before="100" w:beforeAutospacing="1" w:after="100" w:afterAutospacing="1" w:line="240" w:lineRule="auto"/>
        <w:textAlignment w:val="auto"/>
        <w:rPr>
          <w:sz w:val="23"/>
          <w:szCs w:val="23"/>
          <w:lang w:eastAsia="en-AU"/>
        </w:rPr>
      </w:pPr>
      <w:r w:rsidRPr="00323D3A">
        <w:rPr>
          <w:sz w:val="23"/>
          <w:szCs w:val="23"/>
          <w:lang w:eastAsia="en-AU"/>
        </w:rPr>
        <w:t xml:space="preserve">Form </w:t>
      </w:r>
      <w:r w:rsidR="00D672C9" w:rsidRPr="00323D3A">
        <w:rPr>
          <w:sz w:val="23"/>
          <w:szCs w:val="23"/>
          <w:lang w:eastAsia="en-AU"/>
        </w:rPr>
        <w:t>7</w:t>
      </w:r>
      <w:r w:rsidRPr="00323D3A">
        <w:rPr>
          <w:sz w:val="23"/>
          <w:szCs w:val="23"/>
          <w:lang w:eastAsia="en-AU"/>
        </w:rPr>
        <w:t xml:space="preserve"> – the Summary NTA Return.</w:t>
      </w:r>
    </w:p>
    <w:p w:rsidR="005F6E06" w:rsidRPr="001C5C70" w:rsidRDefault="005F6E06" w:rsidP="001C5C70">
      <w:pPr>
        <w:widowControl/>
        <w:adjustRightInd/>
        <w:spacing w:line="240" w:lineRule="auto"/>
        <w:textAlignment w:val="auto"/>
        <w:rPr>
          <w:b/>
          <w:bCs/>
          <w:iCs/>
          <w:sz w:val="23"/>
          <w:szCs w:val="23"/>
        </w:rPr>
      </w:pPr>
    </w:p>
    <w:p w:rsidR="005F6E06" w:rsidRPr="001C5C70" w:rsidRDefault="005F6E06" w:rsidP="001C5C70">
      <w:pPr>
        <w:widowControl/>
        <w:adjustRightInd/>
        <w:spacing w:line="240" w:lineRule="auto"/>
        <w:textAlignment w:val="auto"/>
        <w:rPr>
          <w:bCs/>
          <w:iCs/>
          <w:sz w:val="23"/>
          <w:szCs w:val="23"/>
        </w:rPr>
      </w:pPr>
    </w:p>
    <w:p w:rsidR="00DB095F" w:rsidRPr="001C5C70" w:rsidRDefault="00DB095F" w:rsidP="001C5C70">
      <w:pPr>
        <w:widowControl/>
        <w:adjustRightInd/>
        <w:spacing w:line="240" w:lineRule="auto"/>
        <w:textAlignment w:val="auto"/>
        <w:rPr>
          <w:bCs/>
          <w:iCs/>
          <w:sz w:val="23"/>
          <w:szCs w:val="23"/>
        </w:rPr>
      </w:pPr>
    </w:p>
    <w:p w:rsidR="000F1A69" w:rsidRPr="001C5C70" w:rsidRDefault="000F1A69" w:rsidP="001C5C70">
      <w:pPr>
        <w:widowControl/>
        <w:adjustRightInd/>
        <w:spacing w:line="240" w:lineRule="auto"/>
        <w:textAlignment w:val="auto"/>
        <w:rPr>
          <w:bCs/>
          <w:iCs/>
          <w:sz w:val="23"/>
          <w:szCs w:val="23"/>
        </w:rPr>
      </w:pPr>
    </w:p>
    <w:p w:rsidR="00F310DE" w:rsidRPr="001C5C70" w:rsidRDefault="00F310DE" w:rsidP="001C5C70">
      <w:pPr>
        <w:widowControl/>
        <w:adjustRightInd/>
        <w:spacing w:line="240" w:lineRule="auto"/>
        <w:textAlignment w:val="auto"/>
        <w:rPr>
          <w:sz w:val="23"/>
          <w:szCs w:val="23"/>
          <w:u w:val="single"/>
        </w:rPr>
      </w:pPr>
      <w:r w:rsidRPr="001C5C70">
        <w:rPr>
          <w:sz w:val="23"/>
          <w:szCs w:val="23"/>
          <w:u w:val="single"/>
        </w:rPr>
        <w:br w:type="page"/>
      </w:r>
    </w:p>
    <w:p w:rsidR="00465B3D" w:rsidRPr="005A1416" w:rsidRDefault="00126A7F" w:rsidP="00CB7475">
      <w:pPr>
        <w:widowControl/>
        <w:adjustRightInd/>
        <w:spacing w:after="120" w:line="240" w:lineRule="auto"/>
        <w:jc w:val="left"/>
        <w:textAlignment w:val="auto"/>
        <w:rPr>
          <w:b/>
          <w:i/>
          <w:iCs/>
          <w:sz w:val="22"/>
          <w:szCs w:val="22"/>
        </w:rPr>
      </w:pPr>
      <w:r w:rsidRPr="005A1416">
        <w:rPr>
          <w:b/>
          <w:sz w:val="22"/>
          <w:szCs w:val="22"/>
          <w:u w:val="single"/>
        </w:rPr>
        <w:t>ATTACHMENT B</w:t>
      </w:r>
      <w:r w:rsidR="00465B3D" w:rsidRPr="005A1416">
        <w:rPr>
          <w:b/>
          <w:i/>
          <w:iCs/>
          <w:sz w:val="22"/>
          <w:szCs w:val="22"/>
        </w:rPr>
        <w:t xml:space="preserve"> </w:t>
      </w:r>
    </w:p>
    <w:p w:rsidR="00274834" w:rsidRPr="005A1416" w:rsidRDefault="00274834" w:rsidP="007C59CA">
      <w:pPr>
        <w:widowControl/>
        <w:autoSpaceDE w:val="0"/>
        <w:autoSpaceDN w:val="0"/>
        <w:spacing w:after="240" w:line="240" w:lineRule="auto"/>
        <w:jc w:val="center"/>
        <w:textAlignment w:val="auto"/>
        <w:rPr>
          <w:sz w:val="22"/>
          <w:szCs w:val="22"/>
          <w:lang w:eastAsia="en-AU"/>
        </w:rPr>
      </w:pPr>
      <w:r w:rsidRPr="005A1416">
        <w:rPr>
          <w:b/>
          <w:bCs/>
          <w:sz w:val="22"/>
          <w:szCs w:val="22"/>
          <w:lang w:eastAsia="en-AU"/>
        </w:rPr>
        <w:t>Statement of Compatibility with Human Rights</w:t>
      </w:r>
    </w:p>
    <w:p w:rsidR="00274834" w:rsidRPr="005A1416" w:rsidRDefault="00274834" w:rsidP="007C59CA">
      <w:pPr>
        <w:widowControl/>
        <w:autoSpaceDE w:val="0"/>
        <w:autoSpaceDN w:val="0"/>
        <w:spacing w:after="240" w:line="240" w:lineRule="auto"/>
        <w:jc w:val="center"/>
        <w:textAlignment w:val="auto"/>
        <w:rPr>
          <w:sz w:val="22"/>
          <w:szCs w:val="22"/>
          <w:lang w:eastAsia="en-AU"/>
        </w:rPr>
      </w:pPr>
      <w:r w:rsidRPr="005A1416">
        <w:rPr>
          <w:i/>
          <w:iCs/>
          <w:sz w:val="22"/>
          <w:szCs w:val="22"/>
          <w:lang w:eastAsia="en-AU"/>
        </w:rPr>
        <w:t>Prepared in accordance with Part 3 of the Human Rights (Parliamentary Scrutiny) Act 2011</w:t>
      </w:r>
    </w:p>
    <w:p w:rsidR="00465B3D" w:rsidRPr="005A1416" w:rsidRDefault="008F02FD" w:rsidP="00CB7475">
      <w:pPr>
        <w:spacing w:after="120" w:line="240" w:lineRule="auto"/>
        <w:jc w:val="center"/>
        <w:rPr>
          <w:b/>
          <w:bCs/>
          <w:sz w:val="22"/>
          <w:szCs w:val="22"/>
        </w:rPr>
      </w:pPr>
      <w:r>
        <w:rPr>
          <w:b/>
          <w:sz w:val="22"/>
          <w:szCs w:val="22"/>
        </w:rPr>
        <w:t>ASIC Market Integrity Rules (ASX 24</w:t>
      </w:r>
      <w:r w:rsidR="00DE3AED">
        <w:rPr>
          <w:b/>
          <w:sz w:val="22"/>
          <w:szCs w:val="22"/>
        </w:rPr>
        <w:t xml:space="preserve"> Market</w:t>
      </w:r>
      <w:r>
        <w:rPr>
          <w:b/>
          <w:sz w:val="22"/>
          <w:szCs w:val="22"/>
        </w:rPr>
        <w:t>-Capital)</w:t>
      </w:r>
      <w:r w:rsidR="00BF4590" w:rsidRPr="00BF4590">
        <w:rPr>
          <w:b/>
          <w:sz w:val="22"/>
          <w:szCs w:val="22"/>
        </w:rPr>
        <w:t xml:space="preserve"> 2014</w:t>
      </w:r>
    </w:p>
    <w:p w:rsidR="00AB42DE" w:rsidRPr="005A1416" w:rsidRDefault="00AB42DE" w:rsidP="00CB7475">
      <w:pPr>
        <w:spacing w:after="120" w:line="240" w:lineRule="auto"/>
        <w:rPr>
          <w:sz w:val="22"/>
          <w:szCs w:val="22"/>
        </w:rPr>
      </w:pPr>
    </w:p>
    <w:p w:rsidR="00465B3D" w:rsidRPr="005A1416" w:rsidRDefault="00465B3D" w:rsidP="00CB7475">
      <w:pPr>
        <w:spacing w:after="120" w:line="240" w:lineRule="auto"/>
        <w:rPr>
          <w:sz w:val="22"/>
          <w:szCs w:val="22"/>
        </w:rPr>
      </w:pPr>
      <w:r w:rsidRPr="005A1416">
        <w:rPr>
          <w:sz w:val="22"/>
          <w:szCs w:val="22"/>
        </w:rPr>
        <w:t xml:space="preserve">This </w:t>
      </w:r>
      <w:r w:rsidR="001A1C24" w:rsidRPr="005A1416">
        <w:rPr>
          <w:sz w:val="22"/>
          <w:szCs w:val="22"/>
        </w:rPr>
        <w:t>L</w:t>
      </w:r>
      <w:r w:rsidRPr="005A1416">
        <w:rPr>
          <w:sz w:val="22"/>
          <w:szCs w:val="22"/>
        </w:rPr>
        <w:t xml:space="preserve">egislative </w:t>
      </w:r>
      <w:r w:rsidR="00274834" w:rsidRPr="005A1416">
        <w:rPr>
          <w:sz w:val="22"/>
          <w:szCs w:val="22"/>
        </w:rPr>
        <w:t>I</w:t>
      </w:r>
      <w:r w:rsidRPr="005A1416">
        <w:rPr>
          <w:sz w:val="22"/>
          <w:szCs w:val="22"/>
        </w:rPr>
        <w:t xml:space="preserve">nstrument is compatible with the human rights and freedoms recognised or declared in the international instruments listed in section 3 of the </w:t>
      </w:r>
      <w:r w:rsidRPr="005A1416">
        <w:rPr>
          <w:i/>
          <w:iCs/>
          <w:sz w:val="22"/>
          <w:szCs w:val="22"/>
        </w:rPr>
        <w:t>Human Rights (Parliamentary Scrutiny) Act 2011</w:t>
      </w:r>
      <w:r w:rsidRPr="005A1416">
        <w:rPr>
          <w:sz w:val="22"/>
          <w:szCs w:val="22"/>
        </w:rPr>
        <w:t>.</w:t>
      </w:r>
    </w:p>
    <w:p w:rsidR="00DB40B2" w:rsidRPr="005A1416" w:rsidRDefault="00465B3D" w:rsidP="001D559B">
      <w:pPr>
        <w:pStyle w:val="ListParagraph"/>
        <w:numPr>
          <w:ilvl w:val="0"/>
          <w:numId w:val="20"/>
        </w:numPr>
        <w:spacing w:after="120" w:line="240" w:lineRule="auto"/>
        <w:contextualSpacing w:val="0"/>
        <w:rPr>
          <w:b/>
          <w:sz w:val="22"/>
          <w:szCs w:val="22"/>
        </w:rPr>
      </w:pPr>
      <w:r w:rsidRPr="005A1416">
        <w:rPr>
          <w:b/>
          <w:sz w:val="22"/>
          <w:szCs w:val="22"/>
        </w:rPr>
        <w:t xml:space="preserve">Overview of the </w:t>
      </w:r>
      <w:r w:rsidR="00274834" w:rsidRPr="005A1416">
        <w:rPr>
          <w:b/>
          <w:sz w:val="22"/>
          <w:szCs w:val="22"/>
        </w:rPr>
        <w:t>I</w:t>
      </w:r>
      <w:r w:rsidRPr="005A1416">
        <w:rPr>
          <w:b/>
          <w:sz w:val="22"/>
          <w:szCs w:val="22"/>
        </w:rPr>
        <w:t>nstrument</w:t>
      </w:r>
    </w:p>
    <w:p w:rsidR="00BF4590" w:rsidRPr="00DB4EFB" w:rsidRDefault="00BF4590" w:rsidP="00682644">
      <w:pPr>
        <w:spacing w:line="240" w:lineRule="auto"/>
        <w:rPr>
          <w:bCs/>
          <w:iCs/>
          <w:sz w:val="22"/>
          <w:szCs w:val="22"/>
        </w:rPr>
      </w:pPr>
      <w:r w:rsidRPr="00BF4590">
        <w:rPr>
          <w:sz w:val="22"/>
          <w:szCs w:val="22"/>
        </w:rPr>
        <w:t xml:space="preserve">The </w:t>
      </w:r>
      <w:r w:rsidR="008F02FD" w:rsidRPr="00682644">
        <w:rPr>
          <w:i/>
          <w:sz w:val="22"/>
          <w:szCs w:val="22"/>
        </w:rPr>
        <w:t>ASIC Market Integrity Rules (ASX 24</w:t>
      </w:r>
      <w:r w:rsidR="00DE3AED">
        <w:rPr>
          <w:i/>
          <w:sz w:val="22"/>
          <w:szCs w:val="22"/>
        </w:rPr>
        <w:t xml:space="preserve"> Market</w:t>
      </w:r>
      <w:r w:rsidR="008F02FD" w:rsidRPr="00682644">
        <w:rPr>
          <w:i/>
          <w:sz w:val="22"/>
          <w:szCs w:val="22"/>
        </w:rPr>
        <w:t>-Capital)</w:t>
      </w:r>
      <w:r w:rsidRPr="00682644">
        <w:rPr>
          <w:i/>
          <w:sz w:val="22"/>
          <w:szCs w:val="22"/>
        </w:rPr>
        <w:t xml:space="preserve"> 2014</w:t>
      </w:r>
      <w:r w:rsidR="00714D85">
        <w:rPr>
          <w:sz w:val="22"/>
          <w:szCs w:val="22"/>
        </w:rPr>
        <w:t xml:space="preserve"> (the </w:t>
      </w:r>
      <w:r w:rsidR="00714D85" w:rsidRPr="00714D85">
        <w:rPr>
          <w:b/>
          <w:i/>
          <w:sz w:val="22"/>
          <w:szCs w:val="22"/>
        </w:rPr>
        <w:t>Legislative Instrument</w:t>
      </w:r>
      <w:r w:rsidR="00714D85">
        <w:rPr>
          <w:sz w:val="22"/>
          <w:szCs w:val="22"/>
        </w:rPr>
        <w:t>)</w:t>
      </w:r>
      <w:r w:rsidRPr="00BF4590">
        <w:rPr>
          <w:sz w:val="22"/>
          <w:szCs w:val="22"/>
        </w:rPr>
        <w:t xml:space="preserve">, along with the </w:t>
      </w:r>
      <w:r w:rsidRPr="00BF4590">
        <w:rPr>
          <w:i/>
          <w:sz w:val="22"/>
          <w:szCs w:val="22"/>
        </w:rPr>
        <w:t>ASIC Market Integrity Rules (</w:t>
      </w:r>
      <w:r w:rsidR="007D0852">
        <w:rPr>
          <w:i/>
          <w:sz w:val="22"/>
          <w:szCs w:val="22"/>
        </w:rPr>
        <w:t>ASX 24 Market</w:t>
      </w:r>
      <w:r w:rsidRPr="00BF4590">
        <w:rPr>
          <w:i/>
          <w:sz w:val="22"/>
          <w:szCs w:val="22"/>
        </w:rPr>
        <w:t>) 2010</w:t>
      </w:r>
      <w:r w:rsidRPr="00BF4590">
        <w:rPr>
          <w:sz w:val="22"/>
          <w:szCs w:val="22"/>
        </w:rPr>
        <w:t xml:space="preserve"> (the </w:t>
      </w:r>
      <w:r w:rsidR="007D0852">
        <w:rPr>
          <w:b/>
          <w:bCs/>
          <w:i/>
          <w:sz w:val="22"/>
          <w:szCs w:val="22"/>
        </w:rPr>
        <w:t>ASIC Market Integrity Rules (ASX 24)</w:t>
      </w:r>
      <w:r w:rsidRPr="00BF4590">
        <w:rPr>
          <w:sz w:val="22"/>
          <w:szCs w:val="22"/>
        </w:rPr>
        <w:t xml:space="preserve">), deal with the activities and conduct of the licensed market (the </w:t>
      </w:r>
      <w:r w:rsidR="007D0852">
        <w:rPr>
          <w:b/>
          <w:i/>
          <w:sz w:val="22"/>
          <w:szCs w:val="22"/>
        </w:rPr>
        <w:t>ASX 24 Market</w:t>
      </w:r>
      <w:r w:rsidRPr="00BF4590">
        <w:rPr>
          <w:sz w:val="22"/>
          <w:szCs w:val="22"/>
        </w:rPr>
        <w:t>)</w:t>
      </w:r>
      <w:r w:rsidRPr="00BF4590">
        <w:rPr>
          <w:b/>
          <w:sz w:val="22"/>
          <w:szCs w:val="22"/>
        </w:rPr>
        <w:t xml:space="preserve"> </w:t>
      </w:r>
      <w:r w:rsidRPr="00BF4590">
        <w:rPr>
          <w:sz w:val="22"/>
          <w:szCs w:val="22"/>
        </w:rPr>
        <w:t xml:space="preserve">operated by </w:t>
      </w:r>
      <w:r w:rsidR="00AC2A31" w:rsidRPr="008F02FD">
        <w:rPr>
          <w:sz w:val="22"/>
          <w:szCs w:val="22"/>
        </w:rPr>
        <w:t>Australian Securities Exchange Limited (ACN 000 943 377)</w:t>
      </w:r>
      <w:r w:rsidR="00AC2A31">
        <w:rPr>
          <w:sz w:val="22"/>
          <w:szCs w:val="22"/>
        </w:rPr>
        <w:t xml:space="preserve"> </w:t>
      </w:r>
      <w:r w:rsidR="00AC2A31" w:rsidRPr="00C7270C">
        <w:rPr>
          <w:sz w:val="22"/>
          <w:szCs w:val="22"/>
        </w:rPr>
        <w:t>(</w:t>
      </w:r>
      <w:r w:rsidR="00AC2A31" w:rsidRPr="00C7270C">
        <w:rPr>
          <w:b/>
          <w:i/>
          <w:sz w:val="22"/>
          <w:szCs w:val="22"/>
        </w:rPr>
        <w:t>ASX</w:t>
      </w:r>
      <w:r w:rsidR="00AC2A31">
        <w:rPr>
          <w:b/>
          <w:i/>
          <w:sz w:val="22"/>
          <w:szCs w:val="22"/>
        </w:rPr>
        <w:t xml:space="preserve"> 24</w:t>
      </w:r>
      <w:r w:rsidR="00AC2A31" w:rsidRPr="00C7270C">
        <w:rPr>
          <w:sz w:val="22"/>
          <w:szCs w:val="22"/>
        </w:rPr>
        <w:t>)</w:t>
      </w:r>
      <w:r w:rsidRPr="00BF4590">
        <w:rPr>
          <w:sz w:val="22"/>
          <w:szCs w:val="22"/>
        </w:rPr>
        <w:t xml:space="preserve">. </w:t>
      </w:r>
    </w:p>
    <w:p w:rsidR="00DB4EFB" w:rsidRPr="00DB4EFB" w:rsidRDefault="00DB4EFB" w:rsidP="00DB4EFB">
      <w:pPr>
        <w:spacing w:line="240" w:lineRule="auto"/>
        <w:ind w:left="357"/>
        <w:rPr>
          <w:bCs/>
          <w:iCs/>
          <w:sz w:val="22"/>
          <w:szCs w:val="22"/>
        </w:rPr>
      </w:pPr>
    </w:p>
    <w:p w:rsidR="00E16CBC" w:rsidRPr="00E16CBC" w:rsidRDefault="00DB4EFB" w:rsidP="0089581C">
      <w:pPr>
        <w:spacing w:line="240" w:lineRule="auto"/>
        <w:rPr>
          <w:bCs/>
          <w:iCs/>
          <w:sz w:val="22"/>
          <w:szCs w:val="22"/>
        </w:rPr>
      </w:pPr>
      <w:r>
        <w:rPr>
          <w:bCs/>
          <w:iCs/>
          <w:sz w:val="22"/>
          <w:szCs w:val="22"/>
        </w:rPr>
        <w:t>The Legislative Instrument</w:t>
      </w:r>
      <w:r w:rsidR="0089581C">
        <w:rPr>
          <w:bCs/>
          <w:iCs/>
          <w:sz w:val="22"/>
          <w:szCs w:val="22"/>
        </w:rPr>
        <w:t xml:space="preserve"> </w:t>
      </w:r>
      <w:r w:rsidR="00E16CBC">
        <w:rPr>
          <w:bCs/>
          <w:iCs/>
          <w:sz w:val="22"/>
          <w:szCs w:val="22"/>
        </w:rPr>
        <w:t>repeals th</w:t>
      </w:r>
      <w:r w:rsidR="00E16CBC" w:rsidRPr="00C7270C">
        <w:rPr>
          <w:bCs/>
          <w:sz w:val="22"/>
          <w:szCs w:val="22"/>
        </w:rPr>
        <w:t>e capital requirements</w:t>
      </w:r>
      <w:r w:rsidR="00E16CBC">
        <w:rPr>
          <w:bCs/>
          <w:iCs/>
          <w:sz w:val="22"/>
          <w:szCs w:val="22"/>
        </w:rPr>
        <w:t xml:space="preserve"> Chapters </w:t>
      </w:r>
      <w:r w:rsidR="00704234">
        <w:rPr>
          <w:bCs/>
          <w:iCs/>
          <w:sz w:val="22"/>
          <w:szCs w:val="22"/>
        </w:rPr>
        <w:t>5</w:t>
      </w:r>
      <w:r w:rsidR="00E16CBC">
        <w:rPr>
          <w:bCs/>
          <w:iCs/>
          <w:sz w:val="22"/>
          <w:szCs w:val="22"/>
        </w:rPr>
        <w:t xml:space="preserve"> and </w:t>
      </w:r>
      <w:r w:rsidR="00704234">
        <w:rPr>
          <w:bCs/>
          <w:iCs/>
          <w:sz w:val="22"/>
          <w:szCs w:val="22"/>
        </w:rPr>
        <w:t>6</w:t>
      </w:r>
      <w:r w:rsidR="00E16CBC">
        <w:rPr>
          <w:bCs/>
          <w:iCs/>
          <w:sz w:val="22"/>
          <w:szCs w:val="22"/>
        </w:rPr>
        <w:t xml:space="preserve">, and </w:t>
      </w:r>
      <w:r w:rsidR="00704234">
        <w:rPr>
          <w:bCs/>
          <w:iCs/>
          <w:sz w:val="22"/>
          <w:szCs w:val="22"/>
        </w:rPr>
        <w:t xml:space="preserve">Forms 2 to 8 in the </w:t>
      </w:r>
      <w:r w:rsidR="00E16CBC">
        <w:rPr>
          <w:bCs/>
          <w:iCs/>
          <w:sz w:val="22"/>
          <w:szCs w:val="22"/>
        </w:rPr>
        <w:t xml:space="preserve">Schedule of the </w:t>
      </w:r>
      <w:r w:rsidR="007D0852">
        <w:rPr>
          <w:bCs/>
          <w:iCs/>
          <w:sz w:val="22"/>
          <w:szCs w:val="22"/>
        </w:rPr>
        <w:t>ASIC Market Integrity Rules (ASX 24)</w:t>
      </w:r>
      <w:r w:rsidR="0089581C">
        <w:rPr>
          <w:bCs/>
          <w:iCs/>
          <w:sz w:val="22"/>
          <w:szCs w:val="22"/>
        </w:rPr>
        <w:t>,</w:t>
      </w:r>
      <w:r w:rsidR="00E16CBC">
        <w:rPr>
          <w:bCs/>
          <w:iCs/>
          <w:sz w:val="22"/>
          <w:szCs w:val="22"/>
        </w:rPr>
        <w:t xml:space="preserve"> and</w:t>
      </w:r>
      <w:r w:rsidR="0089581C">
        <w:rPr>
          <w:bCs/>
          <w:iCs/>
          <w:sz w:val="22"/>
          <w:szCs w:val="22"/>
        </w:rPr>
        <w:t xml:space="preserve"> </w:t>
      </w:r>
      <w:r w:rsidR="00E16CBC">
        <w:rPr>
          <w:bCs/>
          <w:iCs/>
          <w:sz w:val="22"/>
          <w:szCs w:val="22"/>
        </w:rPr>
        <w:t xml:space="preserve">'re-makes' those capital requirements as Chapters </w:t>
      </w:r>
      <w:r w:rsidR="00F536EC">
        <w:rPr>
          <w:bCs/>
          <w:iCs/>
          <w:sz w:val="22"/>
          <w:szCs w:val="22"/>
        </w:rPr>
        <w:t>5</w:t>
      </w:r>
      <w:r w:rsidR="00E16CBC">
        <w:rPr>
          <w:bCs/>
          <w:iCs/>
          <w:sz w:val="22"/>
          <w:szCs w:val="22"/>
        </w:rPr>
        <w:t xml:space="preserve"> and </w:t>
      </w:r>
      <w:r w:rsidR="00F536EC">
        <w:rPr>
          <w:bCs/>
          <w:iCs/>
          <w:sz w:val="22"/>
          <w:szCs w:val="22"/>
        </w:rPr>
        <w:t>6</w:t>
      </w:r>
      <w:r w:rsidR="00E16CBC">
        <w:rPr>
          <w:bCs/>
          <w:iCs/>
          <w:sz w:val="22"/>
          <w:szCs w:val="22"/>
        </w:rPr>
        <w:t xml:space="preserve">, and </w:t>
      </w:r>
      <w:r w:rsidR="00F536EC">
        <w:rPr>
          <w:bCs/>
          <w:iCs/>
          <w:sz w:val="22"/>
          <w:szCs w:val="22"/>
        </w:rPr>
        <w:t>Forms 3, 4, 5 and 7</w:t>
      </w:r>
      <w:r w:rsidR="00E16CBC">
        <w:rPr>
          <w:bCs/>
          <w:iCs/>
          <w:sz w:val="22"/>
          <w:szCs w:val="22"/>
        </w:rPr>
        <w:t xml:space="preserve"> of the Legislative Instrument.</w:t>
      </w:r>
    </w:p>
    <w:p w:rsidR="006002FA" w:rsidRDefault="006002FA" w:rsidP="006002FA">
      <w:pPr>
        <w:spacing w:line="240" w:lineRule="auto"/>
        <w:ind w:left="720"/>
        <w:rPr>
          <w:bCs/>
          <w:iCs/>
          <w:sz w:val="22"/>
          <w:szCs w:val="22"/>
        </w:rPr>
      </w:pPr>
    </w:p>
    <w:p w:rsidR="006002FA" w:rsidRPr="00226227" w:rsidRDefault="006002FA" w:rsidP="0089581C">
      <w:pPr>
        <w:spacing w:line="240" w:lineRule="auto"/>
        <w:rPr>
          <w:bCs/>
          <w:iCs/>
          <w:sz w:val="22"/>
          <w:szCs w:val="22"/>
        </w:rPr>
      </w:pPr>
      <w:r>
        <w:rPr>
          <w:bCs/>
          <w:iCs/>
          <w:sz w:val="22"/>
          <w:szCs w:val="22"/>
        </w:rPr>
        <w:t xml:space="preserve">The purpose of the Legislative Instrument is to reduce </w:t>
      </w:r>
      <w:r w:rsidRPr="00C7270C">
        <w:rPr>
          <w:bCs/>
          <w:sz w:val="22"/>
          <w:szCs w:val="22"/>
        </w:rPr>
        <w:t>ASIC's costs for lodging compilations of th</w:t>
      </w:r>
      <w:r w:rsidR="00CC1AE9">
        <w:rPr>
          <w:bCs/>
          <w:sz w:val="22"/>
          <w:szCs w:val="22"/>
        </w:rPr>
        <w:t xml:space="preserve">e </w:t>
      </w:r>
      <w:r w:rsidR="007D0852">
        <w:rPr>
          <w:bCs/>
          <w:sz w:val="22"/>
          <w:szCs w:val="22"/>
        </w:rPr>
        <w:t>ASIC Market Integrity Rules (ASX 24)</w:t>
      </w:r>
      <w:r>
        <w:rPr>
          <w:bCs/>
          <w:sz w:val="22"/>
          <w:szCs w:val="22"/>
        </w:rPr>
        <w:t xml:space="preserve">. Those costs have </w:t>
      </w:r>
      <w:r w:rsidRPr="00C7270C">
        <w:rPr>
          <w:bCs/>
          <w:sz w:val="22"/>
          <w:szCs w:val="22"/>
        </w:rPr>
        <w:t>increased significantly under the new fee structure</w:t>
      </w:r>
      <w:r>
        <w:rPr>
          <w:bCs/>
          <w:sz w:val="22"/>
          <w:szCs w:val="22"/>
        </w:rPr>
        <w:t xml:space="preserve"> for lodgements on the Federal Register of Legislative Instruments (FRLI) </w:t>
      </w:r>
      <w:r w:rsidRPr="00C7270C">
        <w:rPr>
          <w:bCs/>
          <w:sz w:val="22"/>
          <w:szCs w:val="22"/>
        </w:rPr>
        <w:t>introduced</w:t>
      </w:r>
      <w:r w:rsidR="0089581C">
        <w:rPr>
          <w:bCs/>
          <w:sz w:val="22"/>
          <w:szCs w:val="22"/>
        </w:rPr>
        <w:t xml:space="preserve"> in July 2013</w:t>
      </w:r>
      <w:r w:rsidRPr="00C7270C">
        <w:rPr>
          <w:bCs/>
          <w:sz w:val="22"/>
          <w:szCs w:val="22"/>
        </w:rPr>
        <w:t>.</w:t>
      </w:r>
      <w:r w:rsidR="009A1232" w:rsidRPr="009A1232">
        <w:rPr>
          <w:bCs/>
          <w:sz w:val="22"/>
          <w:szCs w:val="22"/>
        </w:rPr>
        <w:t xml:space="preserve"> </w:t>
      </w:r>
      <w:r w:rsidR="009A1232">
        <w:rPr>
          <w:bCs/>
          <w:sz w:val="22"/>
          <w:szCs w:val="22"/>
        </w:rPr>
        <w:t xml:space="preserve">The capital requirements under the </w:t>
      </w:r>
      <w:r w:rsidR="009A1232" w:rsidRPr="00D02588">
        <w:rPr>
          <w:bCs/>
          <w:sz w:val="22"/>
          <w:szCs w:val="22"/>
        </w:rPr>
        <w:t xml:space="preserve">Legislative </w:t>
      </w:r>
      <w:proofErr w:type="gramStart"/>
      <w:r w:rsidR="009A1232" w:rsidRPr="00D02588">
        <w:rPr>
          <w:bCs/>
          <w:sz w:val="22"/>
          <w:szCs w:val="22"/>
        </w:rPr>
        <w:t>Instrument</w:t>
      </w:r>
      <w:r w:rsidR="009A1232">
        <w:rPr>
          <w:bCs/>
          <w:sz w:val="22"/>
          <w:szCs w:val="22"/>
        </w:rPr>
        <w:t>,</w:t>
      </w:r>
      <w:proofErr w:type="gramEnd"/>
      <w:r w:rsidR="009A1232">
        <w:rPr>
          <w:bCs/>
          <w:sz w:val="22"/>
          <w:szCs w:val="22"/>
        </w:rPr>
        <w:t xml:space="preserve"> are the same as the capital requirements under the ASIC Market Integrity Rules (ASX 24)</w:t>
      </w:r>
      <w:r w:rsidR="009A1232" w:rsidRPr="00D02588">
        <w:rPr>
          <w:bCs/>
          <w:sz w:val="22"/>
          <w:szCs w:val="22"/>
        </w:rPr>
        <w:t>.</w:t>
      </w:r>
    </w:p>
    <w:p w:rsidR="00226227" w:rsidRPr="00226227" w:rsidRDefault="00226227" w:rsidP="00226227">
      <w:pPr>
        <w:spacing w:line="240" w:lineRule="auto"/>
        <w:ind w:left="357"/>
        <w:rPr>
          <w:bCs/>
          <w:iCs/>
          <w:sz w:val="22"/>
          <w:szCs w:val="22"/>
        </w:rPr>
      </w:pPr>
    </w:p>
    <w:p w:rsidR="00D02588" w:rsidRDefault="00226227" w:rsidP="000D4056">
      <w:pPr>
        <w:spacing w:line="240" w:lineRule="auto"/>
        <w:rPr>
          <w:bCs/>
          <w:sz w:val="22"/>
          <w:szCs w:val="22"/>
        </w:rPr>
      </w:pPr>
      <w:r w:rsidRPr="00226227">
        <w:rPr>
          <w:bCs/>
          <w:iCs/>
          <w:sz w:val="22"/>
          <w:szCs w:val="22"/>
        </w:rPr>
        <w:t xml:space="preserve">Following the introduction of the new fee structure, ASIC conducted a review to identify ways in which ASIC could manage its FRLI lodgement costs in respect of compilations of the </w:t>
      </w:r>
      <w:r w:rsidR="007D0852">
        <w:rPr>
          <w:bCs/>
          <w:iCs/>
          <w:sz w:val="22"/>
          <w:szCs w:val="22"/>
        </w:rPr>
        <w:t>ASIC Market Integrity Rules (ASX 24)</w:t>
      </w:r>
      <w:r w:rsidRPr="00226227">
        <w:rPr>
          <w:bCs/>
          <w:iCs/>
          <w:sz w:val="22"/>
          <w:szCs w:val="22"/>
        </w:rPr>
        <w:t xml:space="preserve">. ASIC concluded the most straightforward and efficient way to manage those costs was </w:t>
      </w:r>
      <w:r>
        <w:rPr>
          <w:bCs/>
          <w:iCs/>
          <w:sz w:val="22"/>
          <w:szCs w:val="22"/>
        </w:rPr>
        <w:t>to separate the capital requirements into a separate set of rules</w:t>
      </w:r>
      <w:r w:rsidR="00ED5A72">
        <w:rPr>
          <w:bCs/>
          <w:iCs/>
          <w:sz w:val="22"/>
          <w:szCs w:val="22"/>
        </w:rPr>
        <w:t xml:space="preserve">, and streamline the </w:t>
      </w:r>
      <w:r w:rsidR="0046353F">
        <w:rPr>
          <w:bCs/>
          <w:iCs/>
          <w:sz w:val="22"/>
          <w:szCs w:val="22"/>
        </w:rPr>
        <w:t xml:space="preserve">forms </w:t>
      </w:r>
      <w:r w:rsidR="00ED5A72">
        <w:rPr>
          <w:bCs/>
          <w:iCs/>
          <w:sz w:val="22"/>
          <w:szCs w:val="22"/>
        </w:rPr>
        <w:t>in the new rules</w:t>
      </w:r>
      <w:r>
        <w:rPr>
          <w:bCs/>
          <w:iCs/>
          <w:sz w:val="22"/>
          <w:szCs w:val="22"/>
        </w:rPr>
        <w:t xml:space="preserve">. </w:t>
      </w:r>
      <w:r w:rsidR="0030294D">
        <w:rPr>
          <w:bCs/>
          <w:iCs/>
          <w:sz w:val="22"/>
          <w:szCs w:val="22"/>
        </w:rPr>
        <w:t>The Legislative Instrument achieves this outcome.</w:t>
      </w:r>
    </w:p>
    <w:p w:rsidR="00D02588" w:rsidRDefault="00D02588" w:rsidP="00D02588">
      <w:pPr>
        <w:pStyle w:val="ListParagraph"/>
        <w:rPr>
          <w:bCs/>
          <w:sz w:val="22"/>
          <w:szCs w:val="22"/>
        </w:rPr>
      </w:pPr>
    </w:p>
    <w:p w:rsidR="00465B3D" w:rsidRPr="005A1416" w:rsidRDefault="00465B3D" w:rsidP="001D559B">
      <w:pPr>
        <w:pStyle w:val="ListParagraph"/>
        <w:numPr>
          <w:ilvl w:val="0"/>
          <w:numId w:val="20"/>
        </w:numPr>
        <w:spacing w:line="240" w:lineRule="auto"/>
        <w:contextualSpacing w:val="0"/>
        <w:rPr>
          <w:b/>
          <w:sz w:val="22"/>
          <w:szCs w:val="22"/>
        </w:rPr>
      </w:pPr>
      <w:r w:rsidRPr="005A1416">
        <w:rPr>
          <w:b/>
          <w:sz w:val="22"/>
          <w:szCs w:val="22"/>
        </w:rPr>
        <w:t>Human rights implications</w:t>
      </w:r>
    </w:p>
    <w:p w:rsidR="00F928DD" w:rsidRPr="005A1416" w:rsidRDefault="00F928DD" w:rsidP="00F928DD">
      <w:pPr>
        <w:pStyle w:val="ListParagraph"/>
        <w:spacing w:line="240" w:lineRule="auto"/>
        <w:ind w:left="360"/>
        <w:contextualSpacing w:val="0"/>
        <w:rPr>
          <w:b/>
          <w:sz w:val="22"/>
          <w:szCs w:val="22"/>
        </w:rPr>
      </w:pPr>
    </w:p>
    <w:p w:rsidR="00766FEF" w:rsidRPr="00E32B54" w:rsidRDefault="00587F8C" w:rsidP="00E32B54">
      <w:pPr>
        <w:spacing w:line="240" w:lineRule="auto"/>
        <w:rPr>
          <w:sz w:val="22"/>
          <w:szCs w:val="22"/>
        </w:rPr>
      </w:pPr>
      <w:r w:rsidRPr="00E32B54">
        <w:rPr>
          <w:sz w:val="22"/>
          <w:szCs w:val="22"/>
        </w:rPr>
        <w:t>Th</w:t>
      </w:r>
      <w:r w:rsidR="00D963F1" w:rsidRPr="00E32B54">
        <w:rPr>
          <w:sz w:val="22"/>
          <w:szCs w:val="22"/>
        </w:rPr>
        <w:t>e</w:t>
      </w:r>
      <w:r w:rsidRPr="00E32B54">
        <w:rPr>
          <w:sz w:val="22"/>
          <w:szCs w:val="22"/>
        </w:rPr>
        <w:t xml:space="preserve"> </w:t>
      </w:r>
      <w:r w:rsidR="00C7342E" w:rsidRPr="00E32B54">
        <w:rPr>
          <w:sz w:val="22"/>
          <w:szCs w:val="22"/>
        </w:rPr>
        <w:t xml:space="preserve">Legislative </w:t>
      </w:r>
      <w:r w:rsidR="00274834" w:rsidRPr="00E32B54">
        <w:rPr>
          <w:sz w:val="22"/>
          <w:szCs w:val="22"/>
        </w:rPr>
        <w:t>Instrument</w:t>
      </w:r>
      <w:r w:rsidRPr="00E32B54">
        <w:rPr>
          <w:sz w:val="22"/>
          <w:szCs w:val="22"/>
        </w:rPr>
        <w:t xml:space="preserve"> does not </w:t>
      </w:r>
      <w:r w:rsidR="00274834" w:rsidRPr="00E32B54">
        <w:rPr>
          <w:sz w:val="22"/>
          <w:szCs w:val="22"/>
        </w:rPr>
        <w:t xml:space="preserve">engage any of the applicable human rights and freedoms recognised or declared in the international instruments listed in section 3 of the </w:t>
      </w:r>
      <w:r w:rsidR="00274834" w:rsidRPr="00E32B54">
        <w:rPr>
          <w:i/>
          <w:iCs/>
          <w:sz w:val="22"/>
          <w:szCs w:val="22"/>
        </w:rPr>
        <w:t>Human Rights (Parliamentary Scrutiny) Act 2011</w:t>
      </w:r>
      <w:r w:rsidR="00274834" w:rsidRPr="00E32B54">
        <w:rPr>
          <w:sz w:val="22"/>
          <w:szCs w:val="22"/>
        </w:rPr>
        <w:t>.</w:t>
      </w:r>
    </w:p>
    <w:p w:rsidR="00F928DD" w:rsidRPr="005A1416" w:rsidRDefault="00F928DD" w:rsidP="00F928DD">
      <w:pPr>
        <w:pStyle w:val="ListParagraph"/>
        <w:spacing w:line="240" w:lineRule="auto"/>
        <w:ind w:left="360"/>
        <w:contextualSpacing w:val="0"/>
        <w:rPr>
          <w:sz w:val="22"/>
          <w:szCs w:val="22"/>
        </w:rPr>
      </w:pPr>
    </w:p>
    <w:p w:rsidR="00EC0219" w:rsidRPr="005A1416" w:rsidRDefault="00EC0219" w:rsidP="001D559B">
      <w:pPr>
        <w:pStyle w:val="ListParagraph"/>
        <w:numPr>
          <w:ilvl w:val="0"/>
          <w:numId w:val="20"/>
        </w:numPr>
        <w:spacing w:line="240" w:lineRule="auto"/>
        <w:contextualSpacing w:val="0"/>
        <w:rPr>
          <w:b/>
          <w:sz w:val="22"/>
          <w:szCs w:val="22"/>
        </w:rPr>
      </w:pPr>
      <w:r w:rsidRPr="005A1416">
        <w:rPr>
          <w:b/>
          <w:sz w:val="22"/>
          <w:szCs w:val="22"/>
        </w:rPr>
        <w:t>Conclusion</w:t>
      </w:r>
    </w:p>
    <w:p w:rsidR="00F928DD" w:rsidRPr="005A1416" w:rsidRDefault="00F928DD" w:rsidP="00F928DD">
      <w:pPr>
        <w:pStyle w:val="ListParagraph"/>
        <w:spacing w:line="240" w:lineRule="auto"/>
        <w:ind w:left="360"/>
        <w:contextualSpacing w:val="0"/>
        <w:rPr>
          <w:b/>
          <w:sz w:val="22"/>
          <w:szCs w:val="22"/>
        </w:rPr>
      </w:pPr>
    </w:p>
    <w:p w:rsidR="00C7342E" w:rsidRPr="002F5731" w:rsidRDefault="00C7342E" w:rsidP="002F5731">
      <w:pPr>
        <w:spacing w:line="240" w:lineRule="auto"/>
        <w:rPr>
          <w:sz w:val="22"/>
          <w:szCs w:val="22"/>
        </w:rPr>
      </w:pPr>
      <w:r w:rsidRPr="002F5731">
        <w:rPr>
          <w:sz w:val="22"/>
          <w:szCs w:val="22"/>
        </w:rPr>
        <w:t>The Legislative Instrument is compatible with human rights as it does not raise any human rights issues</w:t>
      </w:r>
      <w:r w:rsidR="00701804" w:rsidRPr="002F5731">
        <w:rPr>
          <w:sz w:val="22"/>
          <w:szCs w:val="22"/>
        </w:rPr>
        <w:t>.</w:t>
      </w:r>
    </w:p>
    <w:p w:rsidR="00F928DD" w:rsidRPr="005A1416" w:rsidRDefault="00F928DD" w:rsidP="00F928DD">
      <w:pPr>
        <w:pStyle w:val="ListParagraph"/>
        <w:spacing w:line="240" w:lineRule="auto"/>
        <w:ind w:left="360"/>
        <w:contextualSpacing w:val="0"/>
        <w:rPr>
          <w:sz w:val="22"/>
          <w:szCs w:val="22"/>
        </w:rPr>
      </w:pPr>
    </w:p>
    <w:p w:rsidR="00D963F1" w:rsidRPr="005A1416" w:rsidRDefault="00D963F1" w:rsidP="001D559B">
      <w:pPr>
        <w:pStyle w:val="ListParagraph"/>
        <w:numPr>
          <w:ilvl w:val="0"/>
          <w:numId w:val="20"/>
        </w:numPr>
        <w:spacing w:line="240" w:lineRule="auto"/>
        <w:contextualSpacing w:val="0"/>
        <w:rPr>
          <w:b/>
          <w:sz w:val="22"/>
          <w:szCs w:val="22"/>
        </w:rPr>
      </w:pPr>
      <w:r w:rsidRPr="005A1416">
        <w:rPr>
          <w:b/>
          <w:sz w:val="22"/>
          <w:szCs w:val="22"/>
        </w:rPr>
        <w:t>Consultation</w:t>
      </w:r>
    </w:p>
    <w:p w:rsidR="002F5731" w:rsidRPr="002D153A" w:rsidRDefault="002446E1" w:rsidP="002F5731">
      <w:pPr>
        <w:spacing w:before="200" w:line="240" w:lineRule="auto"/>
        <w:rPr>
          <w:sz w:val="22"/>
          <w:szCs w:val="22"/>
        </w:rPr>
      </w:pPr>
      <w:r>
        <w:rPr>
          <w:sz w:val="23"/>
          <w:szCs w:val="23"/>
        </w:rPr>
        <w:t>O</w:t>
      </w:r>
      <w:r w:rsidR="002F5731" w:rsidRPr="002D153A">
        <w:rPr>
          <w:sz w:val="23"/>
          <w:szCs w:val="23"/>
        </w:rPr>
        <w:t>n 30 April 2014 ASIC wrote to Market Operators of the APX, ASX, ASX 24, Chi-X and FEX Markets, the Australian Bankers' Association (ABA), Australian Financial Markets Association (AFMA), the Financial Services Council (FSC) and the Stockbrokers Association of Australia (SAA), seeking feedback on the proposed changes to the market integrity rules to transfer market participant capital requirements into a separate rulebook for each market, and streamline the capital forms. Generally respondents were supportive of the proposal, with a number suggesting that ASIC take additional steps to 'consolidate' the capital rulebooks of the APX, ASX, ASX 24, Chi-X and FEX Markets into a single rulebook. No other significant issues were raised.</w:t>
      </w:r>
    </w:p>
    <w:p w:rsidR="00F83E74" w:rsidRPr="002F5731" w:rsidRDefault="00F83E74" w:rsidP="002F5731">
      <w:pPr>
        <w:spacing w:line="240" w:lineRule="auto"/>
        <w:rPr>
          <w:sz w:val="22"/>
          <w:szCs w:val="22"/>
        </w:rPr>
      </w:pPr>
    </w:p>
    <w:p w:rsidR="00AA0C97" w:rsidRPr="00DB244C" w:rsidRDefault="00AA0C97" w:rsidP="00DB244C">
      <w:pPr>
        <w:spacing w:line="240" w:lineRule="auto"/>
        <w:rPr>
          <w:b/>
          <w:sz w:val="22"/>
          <w:szCs w:val="22"/>
        </w:rPr>
      </w:pPr>
      <w:r w:rsidRPr="00DB244C">
        <w:rPr>
          <w:b/>
          <w:sz w:val="22"/>
          <w:szCs w:val="22"/>
        </w:rPr>
        <w:t>Australian Securities and Investments Commission</w:t>
      </w:r>
    </w:p>
    <w:sectPr w:rsidR="00AA0C97" w:rsidRPr="00DB244C" w:rsidSect="005034BC">
      <w:headerReference w:type="default" r:id="rId9"/>
      <w:footerReference w:type="default" r:id="rId10"/>
      <w:footerReference w:type="first" r:id="rId11"/>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AA" w:rsidRDefault="000631AA" w:rsidP="00D667F7">
      <w:pPr>
        <w:spacing w:line="240" w:lineRule="auto"/>
      </w:pPr>
      <w:r>
        <w:separator/>
      </w:r>
    </w:p>
  </w:endnote>
  <w:endnote w:type="continuationSeparator" w:id="0">
    <w:p w:rsidR="000631AA" w:rsidRDefault="000631AA" w:rsidP="00D66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81175"/>
      <w:docPartObj>
        <w:docPartGallery w:val="Page Numbers (Bottom of Page)"/>
        <w:docPartUnique/>
      </w:docPartObj>
    </w:sdtPr>
    <w:sdtEndPr>
      <w:rPr>
        <w:noProof/>
      </w:rPr>
    </w:sdtEndPr>
    <w:sdtContent>
      <w:p w:rsidR="00EA0485" w:rsidRDefault="00EA0485">
        <w:pPr>
          <w:pStyle w:val="Footer"/>
          <w:jc w:val="right"/>
        </w:pPr>
        <w:r>
          <w:fldChar w:fldCharType="begin"/>
        </w:r>
        <w:r>
          <w:instrText xml:space="preserve"> PAGE   \* MERGEFORMAT </w:instrText>
        </w:r>
        <w:r>
          <w:fldChar w:fldCharType="separate"/>
        </w:r>
        <w:r w:rsidR="009477FB">
          <w:rPr>
            <w:noProof/>
          </w:rPr>
          <w:t>7</w:t>
        </w:r>
        <w:r>
          <w:rPr>
            <w:noProof/>
          </w:rPr>
          <w:fldChar w:fldCharType="end"/>
        </w:r>
      </w:p>
    </w:sdtContent>
  </w:sdt>
  <w:p w:rsidR="006B125A" w:rsidRDefault="006B1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888631"/>
      <w:docPartObj>
        <w:docPartGallery w:val="Page Numbers (Bottom of Page)"/>
        <w:docPartUnique/>
      </w:docPartObj>
    </w:sdtPr>
    <w:sdtEndPr>
      <w:rPr>
        <w:noProof/>
      </w:rPr>
    </w:sdtEndPr>
    <w:sdtContent>
      <w:p w:rsidR="00C42F61" w:rsidRDefault="00C42F61">
        <w:pPr>
          <w:pStyle w:val="Footer"/>
          <w:jc w:val="right"/>
        </w:pPr>
        <w:r>
          <w:fldChar w:fldCharType="begin"/>
        </w:r>
        <w:r>
          <w:instrText xml:space="preserve"> PAGE   \* MERGEFORMAT </w:instrText>
        </w:r>
        <w:r>
          <w:fldChar w:fldCharType="separate"/>
        </w:r>
        <w:r w:rsidR="001B7C39">
          <w:rPr>
            <w:noProof/>
          </w:rPr>
          <w:t>1</w:t>
        </w:r>
        <w:r>
          <w:rPr>
            <w:noProof/>
          </w:rPr>
          <w:fldChar w:fldCharType="end"/>
        </w:r>
      </w:p>
    </w:sdtContent>
  </w:sdt>
  <w:p w:rsidR="00C42F61" w:rsidRDefault="00C42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AA" w:rsidRDefault="000631AA" w:rsidP="00D667F7">
      <w:pPr>
        <w:spacing w:line="240" w:lineRule="auto"/>
      </w:pPr>
      <w:r>
        <w:separator/>
      </w:r>
    </w:p>
  </w:footnote>
  <w:footnote w:type="continuationSeparator" w:id="0">
    <w:p w:rsidR="000631AA" w:rsidRDefault="000631AA" w:rsidP="00D66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14" w:rsidRPr="00621F67" w:rsidRDefault="00185F69" w:rsidP="004B0F63">
    <w:pPr>
      <w:pStyle w:val="Header"/>
      <w:pBdr>
        <w:bottom w:val="none" w:sz="0" w:space="0" w:color="auto"/>
      </w:pBdr>
      <w:tabs>
        <w:tab w:val="clear" w:pos="9356"/>
        <w:tab w:val="left" w:pos="855"/>
      </w:tabs>
      <w:rPr>
        <w:rStyle w:val="MIRBodyTextChar"/>
      </w:rPr>
    </w:pPr>
    <w:r w:rsidRPr="00621F67">
      <w:rPr>
        <w:rStyle w:val="MIRBodyTextCha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828"/>
    <w:multiLevelType w:val="hybridMultilevel"/>
    <w:tmpl w:val="F048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D961BC"/>
    <w:multiLevelType w:val="hybridMultilevel"/>
    <w:tmpl w:val="685C1C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6">
    <w:nsid w:val="177B0020"/>
    <w:multiLevelType w:val="hybridMultilevel"/>
    <w:tmpl w:val="0F92D2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2832DA5"/>
    <w:multiLevelType w:val="multilevel"/>
    <w:tmpl w:val="83AA9CA6"/>
    <w:lvl w:ilvl="0">
      <w:start w:val="1"/>
      <w:numFmt w:val="none"/>
      <w:pStyle w:val="MIRBodyText"/>
      <w:suff w:val="nothing"/>
      <w:lvlText w:val=""/>
      <w:lvlJc w:val="left"/>
      <w:pPr>
        <w:ind w:left="0" w:firstLine="0"/>
      </w:pPr>
      <w:rPr>
        <w:rFonts w:hint="default"/>
        <w:b w:val="0"/>
        <w:i w:val="0"/>
        <w:color w:val="auto"/>
        <w:sz w:val="18"/>
        <w:szCs w:val="18"/>
      </w:rPr>
    </w:lvl>
    <w:lvl w:ilvl="1">
      <w:start w:val="1"/>
      <w:numFmt w:val="lowerLetter"/>
      <w:lvlText w:val="(%2)"/>
      <w:lvlJc w:val="left"/>
      <w:pPr>
        <w:tabs>
          <w:tab w:val="num" w:pos="-426"/>
        </w:tabs>
        <w:ind w:left="-42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850"/>
        </w:tabs>
        <w:ind w:left="850"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75"/>
        </w:tabs>
        <w:ind w:left="1275" w:hanging="425"/>
      </w:pPr>
      <w:rPr>
        <w:rFonts w:hint="default"/>
        <w:sz w:val="16"/>
        <w:szCs w:val="16"/>
      </w:rPr>
    </w:lvl>
    <w:lvl w:ilvl="4">
      <w:start w:val="1"/>
      <w:numFmt w:val="none"/>
      <w:lvlText w:val=""/>
      <w:lvlJc w:val="left"/>
      <w:pPr>
        <w:tabs>
          <w:tab w:val="num" w:pos="3033"/>
        </w:tabs>
        <w:ind w:left="3033" w:hanging="1049"/>
      </w:pPr>
      <w:rPr>
        <w:rFonts w:hint="default"/>
        <w:sz w:val="16"/>
        <w:szCs w:val="16"/>
      </w:rPr>
    </w:lvl>
    <w:lvl w:ilvl="5">
      <w:start w:val="1"/>
      <w:numFmt w:val="none"/>
      <w:lvlText w:val=""/>
      <w:lvlJc w:val="left"/>
      <w:pPr>
        <w:tabs>
          <w:tab w:val="num" w:pos="3109"/>
        </w:tabs>
        <w:ind w:left="1885" w:hanging="936"/>
      </w:pPr>
      <w:rPr>
        <w:rFonts w:hint="default"/>
      </w:rPr>
    </w:lvl>
    <w:lvl w:ilvl="6">
      <w:start w:val="1"/>
      <w:numFmt w:val="none"/>
      <w:lvlText w:val=""/>
      <w:lvlJc w:val="left"/>
      <w:pPr>
        <w:tabs>
          <w:tab w:val="num" w:pos="3469"/>
        </w:tabs>
        <w:ind w:left="2389" w:hanging="1080"/>
      </w:pPr>
      <w:rPr>
        <w:rFonts w:hint="default"/>
      </w:rPr>
    </w:lvl>
    <w:lvl w:ilvl="7">
      <w:start w:val="1"/>
      <w:numFmt w:val="none"/>
      <w:lvlText w:val=""/>
      <w:lvlJc w:val="left"/>
      <w:pPr>
        <w:tabs>
          <w:tab w:val="num" w:pos="4189"/>
        </w:tabs>
        <w:ind w:left="2893" w:hanging="1224"/>
      </w:pPr>
      <w:rPr>
        <w:rFonts w:hint="default"/>
      </w:rPr>
    </w:lvl>
    <w:lvl w:ilvl="8">
      <w:start w:val="1"/>
      <w:numFmt w:val="none"/>
      <w:lvlText w:val=""/>
      <w:lvlJc w:val="left"/>
      <w:pPr>
        <w:tabs>
          <w:tab w:val="num" w:pos="4909"/>
        </w:tabs>
        <w:ind w:left="3469" w:hanging="1440"/>
      </w:pPr>
      <w:rPr>
        <w:rFonts w:hint="default"/>
      </w:rPr>
    </w:lvl>
  </w:abstractNum>
  <w:abstractNum w:abstractNumId="10">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7D3E1F"/>
    <w:multiLevelType w:val="hybridMultilevel"/>
    <w:tmpl w:val="E418E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6">
    <w:nsid w:val="49032F83"/>
    <w:multiLevelType w:val="hybridMultilevel"/>
    <w:tmpl w:val="BCCA1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4A19776A"/>
    <w:multiLevelType w:val="hybridMultilevel"/>
    <w:tmpl w:val="EE7CB5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BF8269D"/>
    <w:multiLevelType w:val="hybridMultilevel"/>
    <w:tmpl w:val="BDA85934"/>
    <w:lvl w:ilvl="0" w:tplc="05469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Arial"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Arial"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Arial"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21">
    <w:nsid w:val="62756F33"/>
    <w:multiLevelType w:val="hybridMultilevel"/>
    <w:tmpl w:val="064A8924"/>
    <w:lvl w:ilvl="0" w:tplc="FE40A2B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5AF840D8" w:tentative="1">
      <w:start w:val="1"/>
      <w:numFmt w:val="bullet"/>
      <w:lvlText w:val="o"/>
      <w:lvlJc w:val="left"/>
      <w:pPr>
        <w:tabs>
          <w:tab w:val="num" w:pos="1440"/>
        </w:tabs>
        <w:ind w:left="1440" w:hanging="360"/>
      </w:pPr>
      <w:rPr>
        <w:rFonts w:ascii="Courier New" w:hAnsi="Courier New" w:hint="default"/>
      </w:rPr>
    </w:lvl>
    <w:lvl w:ilvl="2" w:tplc="0DA038BA" w:tentative="1">
      <w:start w:val="1"/>
      <w:numFmt w:val="bullet"/>
      <w:lvlText w:val=""/>
      <w:lvlJc w:val="left"/>
      <w:pPr>
        <w:tabs>
          <w:tab w:val="num" w:pos="2160"/>
        </w:tabs>
        <w:ind w:left="2160" w:hanging="360"/>
      </w:pPr>
      <w:rPr>
        <w:rFonts w:ascii="Wingdings" w:hAnsi="Wingdings" w:hint="default"/>
      </w:rPr>
    </w:lvl>
    <w:lvl w:ilvl="3" w:tplc="9E0CC24E" w:tentative="1">
      <w:start w:val="1"/>
      <w:numFmt w:val="bullet"/>
      <w:lvlText w:val=""/>
      <w:lvlJc w:val="left"/>
      <w:pPr>
        <w:tabs>
          <w:tab w:val="num" w:pos="2880"/>
        </w:tabs>
        <w:ind w:left="2880" w:hanging="360"/>
      </w:pPr>
      <w:rPr>
        <w:rFonts w:ascii="Symbol" w:hAnsi="Symbol" w:hint="default"/>
      </w:rPr>
    </w:lvl>
    <w:lvl w:ilvl="4" w:tplc="E50CBE32" w:tentative="1">
      <w:start w:val="1"/>
      <w:numFmt w:val="bullet"/>
      <w:lvlText w:val="o"/>
      <w:lvlJc w:val="left"/>
      <w:pPr>
        <w:tabs>
          <w:tab w:val="num" w:pos="3600"/>
        </w:tabs>
        <w:ind w:left="3600" w:hanging="360"/>
      </w:pPr>
      <w:rPr>
        <w:rFonts w:ascii="Courier New" w:hAnsi="Courier New" w:hint="default"/>
      </w:rPr>
    </w:lvl>
    <w:lvl w:ilvl="5" w:tplc="3C7CB0BE" w:tentative="1">
      <w:start w:val="1"/>
      <w:numFmt w:val="bullet"/>
      <w:lvlText w:val=""/>
      <w:lvlJc w:val="left"/>
      <w:pPr>
        <w:tabs>
          <w:tab w:val="num" w:pos="4320"/>
        </w:tabs>
        <w:ind w:left="4320" w:hanging="360"/>
      </w:pPr>
      <w:rPr>
        <w:rFonts w:ascii="Wingdings" w:hAnsi="Wingdings" w:hint="default"/>
      </w:rPr>
    </w:lvl>
    <w:lvl w:ilvl="6" w:tplc="F71E0196" w:tentative="1">
      <w:start w:val="1"/>
      <w:numFmt w:val="bullet"/>
      <w:lvlText w:val=""/>
      <w:lvlJc w:val="left"/>
      <w:pPr>
        <w:tabs>
          <w:tab w:val="num" w:pos="5040"/>
        </w:tabs>
        <w:ind w:left="5040" w:hanging="360"/>
      </w:pPr>
      <w:rPr>
        <w:rFonts w:ascii="Symbol" w:hAnsi="Symbol" w:hint="default"/>
      </w:rPr>
    </w:lvl>
    <w:lvl w:ilvl="7" w:tplc="1D220E58" w:tentative="1">
      <w:start w:val="1"/>
      <w:numFmt w:val="bullet"/>
      <w:lvlText w:val="o"/>
      <w:lvlJc w:val="left"/>
      <w:pPr>
        <w:tabs>
          <w:tab w:val="num" w:pos="5760"/>
        </w:tabs>
        <w:ind w:left="5760" w:hanging="360"/>
      </w:pPr>
      <w:rPr>
        <w:rFonts w:ascii="Courier New" w:hAnsi="Courier New" w:hint="default"/>
      </w:rPr>
    </w:lvl>
    <w:lvl w:ilvl="8" w:tplc="BF106CD0" w:tentative="1">
      <w:start w:val="1"/>
      <w:numFmt w:val="bullet"/>
      <w:lvlText w:val=""/>
      <w:lvlJc w:val="left"/>
      <w:pPr>
        <w:tabs>
          <w:tab w:val="num" w:pos="6480"/>
        </w:tabs>
        <w:ind w:left="6480" w:hanging="360"/>
      </w:pPr>
      <w:rPr>
        <w:rFonts w:ascii="Wingdings" w:hAnsi="Wingdings" w:hint="default"/>
      </w:rPr>
    </w:lvl>
  </w:abstractNum>
  <w:abstractNum w:abstractNumId="22">
    <w:nsid w:val="69E365C4"/>
    <w:multiLevelType w:val="hybridMultilevel"/>
    <w:tmpl w:val="413E4FAA"/>
    <w:lvl w:ilvl="0" w:tplc="4C3E4AFA">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nsid w:val="76155C5D"/>
    <w:multiLevelType w:val="hybridMultilevel"/>
    <w:tmpl w:val="FC0E507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A04370D"/>
    <w:multiLevelType w:val="hybridMultilevel"/>
    <w:tmpl w:val="94749C48"/>
    <w:lvl w:ilvl="0" w:tplc="FFFFFFFF">
      <w:start w:val="1"/>
      <w:numFmt w:val="bullet"/>
      <w:pStyle w:val="Listdash"/>
      <w:lvlText w:val=""/>
      <w:lvlJc w:val="left"/>
      <w:pPr>
        <w:tabs>
          <w:tab w:val="num" w:pos="3119"/>
        </w:tabs>
        <w:ind w:left="3119" w:hanging="426"/>
      </w:pPr>
      <w:rPr>
        <w:rFonts w:ascii="Symbol" w:hAnsi="Symbol" w:hint="default"/>
      </w:rPr>
    </w:lvl>
    <w:lvl w:ilvl="1" w:tplc="7B4C7112"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15"/>
  </w:num>
  <w:num w:numId="3">
    <w:abstractNumId w:val="12"/>
  </w:num>
  <w:num w:numId="4">
    <w:abstractNumId w:val="22"/>
  </w:num>
  <w:num w:numId="5">
    <w:abstractNumId w:val="2"/>
  </w:num>
  <w:num w:numId="6">
    <w:abstractNumId w:val="21"/>
  </w:num>
  <w:num w:numId="7">
    <w:abstractNumId w:val="10"/>
  </w:num>
  <w:num w:numId="8">
    <w:abstractNumId w:val="8"/>
  </w:num>
  <w:num w:numId="9">
    <w:abstractNumId w:val="25"/>
  </w:num>
  <w:num w:numId="10">
    <w:abstractNumId w:val="19"/>
  </w:num>
  <w:num w:numId="11">
    <w:abstractNumId w:val="20"/>
  </w:num>
  <w:num w:numId="12">
    <w:abstractNumId w:val="1"/>
  </w:num>
  <w:num w:numId="13">
    <w:abstractNumId w:val="26"/>
  </w:num>
  <w:num w:numId="14">
    <w:abstractNumId w:val="23"/>
  </w:num>
  <w:num w:numId="15">
    <w:abstractNumId w:val="3"/>
  </w:num>
  <w:num w:numId="16">
    <w:abstractNumId w:val="5"/>
  </w:num>
  <w:num w:numId="17">
    <w:abstractNumId w:val="14"/>
  </w:num>
  <w:num w:numId="18">
    <w:abstractNumId w:val="11"/>
  </w:num>
  <w:num w:numId="19">
    <w:abstractNumId w:val="17"/>
  </w:num>
  <w:num w:numId="20">
    <w:abstractNumId w:val="24"/>
  </w:num>
  <w:num w:numId="21">
    <w:abstractNumId w:val="7"/>
  </w:num>
  <w:num w:numId="22">
    <w:abstractNumId w:val="0"/>
  </w:num>
  <w:num w:numId="23">
    <w:abstractNumId w:val="13"/>
  </w:num>
  <w:num w:numId="24">
    <w:abstractNumId w:val="18"/>
  </w:num>
  <w:num w:numId="25">
    <w:abstractNumId w:val="16"/>
  </w:num>
  <w:num w:numId="26">
    <w:abstractNumId w:val="4"/>
  </w:num>
  <w:num w:numId="27">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65"/>
    <w:rsid w:val="00000616"/>
    <w:rsid w:val="00000686"/>
    <w:rsid w:val="000011E7"/>
    <w:rsid w:val="00001480"/>
    <w:rsid w:val="0000189A"/>
    <w:rsid w:val="000018E1"/>
    <w:rsid w:val="00001977"/>
    <w:rsid w:val="00004572"/>
    <w:rsid w:val="00004709"/>
    <w:rsid w:val="0000488C"/>
    <w:rsid w:val="00004EFA"/>
    <w:rsid w:val="00005356"/>
    <w:rsid w:val="00006B0C"/>
    <w:rsid w:val="0000708C"/>
    <w:rsid w:val="00007DFE"/>
    <w:rsid w:val="0001100D"/>
    <w:rsid w:val="00011A84"/>
    <w:rsid w:val="00011BA2"/>
    <w:rsid w:val="00012495"/>
    <w:rsid w:val="000129FF"/>
    <w:rsid w:val="00014349"/>
    <w:rsid w:val="00015C09"/>
    <w:rsid w:val="00015FF1"/>
    <w:rsid w:val="000168E2"/>
    <w:rsid w:val="0001699E"/>
    <w:rsid w:val="00016CB5"/>
    <w:rsid w:val="00016D2F"/>
    <w:rsid w:val="00017654"/>
    <w:rsid w:val="000177E2"/>
    <w:rsid w:val="0002013A"/>
    <w:rsid w:val="000204AB"/>
    <w:rsid w:val="00020BAC"/>
    <w:rsid w:val="00020E45"/>
    <w:rsid w:val="00021221"/>
    <w:rsid w:val="000224D1"/>
    <w:rsid w:val="00022CFE"/>
    <w:rsid w:val="0002351F"/>
    <w:rsid w:val="00023BC7"/>
    <w:rsid w:val="00024243"/>
    <w:rsid w:val="00024F99"/>
    <w:rsid w:val="00024FDB"/>
    <w:rsid w:val="00025397"/>
    <w:rsid w:val="00026358"/>
    <w:rsid w:val="00026481"/>
    <w:rsid w:val="00026554"/>
    <w:rsid w:val="00027CDE"/>
    <w:rsid w:val="00027EF4"/>
    <w:rsid w:val="000306A2"/>
    <w:rsid w:val="0003081E"/>
    <w:rsid w:val="0003126C"/>
    <w:rsid w:val="00033345"/>
    <w:rsid w:val="00033F71"/>
    <w:rsid w:val="00034B0E"/>
    <w:rsid w:val="00035698"/>
    <w:rsid w:val="000358CA"/>
    <w:rsid w:val="00035961"/>
    <w:rsid w:val="0003742F"/>
    <w:rsid w:val="000379A5"/>
    <w:rsid w:val="00037E0F"/>
    <w:rsid w:val="00037E9B"/>
    <w:rsid w:val="00037FA9"/>
    <w:rsid w:val="00037FE8"/>
    <w:rsid w:val="000403E2"/>
    <w:rsid w:val="0004070A"/>
    <w:rsid w:val="00040E18"/>
    <w:rsid w:val="000422B9"/>
    <w:rsid w:val="00042405"/>
    <w:rsid w:val="00042B5C"/>
    <w:rsid w:val="00043C6B"/>
    <w:rsid w:val="00044112"/>
    <w:rsid w:val="000445B6"/>
    <w:rsid w:val="00044CAC"/>
    <w:rsid w:val="00044EA3"/>
    <w:rsid w:val="00045625"/>
    <w:rsid w:val="0004600F"/>
    <w:rsid w:val="00046013"/>
    <w:rsid w:val="000463AB"/>
    <w:rsid w:val="00046531"/>
    <w:rsid w:val="0004728C"/>
    <w:rsid w:val="00047B6F"/>
    <w:rsid w:val="00050135"/>
    <w:rsid w:val="000509CC"/>
    <w:rsid w:val="000517C0"/>
    <w:rsid w:val="00051831"/>
    <w:rsid w:val="00051CC4"/>
    <w:rsid w:val="000525AB"/>
    <w:rsid w:val="0005348B"/>
    <w:rsid w:val="0005352E"/>
    <w:rsid w:val="00054670"/>
    <w:rsid w:val="00054F68"/>
    <w:rsid w:val="00055589"/>
    <w:rsid w:val="000556C5"/>
    <w:rsid w:val="00055859"/>
    <w:rsid w:val="00057597"/>
    <w:rsid w:val="00057930"/>
    <w:rsid w:val="00057E07"/>
    <w:rsid w:val="00060137"/>
    <w:rsid w:val="00060182"/>
    <w:rsid w:val="00060309"/>
    <w:rsid w:val="00060458"/>
    <w:rsid w:val="00061056"/>
    <w:rsid w:val="000611DD"/>
    <w:rsid w:val="00061401"/>
    <w:rsid w:val="0006227E"/>
    <w:rsid w:val="000631AA"/>
    <w:rsid w:val="00063DE0"/>
    <w:rsid w:val="00064692"/>
    <w:rsid w:val="00064766"/>
    <w:rsid w:val="00064DF8"/>
    <w:rsid w:val="00065556"/>
    <w:rsid w:val="00065B78"/>
    <w:rsid w:val="00065CEA"/>
    <w:rsid w:val="0006615B"/>
    <w:rsid w:val="000661E8"/>
    <w:rsid w:val="00066D43"/>
    <w:rsid w:val="000701C7"/>
    <w:rsid w:val="00071613"/>
    <w:rsid w:val="00071E2D"/>
    <w:rsid w:val="0007218D"/>
    <w:rsid w:val="000730FC"/>
    <w:rsid w:val="000743F2"/>
    <w:rsid w:val="000749D4"/>
    <w:rsid w:val="00074A92"/>
    <w:rsid w:val="000756C2"/>
    <w:rsid w:val="00075BAF"/>
    <w:rsid w:val="00075D21"/>
    <w:rsid w:val="0007776E"/>
    <w:rsid w:val="00080711"/>
    <w:rsid w:val="00081774"/>
    <w:rsid w:val="00081904"/>
    <w:rsid w:val="000819C3"/>
    <w:rsid w:val="00081B88"/>
    <w:rsid w:val="000825C0"/>
    <w:rsid w:val="0008452E"/>
    <w:rsid w:val="0008470D"/>
    <w:rsid w:val="00084C2F"/>
    <w:rsid w:val="00084EA2"/>
    <w:rsid w:val="000852B4"/>
    <w:rsid w:val="00086192"/>
    <w:rsid w:val="00086AD6"/>
    <w:rsid w:val="00086DD3"/>
    <w:rsid w:val="00087042"/>
    <w:rsid w:val="00087CC6"/>
    <w:rsid w:val="00090798"/>
    <w:rsid w:val="00090E69"/>
    <w:rsid w:val="00091E2E"/>
    <w:rsid w:val="00092DAB"/>
    <w:rsid w:val="00093674"/>
    <w:rsid w:val="00093BC2"/>
    <w:rsid w:val="00093C39"/>
    <w:rsid w:val="00094833"/>
    <w:rsid w:val="00094ED7"/>
    <w:rsid w:val="00096BDE"/>
    <w:rsid w:val="00096E98"/>
    <w:rsid w:val="00097276"/>
    <w:rsid w:val="000A08EB"/>
    <w:rsid w:val="000A1972"/>
    <w:rsid w:val="000A19DC"/>
    <w:rsid w:val="000A1DAF"/>
    <w:rsid w:val="000A2A85"/>
    <w:rsid w:val="000A4245"/>
    <w:rsid w:val="000A4B27"/>
    <w:rsid w:val="000A5A31"/>
    <w:rsid w:val="000A6188"/>
    <w:rsid w:val="000A6379"/>
    <w:rsid w:val="000A695B"/>
    <w:rsid w:val="000A69D3"/>
    <w:rsid w:val="000A6CE4"/>
    <w:rsid w:val="000A77FC"/>
    <w:rsid w:val="000B00B2"/>
    <w:rsid w:val="000B075A"/>
    <w:rsid w:val="000B0F9C"/>
    <w:rsid w:val="000B0FC9"/>
    <w:rsid w:val="000B1CAE"/>
    <w:rsid w:val="000B1E04"/>
    <w:rsid w:val="000B1FA6"/>
    <w:rsid w:val="000B231B"/>
    <w:rsid w:val="000B3055"/>
    <w:rsid w:val="000B36B4"/>
    <w:rsid w:val="000B4290"/>
    <w:rsid w:val="000B43F9"/>
    <w:rsid w:val="000B44B7"/>
    <w:rsid w:val="000B496C"/>
    <w:rsid w:val="000B49B0"/>
    <w:rsid w:val="000B557D"/>
    <w:rsid w:val="000B617A"/>
    <w:rsid w:val="000B6D73"/>
    <w:rsid w:val="000B6E9F"/>
    <w:rsid w:val="000B7019"/>
    <w:rsid w:val="000B701E"/>
    <w:rsid w:val="000B740B"/>
    <w:rsid w:val="000B7871"/>
    <w:rsid w:val="000B7A54"/>
    <w:rsid w:val="000C04CC"/>
    <w:rsid w:val="000C0B17"/>
    <w:rsid w:val="000C1D27"/>
    <w:rsid w:val="000C20FF"/>
    <w:rsid w:val="000C2D77"/>
    <w:rsid w:val="000C2F06"/>
    <w:rsid w:val="000C39EA"/>
    <w:rsid w:val="000C3EA3"/>
    <w:rsid w:val="000C40D1"/>
    <w:rsid w:val="000C46AE"/>
    <w:rsid w:val="000C4ADA"/>
    <w:rsid w:val="000C5CEE"/>
    <w:rsid w:val="000C6982"/>
    <w:rsid w:val="000C6B75"/>
    <w:rsid w:val="000D0019"/>
    <w:rsid w:val="000D0817"/>
    <w:rsid w:val="000D10E7"/>
    <w:rsid w:val="000D1216"/>
    <w:rsid w:val="000D1897"/>
    <w:rsid w:val="000D39F9"/>
    <w:rsid w:val="000D4056"/>
    <w:rsid w:val="000D4290"/>
    <w:rsid w:val="000D4D55"/>
    <w:rsid w:val="000D5F02"/>
    <w:rsid w:val="000D77D6"/>
    <w:rsid w:val="000D7ABF"/>
    <w:rsid w:val="000E1AF5"/>
    <w:rsid w:val="000E1BB2"/>
    <w:rsid w:val="000E1BE2"/>
    <w:rsid w:val="000E27C5"/>
    <w:rsid w:val="000E446F"/>
    <w:rsid w:val="000E494E"/>
    <w:rsid w:val="000E4C45"/>
    <w:rsid w:val="000E591E"/>
    <w:rsid w:val="000E5C42"/>
    <w:rsid w:val="000E5E10"/>
    <w:rsid w:val="000E63D8"/>
    <w:rsid w:val="000E6FD0"/>
    <w:rsid w:val="000E7701"/>
    <w:rsid w:val="000E7D0A"/>
    <w:rsid w:val="000F138B"/>
    <w:rsid w:val="000F1A69"/>
    <w:rsid w:val="000F25F4"/>
    <w:rsid w:val="000F27D1"/>
    <w:rsid w:val="000F2CCE"/>
    <w:rsid w:val="000F3EA8"/>
    <w:rsid w:val="000F5031"/>
    <w:rsid w:val="000F5A7D"/>
    <w:rsid w:val="000F638A"/>
    <w:rsid w:val="000F690A"/>
    <w:rsid w:val="000F6BF5"/>
    <w:rsid w:val="000F6DC4"/>
    <w:rsid w:val="000F72E1"/>
    <w:rsid w:val="00100B56"/>
    <w:rsid w:val="001013AD"/>
    <w:rsid w:val="0010170D"/>
    <w:rsid w:val="001026FD"/>
    <w:rsid w:val="00105481"/>
    <w:rsid w:val="00106001"/>
    <w:rsid w:val="00106F38"/>
    <w:rsid w:val="001070E0"/>
    <w:rsid w:val="00107CAD"/>
    <w:rsid w:val="001116C9"/>
    <w:rsid w:val="00111ED5"/>
    <w:rsid w:val="0011218A"/>
    <w:rsid w:val="00112EE6"/>
    <w:rsid w:val="00113694"/>
    <w:rsid w:val="0011400F"/>
    <w:rsid w:val="001142EC"/>
    <w:rsid w:val="00114929"/>
    <w:rsid w:val="00115610"/>
    <w:rsid w:val="0011586A"/>
    <w:rsid w:val="00115DBB"/>
    <w:rsid w:val="00115EB7"/>
    <w:rsid w:val="00116FE3"/>
    <w:rsid w:val="001209C4"/>
    <w:rsid w:val="00121B07"/>
    <w:rsid w:val="00121EAA"/>
    <w:rsid w:val="00122942"/>
    <w:rsid w:val="00122E68"/>
    <w:rsid w:val="00123EB2"/>
    <w:rsid w:val="0012416E"/>
    <w:rsid w:val="0012457E"/>
    <w:rsid w:val="0012526B"/>
    <w:rsid w:val="00126A7F"/>
    <w:rsid w:val="00127408"/>
    <w:rsid w:val="00127E6A"/>
    <w:rsid w:val="00127EAC"/>
    <w:rsid w:val="00130A35"/>
    <w:rsid w:val="001310CC"/>
    <w:rsid w:val="00131308"/>
    <w:rsid w:val="0013202C"/>
    <w:rsid w:val="00132626"/>
    <w:rsid w:val="0013385A"/>
    <w:rsid w:val="00133CB6"/>
    <w:rsid w:val="00134E6B"/>
    <w:rsid w:val="0013592B"/>
    <w:rsid w:val="0013736D"/>
    <w:rsid w:val="001379CE"/>
    <w:rsid w:val="00137BFD"/>
    <w:rsid w:val="00140E83"/>
    <w:rsid w:val="001411A0"/>
    <w:rsid w:val="0014126D"/>
    <w:rsid w:val="00141970"/>
    <w:rsid w:val="00144042"/>
    <w:rsid w:val="00144761"/>
    <w:rsid w:val="00144CA7"/>
    <w:rsid w:val="0014548C"/>
    <w:rsid w:val="001454A5"/>
    <w:rsid w:val="00145B2A"/>
    <w:rsid w:val="00146184"/>
    <w:rsid w:val="001464EF"/>
    <w:rsid w:val="00150558"/>
    <w:rsid w:val="00150CFF"/>
    <w:rsid w:val="0015198B"/>
    <w:rsid w:val="00152574"/>
    <w:rsid w:val="00152A73"/>
    <w:rsid w:val="00154E9B"/>
    <w:rsid w:val="00154F5A"/>
    <w:rsid w:val="00155300"/>
    <w:rsid w:val="001558F6"/>
    <w:rsid w:val="00155D4A"/>
    <w:rsid w:val="00156332"/>
    <w:rsid w:val="00156853"/>
    <w:rsid w:val="00156939"/>
    <w:rsid w:val="00156CD6"/>
    <w:rsid w:val="00157B44"/>
    <w:rsid w:val="00157B99"/>
    <w:rsid w:val="00157F37"/>
    <w:rsid w:val="00160C31"/>
    <w:rsid w:val="00161747"/>
    <w:rsid w:val="00161871"/>
    <w:rsid w:val="00161A04"/>
    <w:rsid w:val="00162688"/>
    <w:rsid w:val="00164051"/>
    <w:rsid w:val="0016434B"/>
    <w:rsid w:val="00165767"/>
    <w:rsid w:val="00165F6B"/>
    <w:rsid w:val="00166817"/>
    <w:rsid w:val="001668C6"/>
    <w:rsid w:val="00166B8E"/>
    <w:rsid w:val="001679FD"/>
    <w:rsid w:val="00170312"/>
    <w:rsid w:val="00170A40"/>
    <w:rsid w:val="00170C4F"/>
    <w:rsid w:val="00171AB2"/>
    <w:rsid w:val="00172D86"/>
    <w:rsid w:val="00174C72"/>
    <w:rsid w:val="001754EE"/>
    <w:rsid w:val="001766E8"/>
    <w:rsid w:val="00176982"/>
    <w:rsid w:val="0017738C"/>
    <w:rsid w:val="0017794E"/>
    <w:rsid w:val="00180DFD"/>
    <w:rsid w:val="00181157"/>
    <w:rsid w:val="00181650"/>
    <w:rsid w:val="00182B36"/>
    <w:rsid w:val="00183658"/>
    <w:rsid w:val="00183AB1"/>
    <w:rsid w:val="00183D1F"/>
    <w:rsid w:val="001844C3"/>
    <w:rsid w:val="001849EF"/>
    <w:rsid w:val="00185402"/>
    <w:rsid w:val="001854E2"/>
    <w:rsid w:val="001857A8"/>
    <w:rsid w:val="001857E7"/>
    <w:rsid w:val="00185F69"/>
    <w:rsid w:val="001860D8"/>
    <w:rsid w:val="00186181"/>
    <w:rsid w:val="001871B4"/>
    <w:rsid w:val="00187F26"/>
    <w:rsid w:val="00190532"/>
    <w:rsid w:val="001912C1"/>
    <w:rsid w:val="001918D2"/>
    <w:rsid w:val="001918D8"/>
    <w:rsid w:val="00191F3A"/>
    <w:rsid w:val="001942A7"/>
    <w:rsid w:val="00195602"/>
    <w:rsid w:val="00195856"/>
    <w:rsid w:val="0019635E"/>
    <w:rsid w:val="00196433"/>
    <w:rsid w:val="0019698E"/>
    <w:rsid w:val="001A002F"/>
    <w:rsid w:val="001A00B6"/>
    <w:rsid w:val="001A16CB"/>
    <w:rsid w:val="001A1C24"/>
    <w:rsid w:val="001A1D75"/>
    <w:rsid w:val="001A3893"/>
    <w:rsid w:val="001A4C9F"/>
    <w:rsid w:val="001A4EC0"/>
    <w:rsid w:val="001A535A"/>
    <w:rsid w:val="001A56EA"/>
    <w:rsid w:val="001A67FB"/>
    <w:rsid w:val="001A6C14"/>
    <w:rsid w:val="001A7861"/>
    <w:rsid w:val="001B0123"/>
    <w:rsid w:val="001B0220"/>
    <w:rsid w:val="001B0A29"/>
    <w:rsid w:val="001B2458"/>
    <w:rsid w:val="001B289D"/>
    <w:rsid w:val="001B2FAC"/>
    <w:rsid w:val="001B3803"/>
    <w:rsid w:val="001B3CCE"/>
    <w:rsid w:val="001B4173"/>
    <w:rsid w:val="001B429D"/>
    <w:rsid w:val="001B4D11"/>
    <w:rsid w:val="001B5CAA"/>
    <w:rsid w:val="001B6702"/>
    <w:rsid w:val="001B7084"/>
    <w:rsid w:val="001B71EE"/>
    <w:rsid w:val="001B7766"/>
    <w:rsid w:val="001B7847"/>
    <w:rsid w:val="001B7C39"/>
    <w:rsid w:val="001C0530"/>
    <w:rsid w:val="001C11E2"/>
    <w:rsid w:val="001C141A"/>
    <w:rsid w:val="001C1A8D"/>
    <w:rsid w:val="001C1D3C"/>
    <w:rsid w:val="001C2745"/>
    <w:rsid w:val="001C2789"/>
    <w:rsid w:val="001C3BAA"/>
    <w:rsid w:val="001C3E48"/>
    <w:rsid w:val="001C4ABE"/>
    <w:rsid w:val="001C5C70"/>
    <w:rsid w:val="001C6C43"/>
    <w:rsid w:val="001C79F6"/>
    <w:rsid w:val="001C7B46"/>
    <w:rsid w:val="001D04D6"/>
    <w:rsid w:val="001D155A"/>
    <w:rsid w:val="001D1D4A"/>
    <w:rsid w:val="001D22E9"/>
    <w:rsid w:val="001D25CD"/>
    <w:rsid w:val="001D29B1"/>
    <w:rsid w:val="001D47D9"/>
    <w:rsid w:val="001D49A0"/>
    <w:rsid w:val="001D559B"/>
    <w:rsid w:val="001D5886"/>
    <w:rsid w:val="001D594C"/>
    <w:rsid w:val="001D63A3"/>
    <w:rsid w:val="001D6835"/>
    <w:rsid w:val="001D6CFB"/>
    <w:rsid w:val="001D77DB"/>
    <w:rsid w:val="001E01BE"/>
    <w:rsid w:val="001E1F64"/>
    <w:rsid w:val="001E28E8"/>
    <w:rsid w:val="001E38C0"/>
    <w:rsid w:val="001E3B14"/>
    <w:rsid w:val="001E4476"/>
    <w:rsid w:val="001E49A5"/>
    <w:rsid w:val="001E53C1"/>
    <w:rsid w:val="001E5A2D"/>
    <w:rsid w:val="001E6982"/>
    <w:rsid w:val="001E6A42"/>
    <w:rsid w:val="001E7F64"/>
    <w:rsid w:val="001F10F6"/>
    <w:rsid w:val="001F1317"/>
    <w:rsid w:val="001F1518"/>
    <w:rsid w:val="001F1667"/>
    <w:rsid w:val="001F28C6"/>
    <w:rsid w:val="001F3CEE"/>
    <w:rsid w:val="001F4DD5"/>
    <w:rsid w:val="001F5709"/>
    <w:rsid w:val="001F5894"/>
    <w:rsid w:val="001F61CA"/>
    <w:rsid w:val="001F62A3"/>
    <w:rsid w:val="001F6941"/>
    <w:rsid w:val="001F6E1B"/>
    <w:rsid w:val="001F7027"/>
    <w:rsid w:val="001F7B68"/>
    <w:rsid w:val="00201F5F"/>
    <w:rsid w:val="00202163"/>
    <w:rsid w:val="0020247B"/>
    <w:rsid w:val="00203888"/>
    <w:rsid w:val="00204112"/>
    <w:rsid w:val="00204301"/>
    <w:rsid w:val="00204B35"/>
    <w:rsid w:val="00205521"/>
    <w:rsid w:val="00205E0F"/>
    <w:rsid w:val="00206039"/>
    <w:rsid w:val="00206112"/>
    <w:rsid w:val="002064BA"/>
    <w:rsid w:val="00206D3F"/>
    <w:rsid w:val="00207ED6"/>
    <w:rsid w:val="00210073"/>
    <w:rsid w:val="002117D2"/>
    <w:rsid w:val="002118ED"/>
    <w:rsid w:val="00211B5F"/>
    <w:rsid w:val="002129DB"/>
    <w:rsid w:val="00212FDC"/>
    <w:rsid w:val="00213307"/>
    <w:rsid w:val="00213E74"/>
    <w:rsid w:val="00214547"/>
    <w:rsid w:val="0021664D"/>
    <w:rsid w:val="00216F59"/>
    <w:rsid w:val="00220BD8"/>
    <w:rsid w:val="0022281C"/>
    <w:rsid w:val="00223C34"/>
    <w:rsid w:val="002249BC"/>
    <w:rsid w:val="00226227"/>
    <w:rsid w:val="002266FD"/>
    <w:rsid w:val="00227AA1"/>
    <w:rsid w:val="00227B48"/>
    <w:rsid w:val="002308BE"/>
    <w:rsid w:val="00230E16"/>
    <w:rsid w:val="00231353"/>
    <w:rsid w:val="002315BD"/>
    <w:rsid w:val="00231697"/>
    <w:rsid w:val="00231B39"/>
    <w:rsid w:val="00231C86"/>
    <w:rsid w:val="00232C49"/>
    <w:rsid w:val="00233B6F"/>
    <w:rsid w:val="00233DA5"/>
    <w:rsid w:val="002355B6"/>
    <w:rsid w:val="002357FC"/>
    <w:rsid w:val="00235ECA"/>
    <w:rsid w:val="00236177"/>
    <w:rsid w:val="00236F70"/>
    <w:rsid w:val="00236F85"/>
    <w:rsid w:val="00237206"/>
    <w:rsid w:val="002406C9"/>
    <w:rsid w:val="002417C5"/>
    <w:rsid w:val="00242EFB"/>
    <w:rsid w:val="002431E2"/>
    <w:rsid w:val="00243938"/>
    <w:rsid w:val="002441DF"/>
    <w:rsid w:val="002446E1"/>
    <w:rsid w:val="00245B12"/>
    <w:rsid w:val="002472E4"/>
    <w:rsid w:val="002473B1"/>
    <w:rsid w:val="00247AC0"/>
    <w:rsid w:val="00247D7D"/>
    <w:rsid w:val="0025047E"/>
    <w:rsid w:val="00250A8B"/>
    <w:rsid w:val="002521C4"/>
    <w:rsid w:val="002525F3"/>
    <w:rsid w:val="0025295A"/>
    <w:rsid w:val="002530FF"/>
    <w:rsid w:val="00253149"/>
    <w:rsid w:val="002539BC"/>
    <w:rsid w:val="00254097"/>
    <w:rsid w:val="00254E0A"/>
    <w:rsid w:val="00257AD4"/>
    <w:rsid w:val="00257BBA"/>
    <w:rsid w:val="00257E4B"/>
    <w:rsid w:val="0026082F"/>
    <w:rsid w:val="002613A6"/>
    <w:rsid w:val="00261870"/>
    <w:rsid w:val="00262B62"/>
    <w:rsid w:val="00263423"/>
    <w:rsid w:val="00264207"/>
    <w:rsid w:val="002644A4"/>
    <w:rsid w:val="0027016A"/>
    <w:rsid w:val="00270927"/>
    <w:rsid w:val="00270B9F"/>
    <w:rsid w:val="00270FB7"/>
    <w:rsid w:val="002717DB"/>
    <w:rsid w:val="00272954"/>
    <w:rsid w:val="002738C2"/>
    <w:rsid w:val="00274834"/>
    <w:rsid w:val="002749A8"/>
    <w:rsid w:val="00275403"/>
    <w:rsid w:val="00276520"/>
    <w:rsid w:val="00276935"/>
    <w:rsid w:val="002772E9"/>
    <w:rsid w:val="002801C0"/>
    <w:rsid w:val="002804FF"/>
    <w:rsid w:val="0028181F"/>
    <w:rsid w:val="00281985"/>
    <w:rsid w:val="002819C2"/>
    <w:rsid w:val="0028285D"/>
    <w:rsid w:val="00283D84"/>
    <w:rsid w:val="0028451D"/>
    <w:rsid w:val="00284F1A"/>
    <w:rsid w:val="00285E7A"/>
    <w:rsid w:val="00286C7C"/>
    <w:rsid w:val="00287758"/>
    <w:rsid w:val="00287A51"/>
    <w:rsid w:val="00290D4D"/>
    <w:rsid w:val="00291697"/>
    <w:rsid w:val="00291A0D"/>
    <w:rsid w:val="00291A24"/>
    <w:rsid w:val="00291D96"/>
    <w:rsid w:val="00291E71"/>
    <w:rsid w:val="002928D3"/>
    <w:rsid w:val="002944AB"/>
    <w:rsid w:val="002948BA"/>
    <w:rsid w:val="00295F37"/>
    <w:rsid w:val="00295F5D"/>
    <w:rsid w:val="00296D7D"/>
    <w:rsid w:val="00297946"/>
    <w:rsid w:val="002A03AC"/>
    <w:rsid w:val="002A0FD8"/>
    <w:rsid w:val="002A1A8D"/>
    <w:rsid w:val="002A1C0D"/>
    <w:rsid w:val="002A1F57"/>
    <w:rsid w:val="002A22E0"/>
    <w:rsid w:val="002A2A75"/>
    <w:rsid w:val="002A369B"/>
    <w:rsid w:val="002A38D4"/>
    <w:rsid w:val="002A45DA"/>
    <w:rsid w:val="002A4914"/>
    <w:rsid w:val="002A6072"/>
    <w:rsid w:val="002A64CE"/>
    <w:rsid w:val="002A6858"/>
    <w:rsid w:val="002A753C"/>
    <w:rsid w:val="002A7762"/>
    <w:rsid w:val="002B0111"/>
    <w:rsid w:val="002B07FC"/>
    <w:rsid w:val="002B0F00"/>
    <w:rsid w:val="002B135A"/>
    <w:rsid w:val="002B1A2D"/>
    <w:rsid w:val="002B3853"/>
    <w:rsid w:val="002B3BBC"/>
    <w:rsid w:val="002B44ED"/>
    <w:rsid w:val="002B5743"/>
    <w:rsid w:val="002B59F9"/>
    <w:rsid w:val="002B68F6"/>
    <w:rsid w:val="002B7594"/>
    <w:rsid w:val="002B76BE"/>
    <w:rsid w:val="002C0067"/>
    <w:rsid w:val="002C02F5"/>
    <w:rsid w:val="002C113D"/>
    <w:rsid w:val="002C1724"/>
    <w:rsid w:val="002C1747"/>
    <w:rsid w:val="002C1E8B"/>
    <w:rsid w:val="002C2343"/>
    <w:rsid w:val="002C26A8"/>
    <w:rsid w:val="002C275B"/>
    <w:rsid w:val="002C29A7"/>
    <w:rsid w:val="002C2C22"/>
    <w:rsid w:val="002C308D"/>
    <w:rsid w:val="002C32D9"/>
    <w:rsid w:val="002C424F"/>
    <w:rsid w:val="002C4C7D"/>
    <w:rsid w:val="002C4D89"/>
    <w:rsid w:val="002C4EC1"/>
    <w:rsid w:val="002C5449"/>
    <w:rsid w:val="002C61B7"/>
    <w:rsid w:val="002C63A1"/>
    <w:rsid w:val="002C7B3D"/>
    <w:rsid w:val="002C7CD3"/>
    <w:rsid w:val="002D153A"/>
    <w:rsid w:val="002D17E0"/>
    <w:rsid w:val="002D1902"/>
    <w:rsid w:val="002D292F"/>
    <w:rsid w:val="002D2B17"/>
    <w:rsid w:val="002D3AF2"/>
    <w:rsid w:val="002D4073"/>
    <w:rsid w:val="002D4F3C"/>
    <w:rsid w:val="002D5447"/>
    <w:rsid w:val="002D5A5E"/>
    <w:rsid w:val="002D61DC"/>
    <w:rsid w:val="002D62D1"/>
    <w:rsid w:val="002D7B97"/>
    <w:rsid w:val="002D7E07"/>
    <w:rsid w:val="002E04F3"/>
    <w:rsid w:val="002E0A23"/>
    <w:rsid w:val="002E1EE9"/>
    <w:rsid w:val="002E2585"/>
    <w:rsid w:val="002E3C59"/>
    <w:rsid w:val="002E70E5"/>
    <w:rsid w:val="002E7157"/>
    <w:rsid w:val="002F0305"/>
    <w:rsid w:val="002F1387"/>
    <w:rsid w:val="002F1A84"/>
    <w:rsid w:val="002F1E51"/>
    <w:rsid w:val="002F4C20"/>
    <w:rsid w:val="002F5555"/>
    <w:rsid w:val="002F5731"/>
    <w:rsid w:val="002F59BD"/>
    <w:rsid w:val="002F6B08"/>
    <w:rsid w:val="002F7545"/>
    <w:rsid w:val="002F79F2"/>
    <w:rsid w:val="002F7D36"/>
    <w:rsid w:val="00300375"/>
    <w:rsid w:val="00300477"/>
    <w:rsid w:val="00301CD1"/>
    <w:rsid w:val="0030215D"/>
    <w:rsid w:val="00302161"/>
    <w:rsid w:val="0030294D"/>
    <w:rsid w:val="00302D5A"/>
    <w:rsid w:val="00302E94"/>
    <w:rsid w:val="0030398D"/>
    <w:rsid w:val="003045AE"/>
    <w:rsid w:val="0030472A"/>
    <w:rsid w:val="00304A61"/>
    <w:rsid w:val="00304C09"/>
    <w:rsid w:val="003052A1"/>
    <w:rsid w:val="00305336"/>
    <w:rsid w:val="00305341"/>
    <w:rsid w:val="003104EA"/>
    <w:rsid w:val="00310800"/>
    <w:rsid w:val="0031086C"/>
    <w:rsid w:val="0031119B"/>
    <w:rsid w:val="00311F43"/>
    <w:rsid w:val="00313177"/>
    <w:rsid w:val="003132C7"/>
    <w:rsid w:val="003134D9"/>
    <w:rsid w:val="003148A6"/>
    <w:rsid w:val="00315C3E"/>
    <w:rsid w:val="00316011"/>
    <w:rsid w:val="0031666C"/>
    <w:rsid w:val="00317592"/>
    <w:rsid w:val="00320AF8"/>
    <w:rsid w:val="00321165"/>
    <w:rsid w:val="003215BB"/>
    <w:rsid w:val="003222A6"/>
    <w:rsid w:val="00322888"/>
    <w:rsid w:val="00323D3A"/>
    <w:rsid w:val="00324D63"/>
    <w:rsid w:val="003251CC"/>
    <w:rsid w:val="0032551E"/>
    <w:rsid w:val="00325B30"/>
    <w:rsid w:val="00326053"/>
    <w:rsid w:val="00326609"/>
    <w:rsid w:val="00326798"/>
    <w:rsid w:val="00327B6D"/>
    <w:rsid w:val="00327BF6"/>
    <w:rsid w:val="00327CE5"/>
    <w:rsid w:val="00327EF5"/>
    <w:rsid w:val="00330148"/>
    <w:rsid w:val="003309DD"/>
    <w:rsid w:val="00330DEE"/>
    <w:rsid w:val="00333D2E"/>
    <w:rsid w:val="003347D3"/>
    <w:rsid w:val="00334E96"/>
    <w:rsid w:val="003350B0"/>
    <w:rsid w:val="0033520A"/>
    <w:rsid w:val="00335933"/>
    <w:rsid w:val="00335C1B"/>
    <w:rsid w:val="00335ED2"/>
    <w:rsid w:val="0033766C"/>
    <w:rsid w:val="00340D3C"/>
    <w:rsid w:val="00340FAB"/>
    <w:rsid w:val="0034100F"/>
    <w:rsid w:val="003421B2"/>
    <w:rsid w:val="00342545"/>
    <w:rsid w:val="00342C31"/>
    <w:rsid w:val="00343711"/>
    <w:rsid w:val="003438DB"/>
    <w:rsid w:val="003440D9"/>
    <w:rsid w:val="00345E8F"/>
    <w:rsid w:val="00346879"/>
    <w:rsid w:val="0034725A"/>
    <w:rsid w:val="00347432"/>
    <w:rsid w:val="00347759"/>
    <w:rsid w:val="0034780A"/>
    <w:rsid w:val="0034784A"/>
    <w:rsid w:val="003478F4"/>
    <w:rsid w:val="00347A4E"/>
    <w:rsid w:val="00347A9F"/>
    <w:rsid w:val="00350466"/>
    <w:rsid w:val="00350C2F"/>
    <w:rsid w:val="00350D6E"/>
    <w:rsid w:val="00351779"/>
    <w:rsid w:val="00351AE8"/>
    <w:rsid w:val="003523F8"/>
    <w:rsid w:val="003524F5"/>
    <w:rsid w:val="003530B7"/>
    <w:rsid w:val="0035346F"/>
    <w:rsid w:val="00353D47"/>
    <w:rsid w:val="003542A1"/>
    <w:rsid w:val="003547E5"/>
    <w:rsid w:val="00356211"/>
    <w:rsid w:val="00356575"/>
    <w:rsid w:val="00356BFD"/>
    <w:rsid w:val="00357334"/>
    <w:rsid w:val="0036095F"/>
    <w:rsid w:val="0036188B"/>
    <w:rsid w:val="003622B4"/>
    <w:rsid w:val="0036242F"/>
    <w:rsid w:val="003629F8"/>
    <w:rsid w:val="00363411"/>
    <w:rsid w:val="00363647"/>
    <w:rsid w:val="00363CA3"/>
    <w:rsid w:val="00364162"/>
    <w:rsid w:val="003646FB"/>
    <w:rsid w:val="00364727"/>
    <w:rsid w:val="00366EE5"/>
    <w:rsid w:val="00366EED"/>
    <w:rsid w:val="00366F44"/>
    <w:rsid w:val="00367339"/>
    <w:rsid w:val="00371303"/>
    <w:rsid w:val="0037142A"/>
    <w:rsid w:val="00373E1D"/>
    <w:rsid w:val="00374489"/>
    <w:rsid w:val="0037461F"/>
    <w:rsid w:val="00374DE6"/>
    <w:rsid w:val="00375668"/>
    <w:rsid w:val="003756E0"/>
    <w:rsid w:val="00375B09"/>
    <w:rsid w:val="00376382"/>
    <w:rsid w:val="003763C0"/>
    <w:rsid w:val="003777C8"/>
    <w:rsid w:val="00380581"/>
    <w:rsid w:val="00380795"/>
    <w:rsid w:val="003810FF"/>
    <w:rsid w:val="00381504"/>
    <w:rsid w:val="003820A1"/>
    <w:rsid w:val="00382DCF"/>
    <w:rsid w:val="003831B9"/>
    <w:rsid w:val="003836CF"/>
    <w:rsid w:val="00384080"/>
    <w:rsid w:val="00384842"/>
    <w:rsid w:val="00384CFE"/>
    <w:rsid w:val="00385017"/>
    <w:rsid w:val="00385DD0"/>
    <w:rsid w:val="00386006"/>
    <w:rsid w:val="0038642E"/>
    <w:rsid w:val="00387310"/>
    <w:rsid w:val="00390F96"/>
    <w:rsid w:val="00391117"/>
    <w:rsid w:val="0039152D"/>
    <w:rsid w:val="00392071"/>
    <w:rsid w:val="0039268B"/>
    <w:rsid w:val="00392B3F"/>
    <w:rsid w:val="00392CAA"/>
    <w:rsid w:val="003933B0"/>
    <w:rsid w:val="00393E89"/>
    <w:rsid w:val="00396C9B"/>
    <w:rsid w:val="00397419"/>
    <w:rsid w:val="00397D35"/>
    <w:rsid w:val="003A070A"/>
    <w:rsid w:val="003A17AD"/>
    <w:rsid w:val="003A1812"/>
    <w:rsid w:val="003A219B"/>
    <w:rsid w:val="003A2AB8"/>
    <w:rsid w:val="003A32DA"/>
    <w:rsid w:val="003A35E8"/>
    <w:rsid w:val="003A3BD0"/>
    <w:rsid w:val="003A3E8B"/>
    <w:rsid w:val="003A42C3"/>
    <w:rsid w:val="003A448D"/>
    <w:rsid w:val="003A4ED8"/>
    <w:rsid w:val="003A59B4"/>
    <w:rsid w:val="003A5BBC"/>
    <w:rsid w:val="003A6852"/>
    <w:rsid w:val="003A6B5B"/>
    <w:rsid w:val="003A6BBE"/>
    <w:rsid w:val="003B01CD"/>
    <w:rsid w:val="003B0969"/>
    <w:rsid w:val="003B0AD1"/>
    <w:rsid w:val="003B0B2D"/>
    <w:rsid w:val="003B1360"/>
    <w:rsid w:val="003B3524"/>
    <w:rsid w:val="003B3D5A"/>
    <w:rsid w:val="003B43A0"/>
    <w:rsid w:val="003B4E35"/>
    <w:rsid w:val="003B4F45"/>
    <w:rsid w:val="003B53CB"/>
    <w:rsid w:val="003B56A3"/>
    <w:rsid w:val="003B6A6E"/>
    <w:rsid w:val="003B7474"/>
    <w:rsid w:val="003C0DC4"/>
    <w:rsid w:val="003C2C01"/>
    <w:rsid w:val="003C3A9D"/>
    <w:rsid w:val="003C3B16"/>
    <w:rsid w:val="003C4A74"/>
    <w:rsid w:val="003C4CFF"/>
    <w:rsid w:val="003C594A"/>
    <w:rsid w:val="003C68B4"/>
    <w:rsid w:val="003C6F98"/>
    <w:rsid w:val="003D18F8"/>
    <w:rsid w:val="003D1D52"/>
    <w:rsid w:val="003D2989"/>
    <w:rsid w:val="003D2FD3"/>
    <w:rsid w:val="003D3152"/>
    <w:rsid w:val="003D3B0A"/>
    <w:rsid w:val="003D471A"/>
    <w:rsid w:val="003D48C6"/>
    <w:rsid w:val="003D4BD9"/>
    <w:rsid w:val="003D5080"/>
    <w:rsid w:val="003D6472"/>
    <w:rsid w:val="003D650C"/>
    <w:rsid w:val="003D7ED2"/>
    <w:rsid w:val="003E01B3"/>
    <w:rsid w:val="003E064D"/>
    <w:rsid w:val="003E18E5"/>
    <w:rsid w:val="003E1D46"/>
    <w:rsid w:val="003E304C"/>
    <w:rsid w:val="003E36EC"/>
    <w:rsid w:val="003E3BB3"/>
    <w:rsid w:val="003E45E4"/>
    <w:rsid w:val="003E4A8B"/>
    <w:rsid w:val="003E4BD2"/>
    <w:rsid w:val="003E60FF"/>
    <w:rsid w:val="003E61D7"/>
    <w:rsid w:val="003E6645"/>
    <w:rsid w:val="003F0193"/>
    <w:rsid w:val="003F03FA"/>
    <w:rsid w:val="003F0DEA"/>
    <w:rsid w:val="003F2C9D"/>
    <w:rsid w:val="003F365E"/>
    <w:rsid w:val="003F37E5"/>
    <w:rsid w:val="003F486D"/>
    <w:rsid w:val="003F4B29"/>
    <w:rsid w:val="003F4BA9"/>
    <w:rsid w:val="003F4ECB"/>
    <w:rsid w:val="003F4EE9"/>
    <w:rsid w:val="003F57A0"/>
    <w:rsid w:val="003F70D4"/>
    <w:rsid w:val="003F7288"/>
    <w:rsid w:val="0040181E"/>
    <w:rsid w:val="00401A21"/>
    <w:rsid w:val="00402471"/>
    <w:rsid w:val="0040251B"/>
    <w:rsid w:val="0040301A"/>
    <w:rsid w:val="00403263"/>
    <w:rsid w:val="00403BD7"/>
    <w:rsid w:val="00404164"/>
    <w:rsid w:val="0040472E"/>
    <w:rsid w:val="00404757"/>
    <w:rsid w:val="004049D3"/>
    <w:rsid w:val="004057F9"/>
    <w:rsid w:val="00405E1D"/>
    <w:rsid w:val="00407878"/>
    <w:rsid w:val="0041068E"/>
    <w:rsid w:val="00410867"/>
    <w:rsid w:val="00411390"/>
    <w:rsid w:val="004113AB"/>
    <w:rsid w:val="00411B23"/>
    <w:rsid w:val="00411D4B"/>
    <w:rsid w:val="00411E13"/>
    <w:rsid w:val="00411E9C"/>
    <w:rsid w:val="0041254B"/>
    <w:rsid w:val="00412736"/>
    <w:rsid w:val="0041371B"/>
    <w:rsid w:val="00413850"/>
    <w:rsid w:val="00414709"/>
    <w:rsid w:val="00416C2F"/>
    <w:rsid w:val="00417090"/>
    <w:rsid w:val="00417353"/>
    <w:rsid w:val="00417B4D"/>
    <w:rsid w:val="00420828"/>
    <w:rsid w:val="00420840"/>
    <w:rsid w:val="00420FF3"/>
    <w:rsid w:val="00421D30"/>
    <w:rsid w:val="004220E6"/>
    <w:rsid w:val="004229D5"/>
    <w:rsid w:val="00422C75"/>
    <w:rsid w:val="00422CE4"/>
    <w:rsid w:val="004234D1"/>
    <w:rsid w:val="004236B2"/>
    <w:rsid w:val="004238EE"/>
    <w:rsid w:val="00424180"/>
    <w:rsid w:val="0042611F"/>
    <w:rsid w:val="00426479"/>
    <w:rsid w:val="00426E85"/>
    <w:rsid w:val="00427107"/>
    <w:rsid w:val="00430576"/>
    <w:rsid w:val="00430EB9"/>
    <w:rsid w:val="00431762"/>
    <w:rsid w:val="00431A4D"/>
    <w:rsid w:val="00431B51"/>
    <w:rsid w:val="004333EE"/>
    <w:rsid w:val="004341EA"/>
    <w:rsid w:val="0043455E"/>
    <w:rsid w:val="00434D4B"/>
    <w:rsid w:val="0043500D"/>
    <w:rsid w:val="00435B14"/>
    <w:rsid w:val="00435FAF"/>
    <w:rsid w:val="004364BF"/>
    <w:rsid w:val="00437650"/>
    <w:rsid w:val="00437A2A"/>
    <w:rsid w:val="00437D11"/>
    <w:rsid w:val="00440B64"/>
    <w:rsid w:val="004413A9"/>
    <w:rsid w:val="0044179A"/>
    <w:rsid w:val="0044265D"/>
    <w:rsid w:val="00442C69"/>
    <w:rsid w:val="00443B7B"/>
    <w:rsid w:val="00444398"/>
    <w:rsid w:val="004453A5"/>
    <w:rsid w:val="00445D9B"/>
    <w:rsid w:val="00446191"/>
    <w:rsid w:val="004469B8"/>
    <w:rsid w:val="00446D19"/>
    <w:rsid w:val="00447168"/>
    <w:rsid w:val="0044731C"/>
    <w:rsid w:val="004475E0"/>
    <w:rsid w:val="00447A31"/>
    <w:rsid w:val="004500B1"/>
    <w:rsid w:val="004513CE"/>
    <w:rsid w:val="0045168E"/>
    <w:rsid w:val="00451ACF"/>
    <w:rsid w:val="00451D65"/>
    <w:rsid w:val="00451DA3"/>
    <w:rsid w:val="00451F2F"/>
    <w:rsid w:val="00452602"/>
    <w:rsid w:val="004527B8"/>
    <w:rsid w:val="00452F17"/>
    <w:rsid w:val="00453CE6"/>
    <w:rsid w:val="00453E7C"/>
    <w:rsid w:val="00455A0A"/>
    <w:rsid w:val="0045627B"/>
    <w:rsid w:val="00456520"/>
    <w:rsid w:val="00456C59"/>
    <w:rsid w:val="00457437"/>
    <w:rsid w:val="00460331"/>
    <w:rsid w:val="00461999"/>
    <w:rsid w:val="00461AFC"/>
    <w:rsid w:val="004627C4"/>
    <w:rsid w:val="00462997"/>
    <w:rsid w:val="00463087"/>
    <w:rsid w:val="0046353F"/>
    <w:rsid w:val="00464A7A"/>
    <w:rsid w:val="00464E41"/>
    <w:rsid w:val="00465B3D"/>
    <w:rsid w:val="00465C0D"/>
    <w:rsid w:val="00465CEE"/>
    <w:rsid w:val="004666A9"/>
    <w:rsid w:val="0046691D"/>
    <w:rsid w:val="004674B6"/>
    <w:rsid w:val="0046754E"/>
    <w:rsid w:val="004679A8"/>
    <w:rsid w:val="00467A76"/>
    <w:rsid w:val="00471322"/>
    <w:rsid w:val="00471A69"/>
    <w:rsid w:val="00472ED4"/>
    <w:rsid w:val="00472FB7"/>
    <w:rsid w:val="004736FA"/>
    <w:rsid w:val="00473BB8"/>
    <w:rsid w:val="0047401C"/>
    <w:rsid w:val="00474793"/>
    <w:rsid w:val="00474C57"/>
    <w:rsid w:val="00475723"/>
    <w:rsid w:val="00475D5E"/>
    <w:rsid w:val="00475DA4"/>
    <w:rsid w:val="004761EF"/>
    <w:rsid w:val="00476385"/>
    <w:rsid w:val="00477C09"/>
    <w:rsid w:val="00477F39"/>
    <w:rsid w:val="00477FA4"/>
    <w:rsid w:val="004804D1"/>
    <w:rsid w:val="004806B7"/>
    <w:rsid w:val="00480B72"/>
    <w:rsid w:val="00481CAD"/>
    <w:rsid w:val="00482ACE"/>
    <w:rsid w:val="004832C9"/>
    <w:rsid w:val="00483D31"/>
    <w:rsid w:val="00483F3C"/>
    <w:rsid w:val="00484443"/>
    <w:rsid w:val="00484B13"/>
    <w:rsid w:val="00484E7A"/>
    <w:rsid w:val="0048536D"/>
    <w:rsid w:val="00485B74"/>
    <w:rsid w:val="00486B38"/>
    <w:rsid w:val="00487239"/>
    <w:rsid w:val="004877AC"/>
    <w:rsid w:val="00487B01"/>
    <w:rsid w:val="00487CB3"/>
    <w:rsid w:val="00487F03"/>
    <w:rsid w:val="00490BDB"/>
    <w:rsid w:val="00491C9F"/>
    <w:rsid w:val="0049255A"/>
    <w:rsid w:val="00492DF1"/>
    <w:rsid w:val="004932EF"/>
    <w:rsid w:val="00493C2E"/>
    <w:rsid w:val="00494BD5"/>
    <w:rsid w:val="00494E2D"/>
    <w:rsid w:val="00494EB3"/>
    <w:rsid w:val="00495A12"/>
    <w:rsid w:val="0049791B"/>
    <w:rsid w:val="004A0145"/>
    <w:rsid w:val="004A04CF"/>
    <w:rsid w:val="004A13A5"/>
    <w:rsid w:val="004A2914"/>
    <w:rsid w:val="004A3CCF"/>
    <w:rsid w:val="004A498F"/>
    <w:rsid w:val="004A4DA3"/>
    <w:rsid w:val="004A4ED2"/>
    <w:rsid w:val="004A5012"/>
    <w:rsid w:val="004A5A4F"/>
    <w:rsid w:val="004A63D1"/>
    <w:rsid w:val="004A75D7"/>
    <w:rsid w:val="004B0F63"/>
    <w:rsid w:val="004B10D3"/>
    <w:rsid w:val="004B11F5"/>
    <w:rsid w:val="004B190F"/>
    <w:rsid w:val="004B2430"/>
    <w:rsid w:val="004B3ADC"/>
    <w:rsid w:val="004B4260"/>
    <w:rsid w:val="004B5482"/>
    <w:rsid w:val="004B5BA3"/>
    <w:rsid w:val="004B7893"/>
    <w:rsid w:val="004B7B07"/>
    <w:rsid w:val="004B7CC3"/>
    <w:rsid w:val="004C0A13"/>
    <w:rsid w:val="004C1258"/>
    <w:rsid w:val="004C2B9B"/>
    <w:rsid w:val="004C4CA3"/>
    <w:rsid w:val="004C4EDD"/>
    <w:rsid w:val="004C54A0"/>
    <w:rsid w:val="004C64A5"/>
    <w:rsid w:val="004C6578"/>
    <w:rsid w:val="004C65D7"/>
    <w:rsid w:val="004C6C1A"/>
    <w:rsid w:val="004C7939"/>
    <w:rsid w:val="004C7C5C"/>
    <w:rsid w:val="004C7F17"/>
    <w:rsid w:val="004D039C"/>
    <w:rsid w:val="004D04BC"/>
    <w:rsid w:val="004D08C9"/>
    <w:rsid w:val="004D0D5C"/>
    <w:rsid w:val="004D0FCC"/>
    <w:rsid w:val="004D1005"/>
    <w:rsid w:val="004D1209"/>
    <w:rsid w:val="004D28B0"/>
    <w:rsid w:val="004D2B95"/>
    <w:rsid w:val="004D2C56"/>
    <w:rsid w:val="004D3DC5"/>
    <w:rsid w:val="004D3FBA"/>
    <w:rsid w:val="004D4377"/>
    <w:rsid w:val="004D45E9"/>
    <w:rsid w:val="004D4899"/>
    <w:rsid w:val="004D514B"/>
    <w:rsid w:val="004D5893"/>
    <w:rsid w:val="004D65B4"/>
    <w:rsid w:val="004D6A06"/>
    <w:rsid w:val="004E0DD6"/>
    <w:rsid w:val="004E24F2"/>
    <w:rsid w:val="004E321B"/>
    <w:rsid w:val="004E3A6D"/>
    <w:rsid w:val="004E3D24"/>
    <w:rsid w:val="004E3D56"/>
    <w:rsid w:val="004E40DE"/>
    <w:rsid w:val="004E43A8"/>
    <w:rsid w:val="004E54E3"/>
    <w:rsid w:val="004E5D7C"/>
    <w:rsid w:val="004E6AE2"/>
    <w:rsid w:val="004E6C19"/>
    <w:rsid w:val="004E7A1A"/>
    <w:rsid w:val="004F0D60"/>
    <w:rsid w:val="004F0DD1"/>
    <w:rsid w:val="004F0E6B"/>
    <w:rsid w:val="004F1A5D"/>
    <w:rsid w:val="004F241C"/>
    <w:rsid w:val="004F2813"/>
    <w:rsid w:val="004F385A"/>
    <w:rsid w:val="004F4267"/>
    <w:rsid w:val="004F48DE"/>
    <w:rsid w:val="004F568A"/>
    <w:rsid w:val="004F56FF"/>
    <w:rsid w:val="004F5994"/>
    <w:rsid w:val="004F6513"/>
    <w:rsid w:val="004F7EC9"/>
    <w:rsid w:val="00500853"/>
    <w:rsid w:val="005009EC"/>
    <w:rsid w:val="00500B7B"/>
    <w:rsid w:val="00500D06"/>
    <w:rsid w:val="00501A11"/>
    <w:rsid w:val="00501BFA"/>
    <w:rsid w:val="00501EAB"/>
    <w:rsid w:val="0050325F"/>
    <w:rsid w:val="005034BC"/>
    <w:rsid w:val="005039EF"/>
    <w:rsid w:val="0050445B"/>
    <w:rsid w:val="0050454D"/>
    <w:rsid w:val="0050492A"/>
    <w:rsid w:val="005060D3"/>
    <w:rsid w:val="00507280"/>
    <w:rsid w:val="005075FF"/>
    <w:rsid w:val="00507C0C"/>
    <w:rsid w:val="00507D65"/>
    <w:rsid w:val="00510643"/>
    <w:rsid w:val="005115CE"/>
    <w:rsid w:val="0051254F"/>
    <w:rsid w:val="0051286C"/>
    <w:rsid w:val="00512B32"/>
    <w:rsid w:val="005136DE"/>
    <w:rsid w:val="00513D12"/>
    <w:rsid w:val="00514640"/>
    <w:rsid w:val="0051490D"/>
    <w:rsid w:val="00514912"/>
    <w:rsid w:val="00514D28"/>
    <w:rsid w:val="00514DA0"/>
    <w:rsid w:val="00515191"/>
    <w:rsid w:val="005163AF"/>
    <w:rsid w:val="00516FF4"/>
    <w:rsid w:val="005172FF"/>
    <w:rsid w:val="0051732B"/>
    <w:rsid w:val="005178AE"/>
    <w:rsid w:val="00517A70"/>
    <w:rsid w:val="00517FC1"/>
    <w:rsid w:val="005219C4"/>
    <w:rsid w:val="00522FE7"/>
    <w:rsid w:val="00526053"/>
    <w:rsid w:val="00526AE2"/>
    <w:rsid w:val="00526AF0"/>
    <w:rsid w:val="005274E6"/>
    <w:rsid w:val="005302AC"/>
    <w:rsid w:val="005309CD"/>
    <w:rsid w:val="00531060"/>
    <w:rsid w:val="005326AF"/>
    <w:rsid w:val="005328BF"/>
    <w:rsid w:val="005328EC"/>
    <w:rsid w:val="005338E9"/>
    <w:rsid w:val="00533D66"/>
    <w:rsid w:val="0053476F"/>
    <w:rsid w:val="00535355"/>
    <w:rsid w:val="00537408"/>
    <w:rsid w:val="00537504"/>
    <w:rsid w:val="00537F54"/>
    <w:rsid w:val="00540D19"/>
    <w:rsid w:val="00541A1D"/>
    <w:rsid w:val="00541C90"/>
    <w:rsid w:val="00542AC0"/>
    <w:rsid w:val="00542C11"/>
    <w:rsid w:val="005431DC"/>
    <w:rsid w:val="00543B5E"/>
    <w:rsid w:val="0054440D"/>
    <w:rsid w:val="0054498F"/>
    <w:rsid w:val="00544C6D"/>
    <w:rsid w:val="00545E00"/>
    <w:rsid w:val="0054706E"/>
    <w:rsid w:val="00547262"/>
    <w:rsid w:val="0054731C"/>
    <w:rsid w:val="00547D91"/>
    <w:rsid w:val="005514F6"/>
    <w:rsid w:val="00552355"/>
    <w:rsid w:val="00552565"/>
    <w:rsid w:val="00552C6E"/>
    <w:rsid w:val="00552CFD"/>
    <w:rsid w:val="00553105"/>
    <w:rsid w:val="0055323A"/>
    <w:rsid w:val="0055529F"/>
    <w:rsid w:val="0055624E"/>
    <w:rsid w:val="005566D7"/>
    <w:rsid w:val="0055722D"/>
    <w:rsid w:val="0055789D"/>
    <w:rsid w:val="005578F7"/>
    <w:rsid w:val="00561F3F"/>
    <w:rsid w:val="0056209A"/>
    <w:rsid w:val="0056399E"/>
    <w:rsid w:val="00563FB8"/>
    <w:rsid w:val="00564096"/>
    <w:rsid w:val="00564B23"/>
    <w:rsid w:val="00564F4D"/>
    <w:rsid w:val="005653BE"/>
    <w:rsid w:val="00565550"/>
    <w:rsid w:val="005663E3"/>
    <w:rsid w:val="005665F9"/>
    <w:rsid w:val="00566BDD"/>
    <w:rsid w:val="00567585"/>
    <w:rsid w:val="00567EE3"/>
    <w:rsid w:val="005704FA"/>
    <w:rsid w:val="0057074D"/>
    <w:rsid w:val="00571702"/>
    <w:rsid w:val="0057185C"/>
    <w:rsid w:val="00572009"/>
    <w:rsid w:val="0057217D"/>
    <w:rsid w:val="005729E0"/>
    <w:rsid w:val="00572B21"/>
    <w:rsid w:val="00572E3D"/>
    <w:rsid w:val="00573855"/>
    <w:rsid w:val="00576331"/>
    <w:rsid w:val="005804FC"/>
    <w:rsid w:val="0058055E"/>
    <w:rsid w:val="005814F0"/>
    <w:rsid w:val="00581915"/>
    <w:rsid w:val="00581C8E"/>
    <w:rsid w:val="00582B6A"/>
    <w:rsid w:val="00582C57"/>
    <w:rsid w:val="005832A9"/>
    <w:rsid w:val="00583560"/>
    <w:rsid w:val="0058387A"/>
    <w:rsid w:val="00583967"/>
    <w:rsid w:val="00584D43"/>
    <w:rsid w:val="00584D7B"/>
    <w:rsid w:val="00584EC5"/>
    <w:rsid w:val="005850A8"/>
    <w:rsid w:val="005862E7"/>
    <w:rsid w:val="005864D9"/>
    <w:rsid w:val="00586613"/>
    <w:rsid w:val="00586D19"/>
    <w:rsid w:val="0058761D"/>
    <w:rsid w:val="00587A1C"/>
    <w:rsid w:val="00587CCC"/>
    <w:rsid w:val="00587F8C"/>
    <w:rsid w:val="00590925"/>
    <w:rsid w:val="00590ACC"/>
    <w:rsid w:val="00590F8A"/>
    <w:rsid w:val="00591022"/>
    <w:rsid w:val="00591281"/>
    <w:rsid w:val="00592D51"/>
    <w:rsid w:val="00594092"/>
    <w:rsid w:val="005941FC"/>
    <w:rsid w:val="005950C8"/>
    <w:rsid w:val="005957B4"/>
    <w:rsid w:val="0059586D"/>
    <w:rsid w:val="00596095"/>
    <w:rsid w:val="005962F5"/>
    <w:rsid w:val="00597055"/>
    <w:rsid w:val="00597311"/>
    <w:rsid w:val="005976F1"/>
    <w:rsid w:val="005A05EE"/>
    <w:rsid w:val="005A0CC0"/>
    <w:rsid w:val="005A0E04"/>
    <w:rsid w:val="005A1416"/>
    <w:rsid w:val="005A2417"/>
    <w:rsid w:val="005A29A6"/>
    <w:rsid w:val="005A2DA1"/>
    <w:rsid w:val="005A3B9A"/>
    <w:rsid w:val="005A5517"/>
    <w:rsid w:val="005A6FA0"/>
    <w:rsid w:val="005A75BF"/>
    <w:rsid w:val="005A7D1E"/>
    <w:rsid w:val="005B22AF"/>
    <w:rsid w:val="005B24CE"/>
    <w:rsid w:val="005B2527"/>
    <w:rsid w:val="005B29B6"/>
    <w:rsid w:val="005B2A76"/>
    <w:rsid w:val="005B2FD1"/>
    <w:rsid w:val="005B47FD"/>
    <w:rsid w:val="005B61BD"/>
    <w:rsid w:val="005B6E5E"/>
    <w:rsid w:val="005B6FE3"/>
    <w:rsid w:val="005C009A"/>
    <w:rsid w:val="005C0742"/>
    <w:rsid w:val="005C08DA"/>
    <w:rsid w:val="005C0B6A"/>
    <w:rsid w:val="005C13F0"/>
    <w:rsid w:val="005C22F4"/>
    <w:rsid w:val="005C245E"/>
    <w:rsid w:val="005C254E"/>
    <w:rsid w:val="005C265B"/>
    <w:rsid w:val="005C31A3"/>
    <w:rsid w:val="005C3403"/>
    <w:rsid w:val="005C37A4"/>
    <w:rsid w:val="005C3B18"/>
    <w:rsid w:val="005C3DF3"/>
    <w:rsid w:val="005C4A05"/>
    <w:rsid w:val="005C4A7E"/>
    <w:rsid w:val="005C7557"/>
    <w:rsid w:val="005C769B"/>
    <w:rsid w:val="005C7C68"/>
    <w:rsid w:val="005C7F0D"/>
    <w:rsid w:val="005D211A"/>
    <w:rsid w:val="005D2C32"/>
    <w:rsid w:val="005D2C8E"/>
    <w:rsid w:val="005D44F2"/>
    <w:rsid w:val="005D4640"/>
    <w:rsid w:val="005D49AD"/>
    <w:rsid w:val="005D61CF"/>
    <w:rsid w:val="005D670E"/>
    <w:rsid w:val="005E075F"/>
    <w:rsid w:val="005E0EF5"/>
    <w:rsid w:val="005E124B"/>
    <w:rsid w:val="005E1ED7"/>
    <w:rsid w:val="005E252E"/>
    <w:rsid w:val="005E26E6"/>
    <w:rsid w:val="005E2EFE"/>
    <w:rsid w:val="005E3497"/>
    <w:rsid w:val="005E3586"/>
    <w:rsid w:val="005E4435"/>
    <w:rsid w:val="005E48F7"/>
    <w:rsid w:val="005E53A1"/>
    <w:rsid w:val="005E556F"/>
    <w:rsid w:val="005E5895"/>
    <w:rsid w:val="005E66A1"/>
    <w:rsid w:val="005E6938"/>
    <w:rsid w:val="005E6954"/>
    <w:rsid w:val="005E72E5"/>
    <w:rsid w:val="005E7300"/>
    <w:rsid w:val="005E7AD2"/>
    <w:rsid w:val="005E7D7F"/>
    <w:rsid w:val="005F02FC"/>
    <w:rsid w:val="005F040B"/>
    <w:rsid w:val="005F12AA"/>
    <w:rsid w:val="005F1517"/>
    <w:rsid w:val="005F2082"/>
    <w:rsid w:val="005F253B"/>
    <w:rsid w:val="005F2807"/>
    <w:rsid w:val="005F31F8"/>
    <w:rsid w:val="005F326C"/>
    <w:rsid w:val="005F3BCD"/>
    <w:rsid w:val="005F4057"/>
    <w:rsid w:val="005F4C8B"/>
    <w:rsid w:val="005F5401"/>
    <w:rsid w:val="005F54C8"/>
    <w:rsid w:val="005F6867"/>
    <w:rsid w:val="005F6E06"/>
    <w:rsid w:val="005F7400"/>
    <w:rsid w:val="006002FA"/>
    <w:rsid w:val="00600DC8"/>
    <w:rsid w:val="00601A54"/>
    <w:rsid w:val="00602A3D"/>
    <w:rsid w:val="00602E71"/>
    <w:rsid w:val="00602EC5"/>
    <w:rsid w:val="00605266"/>
    <w:rsid w:val="00606618"/>
    <w:rsid w:val="00611BB1"/>
    <w:rsid w:val="00611C27"/>
    <w:rsid w:val="00611CE1"/>
    <w:rsid w:val="006141B6"/>
    <w:rsid w:val="00614817"/>
    <w:rsid w:val="006149DC"/>
    <w:rsid w:val="00614D01"/>
    <w:rsid w:val="00615C31"/>
    <w:rsid w:val="00616971"/>
    <w:rsid w:val="00616F62"/>
    <w:rsid w:val="006208EB"/>
    <w:rsid w:val="00620DF3"/>
    <w:rsid w:val="006217AD"/>
    <w:rsid w:val="0062184E"/>
    <w:rsid w:val="00621935"/>
    <w:rsid w:val="00621F67"/>
    <w:rsid w:val="0062326E"/>
    <w:rsid w:val="00624F6E"/>
    <w:rsid w:val="006256F2"/>
    <w:rsid w:val="00625A3D"/>
    <w:rsid w:val="00626D2F"/>
    <w:rsid w:val="00627457"/>
    <w:rsid w:val="00627C17"/>
    <w:rsid w:val="006303EF"/>
    <w:rsid w:val="00630C9D"/>
    <w:rsid w:val="00630D97"/>
    <w:rsid w:val="00631057"/>
    <w:rsid w:val="00631392"/>
    <w:rsid w:val="006315D3"/>
    <w:rsid w:val="00632097"/>
    <w:rsid w:val="006328A8"/>
    <w:rsid w:val="00633055"/>
    <w:rsid w:val="006332B2"/>
    <w:rsid w:val="00633A02"/>
    <w:rsid w:val="00633ADE"/>
    <w:rsid w:val="00633DD1"/>
    <w:rsid w:val="00634344"/>
    <w:rsid w:val="00635561"/>
    <w:rsid w:val="00635612"/>
    <w:rsid w:val="00635735"/>
    <w:rsid w:val="006371FE"/>
    <w:rsid w:val="006404FF"/>
    <w:rsid w:val="00640BCF"/>
    <w:rsid w:val="00640F57"/>
    <w:rsid w:val="006410CE"/>
    <w:rsid w:val="00641309"/>
    <w:rsid w:val="006422DA"/>
    <w:rsid w:val="006427E5"/>
    <w:rsid w:val="00642DCA"/>
    <w:rsid w:val="00642E92"/>
    <w:rsid w:val="00643F1C"/>
    <w:rsid w:val="00644A20"/>
    <w:rsid w:val="00645014"/>
    <w:rsid w:val="00645129"/>
    <w:rsid w:val="0064655D"/>
    <w:rsid w:val="006467B9"/>
    <w:rsid w:val="00647D39"/>
    <w:rsid w:val="00647F64"/>
    <w:rsid w:val="0065017E"/>
    <w:rsid w:val="006503DC"/>
    <w:rsid w:val="006518D8"/>
    <w:rsid w:val="0065202C"/>
    <w:rsid w:val="00652E71"/>
    <w:rsid w:val="00653270"/>
    <w:rsid w:val="00653F30"/>
    <w:rsid w:val="00654C1D"/>
    <w:rsid w:val="0065514B"/>
    <w:rsid w:val="00655BD0"/>
    <w:rsid w:val="00656A60"/>
    <w:rsid w:val="00657AFE"/>
    <w:rsid w:val="00657C3A"/>
    <w:rsid w:val="006602BE"/>
    <w:rsid w:val="006609BB"/>
    <w:rsid w:val="00660BF7"/>
    <w:rsid w:val="00661880"/>
    <w:rsid w:val="00661BB7"/>
    <w:rsid w:val="00661C08"/>
    <w:rsid w:val="00661F32"/>
    <w:rsid w:val="00662435"/>
    <w:rsid w:val="006625D9"/>
    <w:rsid w:val="006627F5"/>
    <w:rsid w:val="00663424"/>
    <w:rsid w:val="00663EBF"/>
    <w:rsid w:val="00665668"/>
    <w:rsid w:val="00665A51"/>
    <w:rsid w:val="00665A52"/>
    <w:rsid w:val="00667DC7"/>
    <w:rsid w:val="00667E0C"/>
    <w:rsid w:val="006709B4"/>
    <w:rsid w:val="00672152"/>
    <w:rsid w:val="00673516"/>
    <w:rsid w:val="00673C96"/>
    <w:rsid w:val="00673EAE"/>
    <w:rsid w:val="006766D1"/>
    <w:rsid w:val="006771FD"/>
    <w:rsid w:val="0067723E"/>
    <w:rsid w:val="00677D5F"/>
    <w:rsid w:val="00680325"/>
    <w:rsid w:val="0068040C"/>
    <w:rsid w:val="00680F60"/>
    <w:rsid w:val="006810F3"/>
    <w:rsid w:val="006814C3"/>
    <w:rsid w:val="00682195"/>
    <w:rsid w:val="00682644"/>
    <w:rsid w:val="00683E86"/>
    <w:rsid w:val="0068444D"/>
    <w:rsid w:val="0068444E"/>
    <w:rsid w:val="0068675C"/>
    <w:rsid w:val="00686BA7"/>
    <w:rsid w:val="00686CA6"/>
    <w:rsid w:val="00686DDF"/>
    <w:rsid w:val="0069056F"/>
    <w:rsid w:val="006909F7"/>
    <w:rsid w:val="00690A6C"/>
    <w:rsid w:val="00690ADF"/>
    <w:rsid w:val="00690ECF"/>
    <w:rsid w:val="00692B63"/>
    <w:rsid w:val="006932B7"/>
    <w:rsid w:val="00695502"/>
    <w:rsid w:val="006962B3"/>
    <w:rsid w:val="00696ABC"/>
    <w:rsid w:val="006972BE"/>
    <w:rsid w:val="006973C3"/>
    <w:rsid w:val="006976EC"/>
    <w:rsid w:val="00697E92"/>
    <w:rsid w:val="006A1679"/>
    <w:rsid w:val="006A1812"/>
    <w:rsid w:val="006A1C10"/>
    <w:rsid w:val="006A3029"/>
    <w:rsid w:val="006A314D"/>
    <w:rsid w:val="006A3353"/>
    <w:rsid w:val="006A3DF5"/>
    <w:rsid w:val="006A4425"/>
    <w:rsid w:val="006A4509"/>
    <w:rsid w:val="006A514A"/>
    <w:rsid w:val="006A541B"/>
    <w:rsid w:val="006A5551"/>
    <w:rsid w:val="006A556C"/>
    <w:rsid w:val="006A594C"/>
    <w:rsid w:val="006A5CDF"/>
    <w:rsid w:val="006A5E45"/>
    <w:rsid w:val="006A62BC"/>
    <w:rsid w:val="006A67B1"/>
    <w:rsid w:val="006A6986"/>
    <w:rsid w:val="006A6A07"/>
    <w:rsid w:val="006B0354"/>
    <w:rsid w:val="006B0666"/>
    <w:rsid w:val="006B1008"/>
    <w:rsid w:val="006B125A"/>
    <w:rsid w:val="006B1F99"/>
    <w:rsid w:val="006B2942"/>
    <w:rsid w:val="006B2A4B"/>
    <w:rsid w:val="006B2FF2"/>
    <w:rsid w:val="006B3B63"/>
    <w:rsid w:val="006B3C06"/>
    <w:rsid w:val="006B3DC6"/>
    <w:rsid w:val="006B468C"/>
    <w:rsid w:val="006B4FD2"/>
    <w:rsid w:val="006B5016"/>
    <w:rsid w:val="006B7A05"/>
    <w:rsid w:val="006C05DC"/>
    <w:rsid w:val="006C16E7"/>
    <w:rsid w:val="006C272B"/>
    <w:rsid w:val="006C286F"/>
    <w:rsid w:val="006C29B4"/>
    <w:rsid w:val="006C34D9"/>
    <w:rsid w:val="006C5152"/>
    <w:rsid w:val="006C5EAB"/>
    <w:rsid w:val="006C691C"/>
    <w:rsid w:val="006C69B2"/>
    <w:rsid w:val="006C722C"/>
    <w:rsid w:val="006C77E4"/>
    <w:rsid w:val="006C7951"/>
    <w:rsid w:val="006C7970"/>
    <w:rsid w:val="006C7EF3"/>
    <w:rsid w:val="006D063A"/>
    <w:rsid w:val="006D0BD1"/>
    <w:rsid w:val="006D0DB7"/>
    <w:rsid w:val="006D2D59"/>
    <w:rsid w:val="006D4031"/>
    <w:rsid w:val="006D64DD"/>
    <w:rsid w:val="006D687C"/>
    <w:rsid w:val="006D69A8"/>
    <w:rsid w:val="006D6D95"/>
    <w:rsid w:val="006D79CE"/>
    <w:rsid w:val="006D7D70"/>
    <w:rsid w:val="006E0839"/>
    <w:rsid w:val="006E0DBB"/>
    <w:rsid w:val="006E0E53"/>
    <w:rsid w:val="006E27AF"/>
    <w:rsid w:val="006E2DEE"/>
    <w:rsid w:val="006E3636"/>
    <w:rsid w:val="006E3B51"/>
    <w:rsid w:val="006E4A38"/>
    <w:rsid w:val="006E4D34"/>
    <w:rsid w:val="006E4DB1"/>
    <w:rsid w:val="006E5791"/>
    <w:rsid w:val="006E57BC"/>
    <w:rsid w:val="006E59BE"/>
    <w:rsid w:val="006E5A3A"/>
    <w:rsid w:val="006E5AAF"/>
    <w:rsid w:val="006E6135"/>
    <w:rsid w:val="006E7542"/>
    <w:rsid w:val="006E75A3"/>
    <w:rsid w:val="006E76F2"/>
    <w:rsid w:val="006E7EEC"/>
    <w:rsid w:val="006F0029"/>
    <w:rsid w:val="006F144B"/>
    <w:rsid w:val="006F2C90"/>
    <w:rsid w:val="006F379A"/>
    <w:rsid w:val="006F3FC0"/>
    <w:rsid w:val="006F40C7"/>
    <w:rsid w:val="006F4207"/>
    <w:rsid w:val="006F4430"/>
    <w:rsid w:val="006F4F00"/>
    <w:rsid w:val="006F5638"/>
    <w:rsid w:val="006F64CC"/>
    <w:rsid w:val="006F675F"/>
    <w:rsid w:val="006F78B4"/>
    <w:rsid w:val="006F7C6F"/>
    <w:rsid w:val="007008EB"/>
    <w:rsid w:val="007009B1"/>
    <w:rsid w:val="0070169D"/>
    <w:rsid w:val="00701804"/>
    <w:rsid w:val="00701820"/>
    <w:rsid w:val="00702AFF"/>
    <w:rsid w:val="00702CDD"/>
    <w:rsid w:val="00702FB2"/>
    <w:rsid w:val="007034E9"/>
    <w:rsid w:val="00703B34"/>
    <w:rsid w:val="00704122"/>
    <w:rsid w:val="00704234"/>
    <w:rsid w:val="007045F6"/>
    <w:rsid w:val="0070483C"/>
    <w:rsid w:val="00704CB2"/>
    <w:rsid w:val="0070528B"/>
    <w:rsid w:val="007052DC"/>
    <w:rsid w:val="0070531E"/>
    <w:rsid w:val="007053D1"/>
    <w:rsid w:val="00706D14"/>
    <w:rsid w:val="00707F9A"/>
    <w:rsid w:val="00710399"/>
    <w:rsid w:val="00711027"/>
    <w:rsid w:val="007115E6"/>
    <w:rsid w:val="00712594"/>
    <w:rsid w:val="007126CE"/>
    <w:rsid w:val="00712AC0"/>
    <w:rsid w:val="00712E3D"/>
    <w:rsid w:val="00712FF1"/>
    <w:rsid w:val="0071363A"/>
    <w:rsid w:val="007136E2"/>
    <w:rsid w:val="007137E8"/>
    <w:rsid w:val="00713B79"/>
    <w:rsid w:val="00714886"/>
    <w:rsid w:val="00714CD2"/>
    <w:rsid w:val="00714D42"/>
    <w:rsid w:val="00714D85"/>
    <w:rsid w:val="0071597D"/>
    <w:rsid w:val="00715DBF"/>
    <w:rsid w:val="007163B5"/>
    <w:rsid w:val="007165B5"/>
    <w:rsid w:val="0071766E"/>
    <w:rsid w:val="00717770"/>
    <w:rsid w:val="007178FD"/>
    <w:rsid w:val="0071793B"/>
    <w:rsid w:val="00717EC8"/>
    <w:rsid w:val="0072000B"/>
    <w:rsid w:val="00720850"/>
    <w:rsid w:val="00721044"/>
    <w:rsid w:val="007214AA"/>
    <w:rsid w:val="00721E2A"/>
    <w:rsid w:val="00722323"/>
    <w:rsid w:val="00722629"/>
    <w:rsid w:val="0072282E"/>
    <w:rsid w:val="007234D6"/>
    <w:rsid w:val="00724278"/>
    <w:rsid w:val="00724F01"/>
    <w:rsid w:val="007258C5"/>
    <w:rsid w:val="0072659F"/>
    <w:rsid w:val="0072679E"/>
    <w:rsid w:val="00726800"/>
    <w:rsid w:val="00727B8C"/>
    <w:rsid w:val="00727D64"/>
    <w:rsid w:val="00727FD3"/>
    <w:rsid w:val="00730982"/>
    <w:rsid w:val="00730E99"/>
    <w:rsid w:val="007312C0"/>
    <w:rsid w:val="00732A49"/>
    <w:rsid w:val="007336C4"/>
    <w:rsid w:val="0073396A"/>
    <w:rsid w:val="00733ACA"/>
    <w:rsid w:val="00733FDB"/>
    <w:rsid w:val="00734523"/>
    <w:rsid w:val="007345B8"/>
    <w:rsid w:val="007345E9"/>
    <w:rsid w:val="007353EE"/>
    <w:rsid w:val="0073664E"/>
    <w:rsid w:val="00737B51"/>
    <w:rsid w:val="00737F1F"/>
    <w:rsid w:val="007404D0"/>
    <w:rsid w:val="00740535"/>
    <w:rsid w:val="00740FCE"/>
    <w:rsid w:val="00740FD4"/>
    <w:rsid w:val="007411ED"/>
    <w:rsid w:val="007414AE"/>
    <w:rsid w:val="0074385A"/>
    <w:rsid w:val="007447A0"/>
    <w:rsid w:val="0074494D"/>
    <w:rsid w:val="00745646"/>
    <w:rsid w:val="00745BF3"/>
    <w:rsid w:val="007466D8"/>
    <w:rsid w:val="00746C3D"/>
    <w:rsid w:val="00746E19"/>
    <w:rsid w:val="00747A99"/>
    <w:rsid w:val="00747EDB"/>
    <w:rsid w:val="00750379"/>
    <w:rsid w:val="00750B11"/>
    <w:rsid w:val="00750BE9"/>
    <w:rsid w:val="00751A48"/>
    <w:rsid w:val="00753781"/>
    <w:rsid w:val="0075451C"/>
    <w:rsid w:val="0075597B"/>
    <w:rsid w:val="00755F0A"/>
    <w:rsid w:val="00756012"/>
    <w:rsid w:val="0075663F"/>
    <w:rsid w:val="00756736"/>
    <w:rsid w:val="0075698C"/>
    <w:rsid w:val="00757072"/>
    <w:rsid w:val="00757E79"/>
    <w:rsid w:val="007605B4"/>
    <w:rsid w:val="00760F1B"/>
    <w:rsid w:val="0076196D"/>
    <w:rsid w:val="00761F1F"/>
    <w:rsid w:val="0076247F"/>
    <w:rsid w:val="007629E6"/>
    <w:rsid w:val="00762C95"/>
    <w:rsid w:val="00763BA7"/>
    <w:rsid w:val="00763C18"/>
    <w:rsid w:val="0076434E"/>
    <w:rsid w:val="0076455C"/>
    <w:rsid w:val="007665D3"/>
    <w:rsid w:val="00766FEF"/>
    <w:rsid w:val="00770F97"/>
    <w:rsid w:val="00771261"/>
    <w:rsid w:val="00771729"/>
    <w:rsid w:val="00771B16"/>
    <w:rsid w:val="00772856"/>
    <w:rsid w:val="00773C4A"/>
    <w:rsid w:val="00773D5C"/>
    <w:rsid w:val="00774216"/>
    <w:rsid w:val="0077454A"/>
    <w:rsid w:val="007745C9"/>
    <w:rsid w:val="007759CD"/>
    <w:rsid w:val="00777706"/>
    <w:rsid w:val="00777A35"/>
    <w:rsid w:val="00777A86"/>
    <w:rsid w:val="00777E43"/>
    <w:rsid w:val="00780174"/>
    <w:rsid w:val="00780FA8"/>
    <w:rsid w:val="00781BD5"/>
    <w:rsid w:val="007823B1"/>
    <w:rsid w:val="007829D9"/>
    <w:rsid w:val="00782AE8"/>
    <w:rsid w:val="00782CD6"/>
    <w:rsid w:val="007833FD"/>
    <w:rsid w:val="00783568"/>
    <w:rsid w:val="00783A34"/>
    <w:rsid w:val="00784026"/>
    <w:rsid w:val="00784D2D"/>
    <w:rsid w:val="0078532D"/>
    <w:rsid w:val="007854CC"/>
    <w:rsid w:val="00785ADC"/>
    <w:rsid w:val="007865BB"/>
    <w:rsid w:val="00787910"/>
    <w:rsid w:val="00787968"/>
    <w:rsid w:val="00787BF9"/>
    <w:rsid w:val="0079026E"/>
    <w:rsid w:val="00790A26"/>
    <w:rsid w:val="00790BC6"/>
    <w:rsid w:val="0079163A"/>
    <w:rsid w:val="00791966"/>
    <w:rsid w:val="00791EBC"/>
    <w:rsid w:val="00792828"/>
    <w:rsid w:val="007936E6"/>
    <w:rsid w:val="00794736"/>
    <w:rsid w:val="00794E43"/>
    <w:rsid w:val="00794F67"/>
    <w:rsid w:val="0079545F"/>
    <w:rsid w:val="00795A3D"/>
    <w:rsid w:val="00795C60"/>
    <w:rsid w:val="007960C7"/>
    <w:rsid w:val="00796341"/>
    <w:rsid w:val="00796952"/>
    <w:rsid w:val="00797D20"/>
    <w:rsid w:val="007A0607"/>
    <w:rsid w:val="007A090F"/>
    <w:rsid w:val="007A0A93"/>
    <w:rsid w:val="007A1CA7"/>
    <w:rsid w:val="007A2508"/>
    <w:rsid w:val="007A2DD4"/>
    <w:rsid w:val="007A3771"/>
    <w:rsid w:val="007A3EF5"/>
    <w:rsid w:val="007A402F"/>
    <w:rsid w:val="007A491B"/>
    <w:rsid w:val="007A5FD5"/>
    <w:rsid w:val="007A69F1"/>
    <w:rsid w:val="007B0546"/>
    <w:rsid w:val="007B1323"/>
    <w:rsid w:val="007B1393"/>
    <w:rsid w:val="007B1A54"/>
    <w:rsid w:val="007B1B9E"/>
    <w:rsid w:val="007B2CC3"/>
    <w:rsid w:val="007B2D18"/>
    <w:rsid w:val="007B3E77"/>
    <w:rsid w:val="007B3F09"/>
    <w:rsid w:val="007B4B7B"/>
    <w:rsid w:val="007B55F0"/>
    <w:rsid w:val="007B61C9"/>
    <w:rsid w:val="007B73CF"/>
    <w:rsid w:val="007C1321"/>
    <w:rsid w:val="007C2567"/>
    <w:rsid w:val="007C2CD9"/>
    <w:rsid w:val="007C2E0D"/>
    <w:rsid w:val="007C2F6E"/>
    <w:rsid w:val="007C30CC"/>
    <w:rsid w:val="007C3FF8"/>
    <w:rsid w:val="007C450D"/>
    <w:rsid w:val="007C47A0"/>
    <w:rsid w:val="007C4823"/>
    <w:rsid w:val="007C4A84"/>
    <w:rsid w:val="007C521B"/>
    <w:rsid w:val="007C59CA"/>
    <w:rsid w:val="007C6207"/>
    <w:rsid w:val="007C6E88"/>
    <w:rsid w:val="007C6EAA"/>
    <w:rsid w:val="007C6EAE"/>
    <w:rsid w:val="007C78C1"/>
    <w:rsid w:val="007C79B1"/>
    <w:rsid w:val="007D075B"/>
    <w:rsid w:val="007D0852"/>
    <w:rsid w:val="007D0F1A"/>
    <w:rsid w:val="007D10E9"/>
    <w:rsid w:val="007D1C50"/>
    <w:rsid w:val="007D1E82"/>
    <w:rsid w:val="007D1F06"/>
    <w:rsid w:val="007D21B7"/>
    <w:rsid w:val="007D2E84"/>
    <w:rsid w:val="007D3648"/>
    <w:rsid w:val="007D3F44"/>
    <w:rsid w:val="007D49EC"/>
    <w:rsid w:val="007D4FF7"/>
    <w:rsid w:val="007D5345"/>
    <w:rsid w:val="007D54FE"/>
    <w:rsid w:val="007D6112"/>
    <w:rsid w:val="007D65D3"/>
    <w:rsid w:val="007D7F67"/>
    <w:rsid w:val="007D7FAF"/>
    <w:rsid w:val="007E0E26"/>
    <w:rsid w:val="007E14B9"/>
    <w:rsid w:val="007E16F5"/>
    <w:rsid w:val="007E1DEE"/>
    <w:rsid w:val="007E2CA7"/>
    <w:rsid w:val="007E3049"/>
    <w:rsid w:val="007E38C6"/>
    <w:rsid w:val="007E4E07"/>
    <w:rsid w:val="007E4E87"/>
    <w:rsid w:val="007E5442"/>
    <w:rsid w:val="007E5976"/>
    <w:rsid w:val="007E5FC5"/>
    <w:rsid w:val="007E5FF0"/>
    <w:rsid w:val="007E6432"/>
    <w:rsid w:val="007E6857"/>
    <w:rsid w:val="007E724C"/>
    <w:rsid w:val="007E796D"/>
    <w:rsid w:val="007E7BB6"/>
    <w:rsid w:val="007F01B1"/>
    <w:rsid w:val="007F1937"/>
    <w:rsid w:val="007F2658"/>
    <w:rsid w:val="007F3B33"/>
    <w:rsid w:val="007F3EDB"/>
    <w:rsid w:val="007F403A"/>
    <w:rsid w:val="007F54FA"/>
    <w:rsid w:val="007F5A59"/>
    <w:rsid w:val="007F6060"/>
    <w:rsid w:val="007F62CE"/>
    <w:rsid w:val="007F6FA3"/>
    <w:rsid w:val="007F7034"/>
    <w:rsid w:val="007F748F"/>
    <w:rsid w:val="007F7A3F"/>
    <w:rsid w:val="00800236"/>
    <w:rsid w:val="008009C6"/>
    <w:rsid w:val="0080118C"/>
    <w:rsid w:val="00801684"/>
    <w:rsid w:val="0080291C"/>
    <w:rsid w:val="00802E5C"/>
    <w:rsid w:val="008042CC"/>
    <w:rsid w:val="0080454F"/>
    <w:rsid w:val="00804670"/>
    <w:rsid w:val="008048A3"/>
    <w:rsid w:val="00804D2B"/>
    <w:rsid w:val="00804E64"/>
    <w:rsid w:val="00804EAD"/>
    <w:rsid w:val="008061CD"/>
    <w:rsid w:val="0080646B"/>
    <w:rsid w:val="0080673D"/>
    <w:rsid w:val="008068E8"/>
    <w:rsid w:val="00806C92"/>
    <w:rsid w:val="0080742D"/>
    <w:rsid w:val="00807EA7"/>
    <w:rsid w:val="00807F34"/>
    <w:rsid w:val="008115F6"/>
    <w:rsid w:val="00811D97"/>
    <w:rsid w:val="008121C3"/>
    <w:rsid w:val="008124F5"/>
    <w:rsid w:val="008125CF"/>
    <w:rsid w:val="00812865"/>
    <w:rsid w:val="00814381"/>
    <w:rsid w:val="00814408"/>
    <w:rsid w:val="008144EE"/>
    <w:rsid w:val="008145AA"/>
    <w:rsid w:val="0081474A"/>
    <w:rsid w:val="00815105"/>
    <w:rsid w:val="00816E40"/>
    <w:rsid w:val="00820252"/>
    <w:rsid w:val="00823195"/>
    <w:rsid w:val="00824EEE"/>
    <w:rsid w:val="0082516F"/>
    <w:rsid w:val="00827131"/>
    <w:rsid w:val="0082720D"/>
    <w:rsid w:val="0082789B"/>
    <w:rsid w:val="00830065"/>
    <w:rsid w:val="00830668"/>
    <w:rsid w:val="00830C24"/>
    <w:rsid w:val="00834361"/>
    <w:rsid w:val="008349D9"/>
    <w:rsid w:val="00835B71"/>
    <w:rsid w:val="008368AF"/>
    <w:rsid w:val="008407CF"/>
    <w:rsid w:val="0084085E"/>
    <w:rsid w:val="00841025"/>
    <w:rsid w:val="0084117C"/>
    <w:rsid w:val="0084143B"/>
    <w:rsid w:val="00841A52"/>
    <w:rsid w:val="0084245F"/>
    <w:rsid w:val="0084286D"/>
    <w:rsid w:val="00842B4F"/>
    <w:rsid w:val="008433EA"/>
    <w:rsid w:val="00843424"/>
    <w:rsid w:val="00843954"/>
    <w:rsid w:val="008456E8"/>
    <w:rsid w:val="00845EE6"/>
    <w:rsid w:val="0084657A"/>
    <w:rsid w:val="00846AD0"/>
    <w:rsid w:val="00846E0C"/>
    <w:rsid w:val="00850BD2"/>
    <w:rsid w:val="008512DF"/>
    <w:rsid w:val="00851C3C"/>
    <w:rsid w:val="0085224B"/>
    <w:rsid w:val="00852266"/>
    <w:rsid w:val="008523C1"/>
    <w:rsid w:val="00852D35"/>
    <w:rsid w:val="00855161"/>
    <w:rsid w:val="00855310"/>
    <w:rsid w:val="0085698F"/>
    <w:rsid w:val="00856E72"/>
    <w:rsid w:val="0085702F"/>
    <w:rsid w:val="0086035C"/>
    <w:rsid w:val="008615CB"/>
    <w:rsid w:val="00861B2B"/>
    <w:rsid w:val="00862BB4"/>
    <w:rsid w:val="00863A5F"/>
    <w:rsid w:val="00863DE7"/>
    <w:rsid w:val="0086415B"/>
    <w:rsid w:val="00865032"/>
    <w:rsid w:val="00866319"/>
    <w:rsid w:val="00866A2D"/>
    <w:rsid w:val="00866D04"/>
    <w:rsid w:val="00871327"/>
    <w:rsid w:val="00871EFF"/>
    <w:rsid w:val="008720D1"/>
    <w:rsid w:val="008726EA"/>
    <w:rsid w:val="00872D0D"/>
    <w:rsid w:val="00872D56"/>
    <w:rsid w:val="00872E53"/>
    <w:rsid w:val="008731AD"/>
    <w:rsid w:val="00873213"/>
    <w:rsid w:val="00873615"/>
    <w:rsid w:val="008737AE"/>
    <w:rsid w:val="00875490"/>
    <w:rsid w:val="00875752"/>
    <w:rsid w:val="00876453"/>
    <w:rsid w:val="00876925"/>
    <w:rsid w:val="00877213"/>
    <w:rsid w:val="0088003D"/>
    <w:rsid w:val="00880B86"/>
    <w:rsid w:val="008815FA"/>
    <w:rsid w:val="00882586"/>
    <w:rsid w:val="0088304C"/>
    <w:rsid w:val="00883966"/>
    <w:rsid w:val="00884209"/>
    <w:rsid w:val="00884841"/>
    <w:rsid w:val="00884CE2"/>
    <w:rsid w:val="00885245"/>
    <w:rsid w:val="0088591A"/>
    <w:rsid w:val="00885A47"/>
    <w:rsid w:val="00885AC9"/>
    <w:rsid w:val="008864BA"/>
    <w:rsid w:val="00886D0C"/>
    <w:rsid w:val="0088792E"/>
    <w:rsid w:val="00887A5E"/>
    <w:rsid w:val="00887A96"/>
    <w:rsid w:val="00887D44"/>
    <w:rsid w:val="00887F49"/>
    <w:rsid w:val="008900EE"/>
    <w:rsid w:val="008907F0"/>
    <w:rsid w:val="00892025"/>
    <w:rsid w:val="0089211C"/>
    <w:rsid w:val="0089297D"/>
    <w:rsid w:val="00893A77"/>
    <w:rsid w:val="00893C01"/>
    <w:rsid w:val="00894403"/>
    <w:rsid w:val="00895369"/>
    <w:rsid w:val="008957AD"/>
    <w:rsid w:val="0089581C"/>
    <w:rsid w:val="00896239"/>
    <w:rsid w:val="008973B0"/>
    <w:rsid w:val="008A079C"/>
    <w:rsid w:val="008A0C9D"/>
    <w:rsid w:val="008A12A4"/>
    <w:rsid w:val="008A1F40"/>
    <w:rsid w:val="008A2BD8"/>
    <w:rsid w:val="008A34BD"/>
    <w:rsid w:val="008A461D"/>
    <w:rsid w:val="008A464C"/>
    <w:rsid w:val="008A5065"/>
    <w:rsid w:val="008A5DCD"/>
    <w:rsid w:val="008A5FF2"/>
    <w:rsid w:val="008A6379"/>
    <w:rsid w:val="008A6BB1"/>
    <w:rsid w:val="008B0325"/>
    <w:rsid w:val="008B0A50"/>
    <w:rsid w:val="008B165E"/>
    <w:rsid w:val="008B230E"/>
    <w:rsid w:val="008B355B"/>
    <w:rsid w:val="008B3D6A"/>
    <w:rsid w:val="008B49C2"/>
    <w:rsid w:val="008B677E"/>
    <w:rsid w:val="008B68CE"/>
    <w:rsid w:val="008B6B6A"/>
    <w:rsid w:val="008B6BC4"/>
    <w:rsid w:val="008B725F"/>
    <w:rsid w:val="008B7D5A"/>
    <w:rsid w:val="008C032B"/>
    <w:rsid w:val="008C06FC"/>
    <w:rsid w:val="008C0BEB"/>
    <w:rsid w:val="008C0D1B"/>
    <w:rsid w:val="008C0D72"/>
    <w:rsid w:val="008C1841"/>
    <w:rsid w:val="008C1997"/>
    <w:rsid w:val="008C1BED"/>
    <w:rsid w:val="008C2603"/>
    <w:rsid w:val="008C27C2"/>
    <w:rsid w:val="008C2957"/>
    <w:rsid w:val="008C36FF"/>
    <w:rsid w:val="008C4931"/>
    <w:rsid w:val="008C6B56"/>
    <w:rsid w:val="008C6F34"/>
    <w:rsid w:val="008D039D"/>
    <w:rsid w:val="008D05C4"/>
    <w:rsid w:val="008D12E2"/>
    <w:rsid w:val="008D3164"/>
    <w:rsid w:val="008D3599"/>
    <w:rsid w:val="008D4A63"/>
    <w:rsid w:val="008D4EBD"/>
    <w:rsid w:val="008D554E"/>
    <w:rsid w:val="008D688B"/>
    <w:rsid w:val="008D70DE"/>
    <w:rsid w:val="008E12CE"/>
    <w:rsid w:val="008E183D"/>
    <w:rsid w:val="008E220D"/>
    <w:rsid w:val="008E2D4D"/>
    <w:rsid w:val="008E2DA3"/>
    <w:rsid w:val="008E3EC2"/>
    <w:rsid w:val="008E48EC"/>
    <w:rsid w:val="008E4F26"/>
    <w:rsid w:val="008E504B"/>
    <w:rsid w:val="008E5DF7"/>
    <w:rsid w:val="008E6AB6"/>
    <w:rsid w:val="008F02FD"/>
    <w:rsid w:val="008F117D"/>
    <w:rsid w:val="008F15A0"/>
    <w:rsid w:val="008F2220"/>
    <w:rsid w:val="008F2374"/>
    <w:rsid w:val="008F4CAB"/>
    <w:rsid w:val="008F4CFC"/>
    <w:rsid w:val="008F590D"/>
    <w:rsid w:val="008F715E"/>
    <w:rsid w:val="008F7F39"/>
    <w:rsid w:val="0090071F"/>
    <w:rsid w:val="009009C5"/>
    <w:rsid w:val="00900A0A"/>
    <w:rsid w:val="00900B9D"/>
    <w:rsid w:val="0090169E"/>
    <w:rsid w:val="00901B62"/>
    <w:rsid w:val="00901F45"/>
    <w:rsid w:val="00902957"/>
    <w:rsid w:val="00902CB7"/>
    <w:rsid w:val="00904492"/>
    <w:rsid w:val="00904F49"/>
    <w:rsid w:val="0090504F"/>
    <w:rsid w:val="00905A7A"/>
    <w:rsid w:val="00906125"/>
    <w:rsid w:val="0090625C"/>
    <w:rsid w:val="0091001B"/>
    <w:rsid w:val="0091116A"/>
    <w:rsid w:val="00912A05"/>
    <w:rsid w:val="00912AE2"/>
    <w:rsid w:val="009147BB"/>
    <w:rsid w:val="00914804"/>
    <w:rsid w:val="00914CD0"/>
    <w:rsid w:val="00916B46"/>
    <w:rsid w:val="00916ECB"/>
    <w:rsid w:val="00917487"/>
    <w:rsid w:val="00917EAE"/>
    <w:rsid w:val="00922D8D"/>
    <w:rsid w:val="00923962"/>
    <w:rsid w:val="009242F9"/>
    <w:rsid w:val="009243C2"/>
    <w:rsid w:val="00924657"/>
    <w:rsid w:val="00924980"/>
    <w:rsid w:val="00924D0E"/>
    <w:rsid w:val="00926B4D"/>
    <w:rsid w:val="009272D3"/>
    <w:rsid w:val="009301E5"/>
    <w:rsid w:val="009303BD"/>
    <w:rsid w:val="009305A0"/>
    <w:rsid w:val="00930AAF"/>
    <w:rsid w:val="009316AA"/>
    <w:rsid w:val="009319F0"/>
    <w:rsid w:val="0093215D"/>
    <w:rsid w:val="00932332"/>
    <w:rsid w:val="00934693"/>
    <w:rsid w:val="0093490E"/>
    <w:rsid w:val="00934A93"/>
    <w:rsid w:val="00935267"/>
    <w:rsid w:val="00937737"/>
    <w:rsid w:val="009377BE"/>
    <w:rsid w:val="0094074E"/>
    <w:rsid w:val="00940EAE"/>
    <w:rsid w:val="00941E37"/>
    <w:rsid w:val="00942B19"/>
    <w:rsid w:val="00943A81"/>
    <w:rsid w:val="00943BD3"/>
    <w:rsid w:val="00943ED5"/>
    <w:rsid w:val="0094433B"/>
    <w:rsid w:val="009443FB"/>
    <w:rsid w:val="009445A8"/>
    <w:rsid w:val="0094616F"/>
    <w:rsid w:val="009473AE"/>
    <w:rsid w:val="009477FB"/>
    <w:rsid w:val="009527FF"/>
    <w:rsid w:val="00954384"/>
    <w:rsid w:val="00955B8C"/>
    <w:rsid w:val="00956414"/>
    <w:rsid w:val="00956C7F"/>
    <w:rsid w:val="009600DD"/>
    <w:rsid w:val="00960455"/>
    <w:rsid w:val="009609BA"/>
    <w:rsid w:val="0096410B"/>
    <w:rsid w:val="00964B68"/>
    <w:rsid w:val="00964F82"/>
    <w:rsid w:val="009651A1"/>
    <w:rsid w:val="00965F75"/>
    <w:rsid w:val="00967661"/>
    <w:rsid w:val="00967F47"/>
    <w:rsid w:val="00967F6E"/>
    <w:rsid w:val="009728A2"/>
    <w:rsid w:val="0097334F"/>
    <w:rsid w:val="00973663"/>
    <w:rsid w:val="0097382C"/>
    <w:rsid w:val="009743D4"/>
    <w:rsid w:val="009751A3"/>
    <w:rsid w:val="00975664"/>
    <w:rsid w:val="0097575E"/>
    <w:rsid w:val="00975D0D"/>
    <w:rsid w:val="00976AB8"/>
    <w:rsid w:val="009770BB"/>
    <w:rsid w:val="00977764"/>
    <w:rsid w:val="0097779E"/>
    <w:rsid w:val="00977F4B"/>
    <w:rsid w:val="00977FAF"/>
    <w:rsid w:val="009807BF"/>
    <w:rsid w:val="00980974"/>
    <w:rsid w:val="00980E0A"/>
    <w:rsid w:val="0098152B"/>
    <w:rsid w:val="00982A79"/>
    <w:rsid w:val="00982BAD"/>
    <w:rsid w:val="00982D42"/>
    <w:rsid w:val="00982DDC"/>
    <w:rsid w:val="00984248"/>
    <w:rsid w:val="009849EE"/>
    <w:rsid w:val="009878D5"/>
    <w:rsid w:val="00987903"/>
    <w:rsid w:val="00987937"/>
    <w:rsid w:val="009910E4"/>
    <w:rsid w:val="009925D2"/>
    <w:rsid w:val="0099264C"/>
    <w:rsid w:val="00992EF5"/>
    <w:rsid w:val="009932F2"/>
    <w:rsid w:val="0099493F"/>
    <w:rsid w:val="0099571B"/>
    <w:rsid w:val="00995A57"/>
    <w:rsid w:val="009964EC"/>
    <w:rsid w:val="00996EC2"/>
    <w:rsid w:val="00997A8F"/>
    <w:rsid w:val="009A1232"/>
    <w:rsid w:val="009A1FB1"/>
    <w:rsid w:val="009A2924"/>
    <w:rsid w:val="009A2B0F"/>
    <w:rsid w:val="009A3212"/>
    <w:rsid w:val="009A4079"/>
    <w:rsid w:val="009A417C"/>
    <w:rsid w:val="009A4EF9"/>
    <w:rsid w:val="009A53EA"/>
    <w:rsid w:val="009A5836"/>
    <w:rsid w:val="009A7D68"/>
    <w:rsid w:val="009B0771"/>
    <w:rsid w:val="009B0ADA"/>
    <w:rsid w:val="009B0C17"/>
    <w:rsid w:val="009B0D44"/>
    <w:rsid w:val="009B136C"/>
    <w:rsid w:val="009B1526"/>
    <w:rsid w:val="009B1C00"/>
    <w:rsid w:val="009B2A7C"/>
    <w:rsid w:val="009B302F"/>
    <w:rsid w:val="009B3226"/>
    <w:rsid w:val="009B3835"/>
    <w:rsid w:val="009B461C"/>
    <w:rsid w:val="009B468E"/>
    <w:rsid w:val="009B4A34"/>
    <w:rsid w:val="009B4CD1"/>
    <w:rsid w:val="009B50F7"/>
    <w:rsid w:val="009B511D"/>
    <w:rsid w:val="009B5DF7"/>
    <w:rsid w:val="009B5E2D"/>
    <w:rsid w:val="009B750C"/>
    <w:rsid w:val="009C00DC"/>
    <w:rsid w:val="009C0F63"/>
    <w:rsid w:val="009C1D6A"/>
    <w:rsid w:val="009C27A4"/>
    <w:rsid w:val="009C43B8"/>
    <w:rsid w:val="009C4DD9"/>
    <w:rsid w:val="009C4E39"/>
    <w:rsid w:val="009C5A30"/>
    <w:rsid w:val="009C5C42"/>
    <w:rsid w:val="009C610A"/>
    <w:rsid w:val="009C654F"/>
    <w:rsid w:val="009C6F5D"/>
    <w:rsid w:val="009C7927"/>
    <w:rsid w:val="009C7F14"/>
    <w:rsid w:val="009D06A0"/>
    <w:rsid w:val="009D0BAD"/>
    <w:rsid w:val="009D209E"/>
    <w:rsid w:val="009D2A0A"/>
    <w:rsid w:val="009D349F"/>
    <w:rsid w:val="009D4061"/>
    <w:rsid w:val="009D426F"/>
    <w:rsid w:val="009D5B46"/>
    <w:rsid w:val="009D6731"/>
    <w:rsid w:val="009D7256"/>
    <w:rsid w:val="009D783D"/>
    <w:rsid w:val="009D7E1E"/>
    <w:rsid w:val="009E0C62"/>
    <w:rsid w:val="009E136A"/>
    <w:rsid w:val="009E13E3"/>
    <w:rsid w:val="009E2D36"/>
    <w:rsid w:val="009E30DA"/>
    <w:rsid w:val="009E40F7"/>
    <w:rsid w:val="009E4275"/>
    <w:rsid w:val="009E4372"/>
    <w:rsid w:val="009E43F2"/>
    <w:rsid w:val="009E4724"/>
    <w:rsid w:val="009E5125"/>
    <w:rsid w:val="009E5C6D"/>
    <w:rsid w:val="009E5E07"/>
    <w:rsid w:val="009E6B05"/>
    <w:rsid w:val="009E720B"/>
    <w:rsid w:val="009E7595"/>
    <w:rsid w:val="009E76B6"/>
    <w:rsid w:val="009E7D1D"/>
    <w:rsid w:val="009F01B9"/>
    <w:rsid w:val="009F030D"/>
    <w:rsid w:val="009F06D7"/>
    <w:rsid w:val="009F0790"/>
    <w:rsid w:val="009F079A"/>
    <w:rsid w:val="009F19EF"/>
    <w:rsid w:val="009F1DE9"/>
    <w:rsid w:val="009F25BF"/>
    <w:rsid w:val="009F3619"/>
    <w:rsid w:val="009F49AD"/>
    <w:rsid w:val="009F51F3"/>
    <w:rsid w:val="009F54E5"/>
    <w:rsid w:val="009F6704"/>
    <w:rsid w:val="009F6E33"/>
    <w:rsid w:val="009F7516"/>
    <w:rsid w:val="009F751A"/>
    <w:rsid w:val="00A0075F"/>
    <w:rsid w:val="00A031EF"/>
    <w:rsid w:val="00A041C2"/>
    <w:rsid w:val="00A04D37"/>
    <w:rsid w:val="00A061A9"/>
    <w:rsid w:val="00A06C72"/>
    <w:rsid w:val="00A0781C"/>
    <w:rsid w:val="00A10862"/>
    <w:rsid w:val="00A10991"/>
    <w:rsid w:val="00A11A3A"/>
    <w:rsid w:val="00A12042"/>
    <w:rsid w:val="00A121EC"/>
    <w:rsid w:val="00A12A06"/>
    <w:rsid w:val="00A12EE4"/>
    <w:rsid w:val="00A135A5"/>
    <w:rsid w:val="00A14B1A"/>
    <w:rsid w:val="00A1509A"/>
    <w:rsid w:val="00A1537A"/>
    <w:rsid w:val="00A15E74"/>
    <w:rsid w:val="00A1603A"/>
    <w:rsid w:val="00A1656F"/>
    <w:rsid w:val="00A17B37"/>
    <w:rsid w:val="00A17CE2"/>
    <w:rsid w:val="00A209C4"/>
    <w:rsid w:val="00A211F8"/>
    <w:rsid w:val="00A21556"/>
    <w:rsid w:val="00A22349"/>
    <w:rsid w:val="00A223BA"/>
    <w:rsid w:val="00A22CFD"/>
    <w:rsid w:val="00A2383B"/>
    <w:rsid w:val="00A23A9C"/>
    <w:rsid w:val="00A23DB3"/>
    <w:rsid w:val="00A264C7"/>
    <w:rsid w:val="00A2732E"/>
    <w:rsid w:val="00A273E1"/>
    <w:rsid w:val="00A30C87"/>
    <w:rsid w:val="00A317AF"/>
    <w:rsid w:val="00A35F50"/>
    <w:rsid w:val="00A36202"/>
    <w:rsid w:val="00A36ABA"/>
    <w:rsid w:val="00A36CF4"/>
    <w:rsid w:val="00A374F2"/>
    <w:rsid w:val="00A375DE"/>
    <w:rsid w:val="00A37978"/>
    <w:rsid w:val="00A40468"/>
    <w:rsid w:val="00A41688"/>
    <w:rsid w:val="00A420CF"/>
    <w:rsid w:val="00A42170"/>
    <w:rsid w:val="00A42189"/>
    <w:rsid w:val="00A42D10"/>
    <w:rsid w:val="00A44F1D"/>
    <w:rsid w:val="00A45FF8"/>
    <w:rsid w:val="00A464EB"/>
    <w:rsid w:val="00A465D8"/>
    <w:rsid w:val="00A4706F"/>
    <w:rsid w:val="00A47CDC"/>
    <w:rsid w:val="00A47F1E"/>
    <w:rsid w:val="00A50192"/>
    <w:rsid w:val="00A515CA"/>
    <w:rsid w:val="00A518DB"/>
    <w:rsid w:val="00A52850"/>
    <w:rsid w:val="00A52BAC"/>
    <w:rsid w:val="00A52D21"/>
    <w:rsid w:val="00A53E4D"/>
    <w:rsid w:val="00A54895"/>
    <w:rsid w:val="00A548C3"/>
    <w:rsid w:val="00A5491F"/>
    <w:rsid w:val="00A54D86"/>
    <w:rsid w:val="00A551DA"/>
    <w:rsid w:val="00A55769"/>
    <w:rsid w:val="00A576BE"/>
    <w:rsid w:val="00A60150"/>
    <w:rsid w:val="00A611AC"/>
    <w:rsid w:val="00A6160B"/>
    <w:rsid w:val="00A6204E"/>
    <w:rsid w:val="00A62CA2"/>
    <w:rsid w:val="00A635FE"/>
    <w:rsid w:val="00A648A7"/>
    <w:rsid w:val="00A64D3A"/>
    <w:rsid w:val="00A652C8"/>
    <w:rsid w:val="00A6532D"/>
    <w:rsid w:val="00A65F38"/>
    <w:rsid w:val="00A65F82"/>
    <w:rsid w:val="00A66E87"/>
    <w:rsid w:val="00A67DB8"/>
    <w:rsid w:val="00A704E9"/>
    <w:rsid w:val="00A70D16"/>
    <w:rsid w:val="00A70D47"/>
    <w:rsid w:val="00A7160F"/>
    <w:rsid w:val="00A71943"/>
    <w:rsid w:val="00A71AFF"/>
    <w:rsid w:val="00A7203B"/>
    <w:rsid w:val="00A72971"/>
    <w:rsid w:val="00A73C58"/>
    <w:rsid w:val="00A74E9E"/>
    <w:rsid w:val="00A7530F"/>
    <w:rsid w:val="00A75E58"/>
    <w:rsid w:val="00A7629E"/>
    <w:rsid w:val="00A77931"/>
    <w:rsid w:val="00A800BB"/>
    <w:rsid w:val="00A808A0"/>
    <w:rsid w:val="00A808A5"/>
    <w:rsid w:val="00A80F8D"/>
    <w:rsid w:val="00A81AA2"/>
    <w:rsid w:val="00A81B63"/>
    <w:rsid w:val="00A82287"/>
    <w:rsid w:val="00A8287C"/>
    <w:rsid w:val="00A837AF"/>
    <w:rsid w:val="00A84D4A"/>
    <w:rsid w:val="00A8542D"/>
    <w:rsid w:val="00A85589"/>
    <w:rsid w:val="00A861E7"/>
    <w:rsid w:val="00A862BD"/>
    <w:rsid w:val="00A86BE7"/>
    <w:rsid w:val="00A8723C"/>
    <w:rsid w:val="00A87C90"/>
    <w:rsid w:val="00A903C4"/>
    <w:rsid w:val="00A90BD0"/>
    <w:rsid w:val="00A92072"/>
    <w:rsid w:val="00A9265E"/>
    <w:rsid w:val="00A9411F"/>
    <w:rsid w:val="00A946B4"/>
    <w:rsid w:val="00A9496A"/>
    <w:rsid w:val="00A95D51"/>
    <w:rsid w:val="00A967F6"/>
    <w:rsid w:val="00A96DF0"/>
    <w:rsid w:val="00A97DBE"/>
    <w:rsid w:val="00AA05C1"/>
    <w:rsid w:val="00AA0A9A"/>
    <w:rsid w:val="00AA0C97"/>
    <w:rsid w:val="00AA122C"/>
    <w:rsid w:val="00AA24B0"/>
    <w:rsid w:val="00AA2C49"/>
    <w:rsid w:val="00AA3D31"/>
    <w:rsid w:val="00AA51E0"/>
    <w:rsid w:val="00AA526B"/>
    <w:rsid w:val="00AA5B46"/>
    <w:rsid w:val="00AA636A"/>
    <w:rsid w:val="00AA7064"/>
    <w:rsid w:val="00AA7201"/>
    <w:rsid w:val="00AA73D8"/>
    <w:rsid w:val="00AB07B8"/>
    <w:rsid w:val="00AB0E74"/>
    <w:rsid w:val="00AB176C"/>
    <w:rsid w:val="00AB1770"/>
    <w:rsid w:val="00AB1BCF"/>
    <w:rsid w:val="00AB1C11"/>
    <w:rsid w:val="00AB209B"/>
    <w:rsid w:val="00AB20FA"/>
    <w:rsid w:val="00AB27B0"/>
    <w:rsid w:val="00AB2F06"/>
    <w:rsid w:val="00AB3258"/>
    <w:rsid w:val="00AB3467"/>
    <w:rsid w:val="00AB3505"/>
    <w:rsid w:val="00AB3523"/>
    <w:rsid w:val="00AB3607"/>
    <w:rsid w:val="00AB3823"/>
    <w:rsid w:val="00AB38A7"/>
    <w:rsid w:val="00AB42DE"/>
    <w:rsid w:val="00AB4611"/>
    <w:rsid w:val="00AB4A9C"/>
    <w:rsid w:val="00AB4D83"/>
    <w:rsid w:val="00AB4FE7"/>
    <w:rsid w:val="00AB7BB9"/>
    <w:rsid w:val="00AB7CF4"/>
    <w:rsid w:val="00AC0CA1"/>
    <w:rsid w:val="00AC1CAC"/>
    <w:rsid w:val="00AC280E"/>
    <w:rsid w:val="00AC2A31"/>
    <w:rsid w:val="00AC3A81"/>
    <w:rsid w:val="00AC3B2B"/>
    <w:rsid w:val="00AC469A"/>
    <w:rsid w:val="00AC4E6C"/>
    <w:rsid w:val="00AC52B2"/>
    <w:rsid w:val="00AC57E8"/>
    <w:rsid w:val="00AC5FA9"/>
    <w:rsid w:val="00AC663A"/>
    <w:rsid w:val="00AC6FFC"/>
    <w:rsid w:val="00AC7B5A"/>
    <w:rsid w:val="00AC7D82"/>
    <w:rsid w:val="00AD08BC"/>
    <w:rsid w:val="00AD11BD"/>
    <w:rsid w:val="00AD16D6"/>
    <w:rsid w:val="00AD17A7"/>
    <w:rsid w:val="00AD1A57"/>
    <w:rsid w:val="00AD230A"/>
    <w:rsid w:val="00AD2598"/>
    <w:rsid w:val="00AD28BF"/>
    <w:rsid w:val="00AD3BA7"/>
    <w:rsid w:val="00AD414E"/>
    <w:rsid w:val="00AD6810"/>
    <w:rsid w:val="00AD6AF2"/>
    <w:rsid w:val="00AD78CA"/>
    <w:rsid w:val="00AE1354"/>
    <w:rsid w:val="00AE1941"/>
    <w:rsid w:val="00AE2340"/>
    <w:rsid w:val="00AE24AF"/>
    <w:rsid w:val="00AE2654"/>
    <w:rsid w:val="00AE3FEF"/>
    <w:rsid w:val="00AE5B16"/>
    <w:rsid w:val="00AE667C"/>
    <w:rsid w:val="00AE7B67"/>
    <w:rsid w:val="00AF10E5"/>
    <w:rsid w:val="00AF15D1"/>
    <w:rsid w:val="00AF1DC9"/>
    <w:rsid w:val="00AF2165"/>
    <w:rsid w:val="00AF24F1"/>
    <w:rsid w:val="00AF38A0"/>
    <w:rsid w:val="00AF415D"/>
    <w:rsid w:val="00AF6922"/>
    <w:rsid w:val="00AF6DCB"/>
    <w:rsid w:val="00B00AC0"/>
    <w:rsid w:val="00B00CC2"/>
    <w:rsid w:val="00B0178C"/>
    <w:rsid w:val="00B01A7C"/>
    <w:rsid w:val="00B01ABE"/>
    <w:rsid w:val="00B026DD"/>
    <w:rsid w:val="00B03C76"/>
    <w:rsid w:val="00B0478B"/>
    <w:rsid w:val="00B04DB4"/>
    <w:rsid w:val="00B04F8D"/>
    <w:rsid w:val="00B057AF"/>
    <w:rsid w:val="00B06047"/>
    <w:rsid w:val="00B06935"/>
    <w:rsid w:val="00B07609"/>
    <w:rsid w:val="00B1107B"/>
    <w:rsid w:val="00B12178"/>
    <w:rsid w:val="00B132F9"/>
    <w:rsid w:val="00B1345D"/>
    <w:rsid w:val="00B138AF"/>
    <w:rsid w:val="00B13C37"/>
    <w:rsid w:val="00B14BB7"/>
    <w:rsid w:val="00B1556A"/>
    <w:rsid w:val="00B16420"/>
    <w:rsid w:val="00B173F5"/>
    <w:rsid w:val="00B20F11"/>
    <w:rsid w:val="00B21095"/>
    <w:rsid w:val="00B21E17"/>
    <w:rsid w:val="00B222F1"/>
    <w:rsid w:val="00B2276C"/>
    <w:rsid w:val="00B22CF7"/>
    <w:rsid w:val="00B26505"/>
    <w:rsid w:val="00B270CB"/>
    <w:rsid w:val="00B27881"/>
    <w:rsid w:val="00B278A2"/>
    <w:rsid w:val="00B279FF"/>
    <w:rsid w:val="00B305A4"/>
    <w:rsid w:val="00B30915"/>
    <w:rsid w:val="00B312F1"/>
    <w:rsid w:val="00B31F16"/>
    <w:rsid w:val="00B32380"/>
    <w:rsid w:val="00B33583"/>
    <w:rsid w:val="00B33AB8"/>
    <w:rsid w:val="00B34224"/>
    <w:rsid w:val="00B34A28"/>
    <w:rsid w:val="00B35405"/>
    <w:rsid w:val="00B36034"/>
    <w:rsid w:val="00B36C86"/>
    <w:rsid w:val="00B37253"/>
    <w:rsid w:val="00B37637"/>
    <w:rsid w:val="00B37666"/>
    <w:rsid w:val="00B37905"/>
    <w:rsid w:val="00B4071E"/>
    <w:rsid w:val="00B414B0"/>
    <w:rsid w:val="00B41D4D"/>
    <w:rsid w:val="00B43290"/>
    <w:rsid w:val="00B4329F"/>
    <w:rsid w:val="00B4353E"/>
    <w:rsid w:val="00B4426A"/>
    <w:rsid w:val="00B44542"/>
    <w:rsid w:val="00B44EDE"/>
    <w:rsid w:val="00B44F56"/>
    <w:rsid w:val="00B4516B"/>
    <w:rsid w:val="00B46ACA"/>
    <w:rsid w:val="00B470C7"/>
    <w:rsid w:val="00B473BA"/>
    <w:rsid w:val="00B475AB"/>
    <w:rsid w:val="00B47D49"/>
    <w:rsid w:val="00B50905"/>
    <w:rsid w:val="00B514C5"/>
    <w:rsid w:val="00B519B1"/>
    <w:rsid w:val="00B52210"/>
    <w:rsid w:val="00B5315F"/>
    <w:rsid w:val="00B53CFC"/>
    <w:rsid w:val="00B541B6"/>
    <w:rsid w:val="00B5430F"/>
    <w:rsid w:val="00B5568A"/>
    <w:rsid w:val="00B561C4"/>
    <w:rsid w:val="00B57052"/>
    <w:rsid w:val="00B604B2"/>
    <w:rsid w:val="00B60B01"/>
    <w:rsid w:val="00B622B9"/>
    <w:rsid w:val="00B626D8"/>
    <w:rsid w:val="00B629FD"/>
    <w:rsid w:val="00B63375"/>
    <w:rsid w:val="00B64EC5"/>
    <w:rsid w:val="00B652E0"/>
    <w:rsid w:val="00B654F4"/>
    <w:rsid w:val="00B6574B"/>
    <w:rsid w:val="00B65936"/>
    <w:rsid w:val="00B65DD4"/>
    <w:rsid w:val="00B65E71"/>
    <w:rsid w:val="00B66346"/>
    <w:rsid w:val="00B66F62"/>
    <w:rsid w:val="00B6709A"/>
    <w:rsid w:val="00B6709B"/>
    <w:rsid w:val="00B673F8"/>
    <w:rsid w:val="00B676AA"/>
    <w:rsid w:val="00B7089A"/>
    <w:rsid w:val="00B70A55"/>
    <w:rsid w:val="00B718FD"/>
    <w:rsid w:val="00B71E31"/>
    <w:rsid w:val="00B7216A"/>
    <w:rsid w:val="00B73203"/>
    <w:rsid w:val="00B7374D"/>
    <w:rsid w:val="00B739AB"/>
    <w:rsid w:val="00B73B58"/>
    <w:rsid w:val="00B73D9B"/>
    <w:rsid w:val="00B7409B"/>
    <w:rsid w:val="00B7448D"/>
    <w:rsid w:val="00B7539A"/>
    <w:rsid w:val="00B75AF8"/>
    <w:rsid w:val="00B7637F"/>
    <w:rsid w:val="00B765B3"/>
    <w:rsid w:val="00B779F6"/>
    <w:rsid w:val="00B80196"/>
    <w:rsid w:val="00B80323"/>
    <w:rsid w:val="00B814A0"/>
    <w:rsid w:val="00B81BED"/>
    <w:rsid w:val="00B82114"/>
    <w:rsid w:val="00B8315F"/>
    <w:rsid w:val="00B8430C"/>
    <w:rsid w:val="00B8455E"/>
    <w:rsid w:val="00B85703"/>
    <w:rsid w:val="00B86424"/>
    <w:rsid w:val="00B8793B"/>
    <w:rsid w:val="00B87CE5"/>
    <w:rsid w:val="00B9069D"/>
    <w:rsid w:val="00B90C90"/>
    <w:rsid w:val="00B91F31"/>
    <w:rsid w:val="00B9281B"/>
    <w:rsid w:val="00B92AA5"/>
    <w:rsid w:val="00B938EC"/>
    <w:rsid w:val="00B94033"/>
    <w:rsid w:val="00B94224"/>
    <w:rsid w:val="00B94498"/>
    <w:rsid w:val="00B94F0D"/>
    <w:rsid w:val="00B94F85"/>
    <w:rsid w:val="00B953BC"/>
    <w:rsid w:val="00B959C3"/>
    <w:rsid w:val="00B962FF"/>
    <w:rsid w:val="00B9650C"/>
    <w:rsid w:val="00B96D53"/>
    <w:rsid w:val="00B97382"/>
    <w:rsid w:val="00B97702"/>
    <w:rsid w:val="00B97BCF"/>
    <w:rsid w:val="00B97F1A"/>
    <w:rsid w:val="00BA0406"/>
    <w:rsid w:val="00BA11CA"/>
    <w:rsid w:val="00BA1887"/>
    <w:rsid w:val="00BA24B5"/>
    <w:rsid w:val="00BA3696"/>
    <w:rsid w:val="00BA521F"/>
    <w:rsid w:val="00BA55E4"/>
    <w:rsid w:val="00BA582E"/>
    <w:rsid w:val="00BA6EBD"/>
    <w:rsid w:val="00BA711F"/>
    <w:rsid w:val="00BA7298"/>
    <w:rsid w:val="00BB07B9"/>
    <w:rsid w:val="00BB07D6"/>
    <w:rsid w:val="00BB0EC1"/>
    <w:rsid w:val="00BB182A"/>
    <w:rsid w:val="00BB19F2"/>
    <w:rsid w:val="00BB1C35"/>
    <w:rsid w:val="00BB230D"/>
    <w:rsid w:val="00BB537B"/>
    <w:rsid w:val="00BB5C23"/>
    <w:rsid w:val="00BB5C97"/>
    <w:rsid w:val="00BB6A71"/>
    <w:rsid w:val="00BB6EB5"/>
    <w:rsid w:val="00BB6FA5"/>
    <w:rsid w:val="00BB78EB"/>
    <w:rsid w:val="00BC0030"/>
    <w:rsid w:val="00BC06AB"/>
    <w:rsid w:val="00BC112C"/>
    <w:rsid w:val="00BC16AC"/>
    <w:rsid w:val="00BC1D19"/>
    <w:rsid w:val="00BC2503"/>
    <w:rsid w:val="00BC28F7"/>
    <w:rsid w:val="00BC35E8"/>
    <w:rsid w:val="00BC3A4D"/>
    <w:rsid w:val="00BC43B4"/>
    <w:rsid w:val="00BC5520"/>
    <w:rsid w:val="00BC5A69"/>
    <w:rsid w:val="00BC5C39"/>
    <w:rsid w:val="00BC65F6"/>
    <w:rsid w:val="00BC688B"/>
    <w:rsid w:val="00BC6D0B"/>
    <w:rsid w:val="00BD00CB"/>
    <w:rsid w:val="00BD0A99"/>
    <w:rsid w:val="00BD0CE1"/>
    <w:rsid w:val="00BD1424"/>
    <w:rsid w:val="00BD1A52"/>
    <w:rsid w:val="00BD1F93"/>
    <w:rsid w:val="00BD317C"/>
    <w:rsid w:val="00BD3B95"/>
    <w:rsid w:val="00BD3BCE"/>
    <w:rsid w:val="00BD3C60"/>
    <w:rsid w:val="00BD4F10"/>
    <w:rsid w:val="00BD5A88"/>
    <w:rsid w:val="00BD5C0A"/>
    <w:rsid w:val="00BD6082"/>
    <w:rsid w:val="00BD66D2"/>
    <w:rsid w:val="00BD6750"/>
    <w:rsid w:val="00BD68F0"/>
    <w:rsid w:val="00BD6E85"/>
    <w:rsid w:val="00BD6E9C"/>
    <w:rsid w:val="00BE087F"/>
    <w:rsid w:val="00BE0BF2"/>
    <w:rsid w:val="00BE0D1C"/>
    <w:rsid w:val="00BE12BA"/>
    <w:rsid w:val="00BE150F"/>
    <w:rsid w:val="00BE1563"/>
    <w:rsid w:val="00BE43C2"/>
    <w:rsid w:val="00BE47AA"/>
    <w:rsid w:val="00BE4840"/>
    <w:rsid w:val="00BE5324"/>
    <w:rsid w:val="00BE5A8C"/>
    <w:rsid w:val="00BE5AE8"/>
    <w:rsid w:val="00BE5FA9"/>
    <w:rsid w:val="00BE5FED"/>
    <w:rsid w:val="00BE7B3D"/>
    <w:rsid w:val="00BF052E"/>
    <w:rsid w:val="00BF0C96"/>
    <w:rsid w:val="00BF1253"/>
    <w:rsid w:val="00BF15B0"/>
    <w:rsid w:val="00BF2485"/>
    <w:rsid w:val="00BF37C0"/>
    <w:rsid w:val="00BF44A8"/>
    <w:rsid w:val="00BF4590"/>
    <w:rsid w:val="00BF4FC5"/>
    <w:rsid w:val="00BF53E2"/>
    <w:rsid w:val="00BF54DE"/>
    <w:rsid w:val="00BF5D12"/>
    <w:rsid w:val="00BF5E4D"/>
    <w:rsid w:val="00BF6047"/>
    <w:rsid w:val="00BF65FC"/>
    <w:rsid w:val="00BF7355"/>
    <w:rsid w:val="00C00E5C"/>
    <w:rsid w:val="00C01404"/>
    <w:rsid w:val="00C01457"/>
    <w:rsid w:val="00C023B1"/>
    <w:rsid w:val="00C03081"/>
    <w:rsid w:val="00C030A2"/>
    <w:rsid w:val="00C0420F"/>
    <w:rsid w:val="00C04295"/>
    <w:rsid w:val="00C042A4"/>
    <w:rsid w:val="00C079A2"/>
    <w:rsid w:val="00C079D8"/>
    <w:rsid w:val="00C07FD4"/>
    <w:rsid w:val="00C10180"/>
    <w:rsid w:val="00C10603"/>
    <w:rsid w:val="00C11145"/>
    <w:rsid w:val="00C11B74"/>
    <w:rsid w:val="00C12B5D"/>
    <w:rsid w:val="00C12D69"/>
    <w:rsid w:val="00C138B2"/>
    <w:rsid w:val="00C14506"/>
    <w:rsid w:val="00C15691"/>
    <w:rsid w:val="00C15EE8"/>
    <w:rsid w:val="00C16C0E"/>
    <w:rsid w:val="00C171BA"/>
    <w:rsid w:val="00C171BF"/>
    <w:rsid w:val="00C17D11"/>
    <w:rsid w:val="00C20770"/>
    <w:rsid w:val="00C20934"/>
    <w:rsid w:val="00C20A6B"/>
    <w:rsid w:val="00C20BBD"/>
    <w:rsid w:val="00C21470"/>
    <w:rsid w:val="00C21DB6"/>
    <w:rsid w:val="00C21FFF"/>
    <w:rsid w:val="00C222A8"/>
    <w:rsid w:val="00C224BD"/>
    <w:rsid w:val="00C2299A"/>
    <w:rsid w:val="00C22CCF"/>
    <w:rsid w:val="00C2454C"/>
    <w:rsid w:val="00C24706"/>
    <w:rsid w:val="00C26963"/>
    <w:rsid w:val="00C26EA9"/>
    <w:rsid w:val="00C271D1"/>
    <w:rsid w:val="00C2725D"/>
    <w:rsid w:val="00C27398"/>
    <w:rsid w:val="00C277F1"/>
    <w:rsid w:val="00C320AF"/>
    <w:rsid w:val="00C3219A"/>
    <w:rsid w:val="00C32CB7"/>
    <w:rsid w:val="00C33859"/>
    <w:rsid w:val="00C33E7F"/>
    <w:rsid w:val="00C3552C"/>
    <w:rsid w:val="00C35E48"/>
    <w:rsid w:val="00C3653A"/>
    <w:rsid w:val="00C37977"/>
    <w:rsid w:val="00C37CC7"/>
    <w:rsid w:val="00C37E37"/>
    <w:rsid w:val="00C40EAA"/>
    <w:rsid w:val="00C41E7F"/>
    <w:rsid w:val="00C41F01"/>
    <w:rsid w:val="00C420E0"/>
    <w:rsid w:val="00C425EA"/>
    <w:rsid w:val="00C42F61"/>
    <w:rsid w:val="00C44C54"/>
    <w:rsid w:val="00C44D3E"/>
    <w:rsid w:val="00C45052"/>
    <w:rsid w:val="00C4588C"/>
    <w:rsid w:val="00C468B0"/>
    <w:rsid w:val="00C46B48"/>
    <w:rsid w:val="00C46BDB"/>
    <w:rsid w:val="00C46E67"/>
    <w:rsid w:val="00C505EB"/>
    <w:rsid w:val="00C52473"/>
    <w:rsid w:val="00C5248C"/>
    <w:rsid w:val="00C5315B"/>
    <w:rsid w:val="00C54769"/>
    <w:rsid w:val="00C54A66"/>
    <w:rsid w:val="00C54AB1"/>
    <w:rsid w:val="00C54F84"/>
    <w:rsid w:val="00C553E6"/>
    <w:rsid w:val="00C55C60"/>
    <w:rsid w:val="00C56E79"/>
    <w:rsid w:val="00C57267"/>
    <w:rsid w:val="00C57866"/>
    <w:rsid w:val="00C57C0C"/>
    <w:rsid w:val="00C6106A"/>
    <w:rsid w:val="00C6170B"/>
    <w:rsid w:val="00C61C83"/>
    <w:rsid w:val="00C622EE"/>
    <w:rsid w:val="00C62B73"/>
    <w:rsid w:val="00C62F44"/>
    <w:rsid w:val="00C63605"/>
    <w:rsid w:val="00C63DB5"/>
    <w:rsid w:val="00C64D3E"/>
    <w:rsid w:val="00C64E81"/>
    <w:rsid w:val="00C664DF"/>
    <w:rsid w:val="00C671F1"/>
    <w:rsid w:val="00C6785F"/>
    <w:rsid w:val="00C67C84"/>
    <w:rsid w:val="00C67DC9"/>
    <w:rsid w:val="00C70248"/>
    <w:rsid w:val="00C7073A"/>
    <w:rsid w:val="00C70E0D"/>
    <w:rsid w:val="00C71624"/>
    <w:rsid w:val="00C72593"/>
    <w:rsid w:val="00C7270C"/>
    <w:rsid w:val="00C72BF1"/>
    <w:rsid w:val="00C7342E"/>
    <w:rsid w:val="00C74A88"/>
    <w:rsid w:val="00C74B99"/>
    <w:rsid w:val="00C76B9C"/>
    <w:rsid w:val="00C76FEA"/>
    <w:rsid w:val="00C77BB5"/>
    <w:rsid w:val="00C812C2"/>
    <w:rsid w:val="00C81602"/>
    <w:rsid w:val="00C823FE"/>
    <w:rsid w:val="00C83186"/>
    <w:rsid w:val="00C8372E"/>
    <w:rsid w:val="00C83A89"/>
    <w:rsid w:val="00C84042"/>
    <w:rsid w:val="00C84265"/>
    <w:rsid w:val="00C84627"/>
    <w:rsid w:val="00C84755"/>
    <w:rsid w:val="00C8567E"/>
    <w:rsid w:val="00C869D2"/>
    <w:rsid w:val="00C87437"/>
    <w:rsid w:val="00C90196"/>
    <w:rsid w:val="00C9149A"/>
    <w:rsid w:val="00C916F8"/>
    <w:rsid w:val="00C9189B"/>
    <w:rsid w:val="00C91AB5"/>
    <w:rsid w:val="00C92448"/>
    <w:rsid w:val="00C92880"/>
    <w:rsid w:val="00C9465A"/>
    <w:rsid w:val="00C94A59"/>
    <w:rsid w:val="00C9581D"/>
    <w:rsid w:val="00C95B50"/>
    <w:rsid w:val="00C95E80"/>
    <w:rsid w:val="00C9657A"/>
    <w:rsid w:val="00C97106"/>
    <w:rsid w:val="00C971BC"/>
    <w:rsid w:val="00C978A6"/>
    <w:rsid w:val="00CA0072"/>
    <w:rsid w:val="00CA1018"/>
    <w:rsid w:val="00CA1044"/>
    <w:rsid w:val="00CA10F1"/>
    <w:rsid w:val="00CA1951"/>
    <w:rsid w:val="00CA23C8"/>
    <w:rsid w:val="00CA2E4B"/>
    <w:rsid w:val="00CA3269"/>
    <w:rsid w:val="00CA380A"/>
    <w:rsid w:val="00CA3AC7"/>
    <w:rsid w:val="00CA435F"/>
    <w:rsid w:val="00CA4507"/>
    <w:rsid w:val="00CA4C46"/>
    <w:rsid w:val="00CA5AC7"/>
    <w:rsid w:val="00CA5E58"/>
    <w:rsid w:val="00CA5F68"/>
    <w:rsid w:val="00CA60A2"/>
    <w:rsid w:val="00CA61CE"/>
    <w:rsid w:val="00CA7FD3"/>
    <w:rsid w:val="00CB096F"/>
    <w:rsid w:val="00CB0E1E"/>
    <w:rsid w:val="00CB0EEA"/>
    <w:rsid w:val="00CB2F04"/>
    <w:rsid w:val="00CB47B9"/>
    <w:rsid w:val="00CB4C58"/>
    <w:rsid w:val="00CB5AF3"/>
    <w:rsid w:val="00CB5D1F"/>
    <w:rsid w:val="00CB7475"/>
    <w:rsid w:val="00CB74D6"/>
    <w:rsid w:val="00CB7558"/>
    <w:rsid w:val="00CB790B"/>
    <w:rsid w:val="00CB7DCF"/>
    <w:rsid w:val="00CC1321"/>
    <w:rsid w:val="00CC15F2"/>
    <w:rsid w:val="00CC1AE9"/>
    <w:rsid w:val="00CC1F83"/>
    <w:rsid w:val="00CC2122"/>
    <w:rsid w:val="00CC2659"/>
    <w:rsid w:val="00CC2AC9"/>
    <w:rsid w:val="00CC2BB0"/>
    <w:rsid w:val="00CC2CA9"/>
    <w:rsid w:val="00CC3417"/>
    <w:rsid w:val="00CC4487"/>
    <w:rsid w:val="00CC48B0"/>
    <w:rsid w:val="00CC4DED"/>
    <w:rsid w:val="00CC55CB"/>
    <w:rsid w:val="00CC5908"/>
    <w:rsid w:val="00CC5DBB"/>
    <w:rsid w:val="00CC6158"/>
    <w:rsid w:val="00CC6497"/>
    <w:rsid w:val="00CC68C7"/>
    <w:rsid w:val="00CC70D7"/>
    <w:rsid w:val="00CC759F"/>
    <w:rsid w:val="00CC78A7"/>
    <w:rsid w:val="00CC78C2"/>
    <w:rsid w:val="00CC7A1B"/>
    <w:rsid w:val="00CC7CE7"/>
    <w:rsid w:val="00CD0B07"/>
    <w:rsid w:val="00CD19FF"/>
    <w:rsid w:val="00CD3791"/>
    <w:rsid w:val="00CD478C"/>
    <w:rsid w:val="00CD5DAD"/>
    <w:rsid w:val="00CD6492"/>
    <w:rsid w:val="00CD665C"/>
    <w:rsid w:val="00CE03DC"/>
    <w:rsid w:val="00CE1C10"/>
    <w:rsid w:val="00CE3798"/>
    <w:rsid w:val="00CE5922"/>
    <w:rsid w:val="00CE6980"/>
    <w:rsid w:val="00CF0DEE"/>
    <w:rsid w:val="00CF1B3E"/>
    <w:rsid w:val="00CF1E0B"/>
    <w:rsid w:val="00CF22F7"/>
    <w:rsid w:val="00CF29DF"/>
    <w:rsid w:val="00CF2B2F"/>
    <w:rsid w:val="00CF34D2"/>
    <w:rsid w:val="00CF42B0"/>
    <w:rsid w:val="00CF45F7"/>
    <w:rsid w:val="00CF5F5E"/>
    <w:rsid w:val="00CF6FC5"/>
    <w:rsid w:val="00CF730A"/>
    <w:rsid w:val="00D00022"/>
    <w:rsid w:val="00D0033D"/>
    <w:rsid w:val="00D004E9"/>
    <w:rsid w:val="00D0076F"/>
    <w:rsid w:val="00D00937"/>
    <w:rsid w:val="00D009BB"/>
    <w:rsid w:val="00D016B6"/>
    <w:rsid w:val="00D01C70"/>
    <w:rsid w:val="00D01E67"/>
    <w:rsid w:val="00D0206C"/>
    <w:rsid w:val="00D02588"/>
    <w:rsid w:val="00D0283E"/>
    <w:rsid w:val="00D03310"/>
    <w:rsid w:val="00D038B6"/>
    <w:rsid w:val="00D039E2"/>
    <w:rsid w:val="00D03D8B"/>
    <w:rsid w:val="00D03EFD"/>
    <w:rsid w:val="00D03FF3"/>
    <w:rsid w:val="00D05C04"/>
    <w:rsid w:val="00D069A9"/>
    <w:rsid w:val="00D06D9F"/>
    <w:rsid w:val="00D07753"/>
    <w:rsid w:val="00D1027B"/>
    <w:rsid w:val="00D108B7"/>
    <w:rsid w:val="00D11506"/>
    <w:rsid w:val="00D118F0"/>
    <w:rsid w:val="00D12A43"/>
    <w:rsid w:val="00D12A51"/>
    <w:rsid w:val="00D12DAA"/>
    <w:rsid w:val="00D14B34"/>
    <w:rsid w:val="00D156E6"/>
    <w:rsid w:val="00D15C71"/>
    <w:rsid w:val="00D1666C"/>
    <w:rsid w:val="00D17CD3"/>
    <w:rsid w:val="00D207EF"/>
    <w:rsid w:val="00D21244"/>
    <w:rsid w:val="00D21A9F"/>
    <w:rsid w:val="00D21E3B"/>
    <w:rsid w:val="00D2212F"/>
    <w:rsid w:val="00D222C3"/>
    <w:rsid w:val="00D224A5"/>
    <w:rsid w:val="00D2273B"/>
    <w:rsid w:val="00D22DFE"/>
    <w:rsid w:val="00D22F68"/>
    <w:rsid w:val="00D250B6"/>
    <w:rsid w:val="00D262F5"/>
    <w:rsid w:val="00D2739C"/>
    <w:rsid w:val="00D301DF"/>
    <w:rsid w:val="00D30751"/>
    <w:rsid w:val="00D30B0E"/>
    <w:rsid w:val="00D30F72"/>
    <w:rsid w:val="00D31CBB"/>
    <w:rsid w:val="00D32D81"/>
    <w:rsid w:val="00D33580"/>
    <w:rsid w:val="00D33954"/>
    <w:rsid w:val="00D34262"/>
    <w:rsid w:val="00D34473"/>
    <w:rsid w:val="00D34DF5"/>
    <w:rsid w:val="00D35134"/>
    <w:rsid w:val="00D3619A"/>
    <w:rsid w:val="00D3651A"/>
    <w:rsid w:val="00D3698D"/>
    <w:rsid w:val="00D37C5F"/>
    <w:rsid w:val="00D400FB"/>
    <w:rsid w:val="00D40831"/>
    <w:rsid w:val="00D4203B"/>
    <w:rsid w:val="00D422A5"/>
    <w:rsid w:val="00D4281A"/>
    <w:rsid w:val="00D42919"/>
    <w:rsid w:val="00D42B2E"/>
    <w:rsid w:val="00D43459"/>
    <w:rsid w:val="00D435EF"/>
    <w:rsid w:val="00D43AC6"/>
    <w:rsid w:val="00D43B3A"/>
    <w:rsid w:val="00D4510C"/>
    <w:rsid w:val="00D45B81"/>
    <w:rsid w:val="00D45E3C"/>
    <w:rsid w:val="00D46EA5"/>
    <w:rsid w:val="00D47B57"/>
    <w:rsid w:val="00D50514"/>
    <w:rsid w:val="00D511F8"/>
    <w:rsid w:val="00D523AA"/>
    <w:rsid w:val="00D52A5E"/>
    <w:rsid w:val="00D53EDD"/>
    <w:rsid w:val="00D54283"/>
    <w:rsid w:val="00D542BB"/>
    <w:rsid w:val="00D5696D"/>
    <w:rsid w:val="00D57DFD"/>
    <w:rsid w:val="00D60C78"/>
    <w:rsid w:val="00D616A6"/>
    <w:rsid w:val="00D61F59"/>
    <w:rsid w:val="00D6262F"/>
    <w:rsid w:val="00D62A2C"/>
    <w:rsid w:val="00D62A57"/>
    <w:rsid w:val="00D63059"/>
    <w:rsid w:val="00D65684"/>
    <w:rsid w:val="00D65951"/>
    <w:rsid w:val="00D6599A"/>
    <w:rsid w:val="00D65F41"/>
    <w:rsid w:val="00D667F7"/>
    <w:rsid w:val="00D66C8F"/>
    <w:rsid w:val="00D672C9"/>
    <w:rsid w:val="00D676B2"/>
    <w:rsid w:val="00D677A2"/>
    <w:rsid w:val="00D701C4"/>
    <w:rsid w:val="00D70A5F"/>
    <w:rsid w:val="00D70CDF"/>
    <w:rsid w:val="00D70FB0"/>
    <w:rsid w:val="00D72704"/>
    <w:rsid w:val="00D7283E"/>
    <w:rsid w:val="00D72CF2"/>
    <w:rsid w:val="00D72D90"/>
    <w:rsid w:val="00D72FF0"/>
    <w:rsid w:val="00D7346D"/>
    <w:rsid w:val="00D738AD"/>
    <w:rsid w:val="00D74590"/>
    <w:rsid w:val="00D755C5"/>
    <w:rsid w:val="00D759ED"/>
    <w:rsid w:val="00D760C3"/>
    <w:rsid w:val="00D7799E"/>
    <w:rsid w:val="00D77FC0"/>
    <w:rsid w:val="00D819F2"/>
    <w:rsid w:val="00D82B93"/>
    <w:rsid w:val="00D82FD4"/>
    <w:rsid w:val="00D8312A"/>
    <w:rsid w:val="00D83539"/>
    <w:rsid w:val="00D84113"/>
    <w:rsid w:val="00D8486A"/>
    <w:rsid w:val="00D84F87"/>
    <w:rsid w:val="00D85C1A"/>
    <w:rsid w:val="00D85DA8"/>
    <w:rsid w:val="00D8617B"/>
    <w:rsid w:val="00D86451"/>
    <w:rsid w:val="00D8718F"/>
    <w:rsid w:val="00D87400"/>
    <w:rsid w:val="00D87554"/>
    <w:rsid w:val="00D87973"/>
    <w:rsid w:val="00D87F0D"/>
    <w:rsid w:val="00D902C7"/>
    <w:rsid w:val="00D90715"/>
    <w:rsid w:val="00D908F9"/>
    <w:rsid w:val="00D9113D"/>
    <w:rsid w:val="00D91512"/>
    <w:rsid w:val="00D91661"/>
    <w:rsid w:val="00D92C74"/>
    <w:rsid w:val="00D930AD"/>
    <w:rsid w:val="00D93C8B"/>
    <w:rsid w:val="00D93F5F"/>
    <w:rsid w:val="00D9404F"/>
    <w:rsid w:val="00D94069"/>
    <w:rsid w:val="00D94546"/>
    <w:rsid w:val="00D95679"/>
    <w:rsid w:val="00D95E0B"/>
    <w:rsid w:val="00D963F1"/>
    <w:rsid w:val="00D96D22"/>
    <w:rsid w:val="00D9768D"/>
    <w:rsid w:val="00DA14F8"/>
    <w:rsid w:val="00DA1F3C"/>
    <w:rsid w:val="00DA2A43"/>
    <w:rsid w:val="00DA4760"/>
    <w:rsid w:val="00DA4A14"/>
    <w:rsid w:val="00DA4F25"/>
    <w:rsid w:val="00DA4FB3"/>
    <w:rsid w:val="00DA5DF4"/>
    <w:rsid w:val="00DA6275"/>
    <w:rsid w:val="00DA62AE"/>
    <w:rsid w:val="00DA6CA4"/>
    <w:rsid w:val="00DA74F3"/>
    <w:rsid w:val="00DB02E0"/>
    <w:rsid w:val="00DB06A1"/>
    <w:rsid w:val="00DB095F"/>
    <w:rsid w:val="00DB244C"/>
    <w:rsid w:val="00DB262B"/>
    <w:rsid w:val="00DB2EFE"/>
    <w:rsid w:val="00DB2F95"/>
    <w:rsid w:val="00DB3B82"/>
    <w:rsid w:val="00DB40B2"/>
    <w:rsid w:val="00DB46A1"/>
    <w:rsid w:val="00DB4EFB"/>
    <w:rsid w:val="00DB5299"/>
    <w:rsid w:val="00DB52C6"/>
    <w:rsid w:val="00DB5ACE"/>
    <w:rsid w:val="00DB5CCF"/>
    <w:rsid w:val="00DB75B2"/>
    <w:rsid w:val="00DB75C1"/>
    <w:rsid w:val="00DB7A9E"/>
    <w:rsid w:val="00DB7D4F"/>
    <w:rsid w:val="00DC11B3"/>
    <w:rsid w:val="00DC1329"/>
    <w:rsid w:val="00DC145B"/>
    <w:rsid w:val="00DC146D"/>
    <w:rsid w:val="00DC1AC2"/>
    <w:rsid w:val="00DC1AF8"/>
    <w:rsid w:val="00DC313F"/>
    <w:rsid w:val="00DC389A"/>
    <w:rsid w:val="00DC53CF"/>
    <w:rsid w:val="00DC5DD2"/>
    <w:rsid w:val="00DC607D"/>
    <w:rsid w:val="00DC72D8"/>
    <w:rsid w:val="00DC776D"/>
    <w:rsid w:val="00DC7B14"/>
    <w:rsid w:val="00DD0E0D"/>
    <w:rsid w:val="00DD1E3D"/>
    <w:rsid w:val="00DD2403"/>
    <w:rsid w:val="00DD2A82"/>
    <w:rsid w:val="00DD2FC5"/>
    <w:rsid w:val="00DD49CC"/>
    <w:rsid w:val="00DD4F6A"/>
    <w:rsid w:val="00DD5325"/>
    <w:rsid w:val="00DD532E"/>
    <w:rsid w:val="00DD56E3"/>
    <w:rsid w:val="00DD5A1A"/>
    <w:rsid w:val="00DD5B9F"/>
    <w:rsid w:val="00DD6C01"/>
    <w:rsid w:val="00DE0A98"/>
    <w:rsid w:val="00DE100E"/>
    <w:rsid w:val="00DE10DF"/>
    <w:rsid w:val="00DE1595"/>
    <w:rsid w:val="00DE1FA0"/>
    <w:rsid w:val="00DE26FC"/>
    <w:rsid w:val="00DE31B7"/>
    <w:rsid w:val="00DE399D"/>
    <w:rsid w:val="00DE3A3E"/>
    <w:rsid w:val="00DE3AED"/>
    <w:rsid w:val="00DE6348"/>
    <w:rsid w:val="00DE66CF"/>
    <w:rsid w:val="00DE7924"/>
    <w:rsid w:val="00DF0BCB"/>
    <w:rsid w:val="00DF1869"/>
    <w:rsid w:val="00DF1990"/>
    <w:rsid w:val="00DF1BFA"/>
    <w:rsid w:val="00DF1CA3"/>
    <w:rsid w:val="00DF21EB"/>
    <w:rsid w:val="00DF22DA"/>
    <w:rsid w:val="00DF24FD"/>
    <w:rsid w:val="00DF5125"/>
    <w:rsid w:val="00DF577E"/>
    <w:rsid w:val="00DF5B76"/>
    <w:rsid w:val="00DF5BDB"/>
    <w:rsid w:val="00DF5BE2"/>
    <w:rsid w:val="00DF6425"/>
    <w:rsid w:val="00DF6E1B"/>
    <w:rsid w:val="00DF6EAD"/>
    <w:rsid w:val="00DF7405"/>
    <w:rsid w:val="00DF7F25"/>
    <w:rsid w:val="00E004D4"/>
    <w:rsid w:val="00E00D2C"/>
    <w:rsid w:val="00E00F43"/>
    <w:rsid w:val="00E01225"/>
    <w:rsid w:val="00E022F5"/>
    <w:rsid w:val="00E024F0"/>
    <w:rsid w:val="00E026B7"/>
    <w:rsid w:val="00E02766"/>
    <w:rsid w:val="00E033A0"/>
    <w:rsid w:val="00E034EA"/>
    <w:rsid w:val="00E0369F"/>
    <w:rsid w:val="00E04510"/>
    <w:rsid w:val="00E0467A"/>
    <w:rsid w:val="00E0536F"/>
    <w:rsid w:val="00E05D85"/>
    <w:rsid w:val="00E06089"/>
    <w:rsid w:val="00E0618A"/>
    <w:rsid w:val="00E07470"/>
    <w:rsid w:val="00E07D83"/>
    <w:rsid w:val="00E10192"/>
    <w:rsid w:val="00E1052C"/>
    <w:rsid w:val="00E109FD"/>
    <w:rsid w:val="00E1125C"/>
    <w:rsid w:val="00E11887"/>
    <w:rsid w:val="00E11ACC"/>
    <w:rsid w:val="00E12310"/>
    <w:rsid w:val="00E135A5"/>
    <w:rsid w:val="00E13ABA"/>
    <w:rsid w:val="00E1419A"/>
    <w:rsid w:val="00E14634"/>
    <w:rsid w:val="00E1564E"/>
    <w:rsid w:val="00E16CBC"/>
    <w:rsid w:val="00E20A5A"/>
    <w:rsid w:val="00E22130"/>
    <w:rsid w:val="00E227FE"/>
    <w:rsid w:val="00E22C0B"/>
    <w:rsid w:val="00E23B1B"/>
    <w:rsid w:val="00E244D5"/>
    <w:rsid w:val="00E245BA"/>
    <w:rsid w:val="00E250AD"/>
    <w:rsid w:val="00E2601D"/>
    <w:rsid w:val="00E262BC"/>
    <w:rsid w:val="00E2638F"/>
    <w:rsid w:val="00E268B3"/>
    <w:rsid w:val="00E26E16"/>
    <w:rsid w:val="00E27AFF"/>
    <w:rsid w:val="00E27F3E"/>
    <w:rsid w:val="00E312FE"/>
    <w:rsid w:val="00E31EF9"/>
    <w:rsid w:val="00E324E0"/>
    <w:rsid w:val="00E325ED"/>
    <w:rsid w:val="00E32B54"/>
    <w:rsid w:val="00E32EAC"/>
    <w:rsid w:val="00E3323E"/>
    <w:rsid w:val="00E33DA6"/>
    <w:rsid w:val="00E33DC2"/>
    <w:rsid w:val="00E3487F"/>
    <w:rsid w:val="00E3542E"/>
    <w:rsid w:val="00E36805"/>
    <w:rsid w:val="00E36BA2"/>
    <w:rsid w:val="00E379AC"/>
    <w:rsid w:val="00E37B9E"/>
    <w:rsid w:val="00E37D13"/>
    <w:rsid w:val="00E37DE6"/>
    <w:rsid w:val="00E37F1A"/>
    <w:rsid w:val="00E40F48"/>
    <w:rsid w:val="00E411D7"/>
    <w:rsid w:val="00E41464"/>
    <w:rsid w:val="00E41490"/>
    <w:rsid w:val="00E415FA"/>
    <w:rsid w:val="00E41714"/>
    <w:rsid w:val="00E41D48"/>
    <w:rsid w:val="00E420B6"/>
    <w:rsid w:val="00E42DCD"/>
    <w:rsid w:val="00E434FC"/>
    <w:rsid w:val="00E43AFC"/>
    <w:rsid w:val="00E444F9"/>
    <w:rsid w:val="00E447A5"/>
    <w:rsid w:val="00E44D1E"/>
    <w:rsid w:val="00E453E3"/>
    <w:rsid w:val="00E50654"/>
    <w:rsid w:val="00E52579"/>
    <w:rsid w:val="00E527F3"/>
    <w:rsid w:val="00E528CD"/>
    <w:rsid w:val="00E538E9"/>
    <w:rsid w:val="00E53951"/>
    <w:rsid w:val="00E53B99"/>
    <w:rsid w:val="00E54992"/>
    <w:rsid w:val="00E54D47"/>
    <w:rsid w:val="00E552E7"/>
    <w:rsid w:val="00E55596"/>
    <w:rsid w:val="00E55805"/>
    <w:rsid w:val="00E55CEF"/>
    <w:rsid w:val="00E566C5"/>
    <w:rsid w:val="00E566F9"/>
    <w:rsid w:val="00E56FA1"/>
    <w:rsid w:val="00E57081"/>
    <w:rsid w:val="00E578DF"/>
    <w:rsid w:val="00E57A14"/>
    <w:rsid w:val="00E60790"/>
    <w:rsid w:val="00E607BA"/>
    <w:rsid w:val="00E614B1"/>
    <w:rsid w:val="00E61C07"/>
    <w:rsid w:val="00E6225C"/>
    <w:rsid w:val="00E6409E"/>
    <w:rsid w:val="00E6424C"/>
    <w:rsid w:val="00E64806"/>
    <w:rsid w:val="00E663A2"/>
    <w:rsid w:val="00E703EE"/>
    <w:rsid w:val="00E71BAD"/>
    <w:rsid w:val="00E71E10"/>
    <w:rsid w:val="00E721A3"/>
    <w:rsid w:val="00E7288B"/>
    <w:rsid w:val="00E737AD"/>
    <w:rsid w:val="00E73F55"/>
    <w:rsid w:val="00E75CFA"/>
    <w:rsid w:val="00E75DAC"/>
    <w:rsid w:val="00E76197"/>
    <w:rsid w:val="00E76BA7"/>
    <w:rsid w:val="00E77160"/>
    <w:rsid w:val="00E7784A"/>
    <w:rsid w:val="00E77CBA"/>
    <w:rsid w:val="00E77D48"/>
    <w:rsid w:val="00E77F7E"/>
    <w:rsid w:val="00E801F4"/>
    <w:rsid w:val="00E81319"/>
    <w:rsid w:val="00E81353"/>
    <w:rsid w:val="00E81857"/>
    <w:rsid w:val="00E81E39"/>
    <w:rsid w:val="00E82332"/>
    <w:rsid w:val="00E8271B"/>
    <w:rsid w:val="00E831C0"/>
    <w:rsid w:val="00E838F0"/>
    <w:rsid w:val="00E8596F"/>
    <w:rsid w:val="00E86558"/>
    <w:rsid w:val="00E8685D"/>
    <w:rsid w:val="00E87E04"/>
    <w:rsid w:val="00E87E55"/>
    <w:rsid w:val="00E90124"/>
    <w:rsid w:val="00E9013C"/>
    <w:rsid w:val="00E90665"/>
    <w:rsid w:val="00E918A0"/>
    <w:rsid w:val="00E925DC"/>
    <w:rsid w:val="00E92D96"/>
    <w:rsid w:val="00E9361C"/>
    <w:rsid w:val="00E93DA2"/>
    <w:rsid w:val="00E94344"/>
    <w:rsid w:val="00E9452A"/>
    <w:rsid w:val="00E9476C"/>
    <w:rsid w:val="00E947F0"/>
    <w:rsid w:val="00E9500D"/>
    <w:rsid w:val="00E95A1B"/>
    <w:rsid w:val="00E9607E"/>
    <w:rsid w:val="00E96756"/>
    <w:rsid w:val="00E9688B"/>
    <w:rsid w:val="00E975B0"/>
    <w:rsid w:val="00E97705"/>
    <w:rsid w:val="00E97F5B"/>
    <w:rsid w:val="00EA0485"/>
    <w:rsid w:val="00EA148F"/>
    <w:rsid w:val="00EA25C5"/>
    <w:rsid w:val="00EA2A7D"/>
    <w:rsid w:val="00EA2E4E"/>
    <w:rsid w:val="00EA3854"/>
    <w:rsid w:val="00EA534A"/>
    <w:rsid w:val="00EA560D"/>
    <w:rsid w:val="00EA5D42"/>
    <w:rsid w:val="00EA5E9D"/>
    <w:rsid w:val="00EA6172"/>
    <w:rsid w:val="00EA6E64"/>
    <w:rsid w:val="00EA6E65"/>
    <w:rsid w:val="00EA735D"/>
    <w:rsid w:val="00EA738E"/>
    <w:rsid w:val="00EB0050"/>
    <w:rsid w:val="00EB12C3"/>
    <w:rsid w:val="00EB19FE"/>
    <w:rsid w:val="00EB331F"/>
    <w:rsid w:val="00EB4170"/>
    <w:rsid w:val="00EB4C9E"/>
    <w:rsid w:val="00EB721E"/>
    <w:rsid w:val="00EB74BC"/>
    <w:rsid w:val="00EB75A4"/>
    <w:rsid w:val="00EC0219"/>
    <w:rsid w:val="00EC0AE8"/>
    <w:rsid w:val="00EC0E7D"/>
    <w:rsid w:val="00EC103F"/>
    <w:rsid w:val="00EC1F31"/>
    <w:rsid w:val="00EC2C98"/>
    <w:rsid w:val="00EC3FEE"/>
    <w:rsid w:val="00EC5298"/>
    <w:rsid w:val="00EC6321"/>
    <w:rsid w:val="00EC63A0"/>
    <w:rsid w:val="00EC6735"/>
    <w:rsid w:val="00EC68F1"/>
    <w:rsid w:val="00EC69B0"/>
    <w:rsid w:val="00EC6D89"/>
    <w:rsid w:val="00EC7036"/>
    <w:rsid w:val="00EC7F53"/>
    <w:rsid w:val="00ED08C2"/>
    <w:rsid w:val="00ED13E2"/>
    <w:rsid w:val="00ED1500"/>
    <w:rsid w:val="00ED19D3"/>
    <w:rsid w:val="00ED1CD5"/>
    <w:rsid w:val="00ED2351"/>
    <w:rsid w:val="00ED2E55"/>
    <w:rsid w:val="00ED3063"/>
    <w:rsid w:val="00ED3178"/>
    <w:rsid w:val="00ED3BA4"/>
    <w:rsid w:val="00ED3F79"/>
    <w:rsid w:val="00ED450D"/>
    <w:rsid w:val="00ED469A"/>
    <w:rsid w:val="00ED46E7"/>
    <w:rsid w:val="00ED47AA"/>
    <w:rsid w:val="00ED50BA"/>
    <w:rsid w:val="00ED5379"/>
    <w:rsid w:val="00ED575A"/>
    <w:rsid w:val="00ED583D"/>
    <w:rsid w:val="00ED5A72"/>
    <w:rsid w:val="00ED5F59"/>
    <w:rsid w:val="00ED6445"/>
    <w:rsid w:val="00ED658E"/>
    <w:rsid w:val="00ED65E7"/>
    <w:rsid w:val="00ED66A5"/>
    <w:rsid w:val="00ED6C6B"/>
    <w:rsid w:val="00ED735A"/>
    <w:rsid w:val="00EE0E0D"/>
    <w:rsid w:val="00EE19C8"/>
    <w:rsid w:val="00EE25DB"/>
    <w:rsid w:val="00EE32FC"/>
    <w:rsid w:val="00EE3741"/>
    <w:rsid w:val="00EE3AD9"/>
    <w:rsid w:val="00EE4BF4"/>
    <w:rsid w:val="00EE578A"/>
    <w:rsid w:val="00EE5B25"/>
    <w:rsid w:val="00EE659C"/>
    <w:rsid w:val="00EE7882"/>
    <w:rsid w:val="00EF12A9"/>
    <w:rsid w:val="00EF1D70"/>
    <w:rsid w:val="00EF3680"/>
    <w:rsid w:val="00EF3D72"/>
    <w:rsid w:val="00EF3F6B"/>
    <w:rsid w:val="00EF4C82"/>
    <w:rsid w:val="00EF60A8"/>
    <w:rsid w:val="00EF68D2"/>
    <w:rsid w:val="00EF6E03"/>
    <w:rsid w:val="00EF6E7E"/>
    <w:rsid w:val="00EF7BD5"/>
    <w:rsid w:val="00EF7C57"/>
    <w:rsid w:val="00F00895"/>
    <w:rsid w:val="00F00A8A"/>
    <w:rsid w:val="00F00B6A"/>
    <w:rsid w:val="00F01725"/>
    <w:rsid w:val="00F02057"/>
    <w:rsid w:val="00F02074"/>
    <w:rsid w:val="00F022D3"/>
    <w:rsid w:val="00F026B4"/>
    <w:rsid w:val="00F04310"/>
    <w:rsid w:val="00F057E6"/>
    <w:rsid w:val="00F05CEE"/>
    <w:rsid w:val="00F0671B"/>
    <w:rsid w:val="00F06A6F"/>
    <w:rsid w:val="00F06DFB"/>
    <w:rsid w:val="00F0711D"/>
    <w:rsid w:val="00F07184"/>
    <w:rsid w:val="00F07255"/>
    <w:rsid w:val="00F0735A"/>
    <w:rsid w:val="00F07507"/>
    <w:rsid w:val="00F07F3A"/>
    <w:rsid w:val="00F108B6"/>
    <w:rsid w:val="00F1116B"/>
    <w:rsid w:val="00F11C5B"/>
    <w:rsid w:val="00F11D54"/>
    <w:rsid w:val="00F12F1C"/>
    <w:rsid w:val="00F136F3"/>
    <w:rsid w:val="00F138A2"/>
    <w:rsid w:val="00F154BA"/>
    <w:rsid w:val="00F157AD"/>
    <w:rsid w:val="00F15965"/>
    <w:rsid w:val="00F15B02"/>
    <w:rsid w:val="00F17B8A"/>
    <w:rsid w:val="00F20326"/>
    <w:rsid w:val="00F21268"/>
    <w:rsid w:val="00F21C75"/>
    <w:rsid w:val="00F222AA"/>
    <w:rsid w:val="00F224A4"/>
    <w:rsid w:val="00F232AB"/>
    <w:rsid w:val="00F23511"/>
    <w:rsid w:val="00F25D83"/>
    <w:rsid w:val="00F26958"/>
    <w:rsid w:val="00F26E40"/>
    <w:rsid w:val="00F27537"/>
    <w:rsid w:val="00F27B51"/>
    <w:rsid w:val="00F30095"/>
    <w:rsid w:val="00F309C1"/>
    <w:rsid w:val="00F30B51"/>
    <w:rsid w:val="00F30C81"/>
    <w:rsid w:val="00F310DE"/>
    <w:rsid w:val="00F31A51"/>
    <w:rsid w:val="00F31D8F"/>
    <w:rsid w:val="00F31DB7"/>
    <w:rsid w:val="00F32EFE"/>
    <w:rsid w:val="00F3302A"/>
    <w:rsid w:val="00F340F2"/>
    <w:rsid w:val="00F34705"/>
    <w:rsid w:val="00F35057"/>
    <w:rsid w:val="00F35087"/>
    <w:rsid w:val="00F35997"/>
    <w:rsid w:val="00F36B6A"/>
    <w:rsid w:val="00F36BD0"/>
    <w:rsid w:val="00F36E2D"/>
    <w:rsid w:val="00F37226"/>
    <w:rsid w:val="00F37C52"/>
    <w:rsid w:val="00F37E4B"/>
    <w:rsid w:val="00F4020C"/>
    <w:rsid w:val="00F40301"/>
    <w:rsid w:val="00F40CB6"/>
    <w:rsid w:val="00F413AF"/>
    <w:rsid w:val="00F41C65"/>
    <w:rsid w:val="00F434EA"/>
    <w:rsid w:val="00F449D3"/>
    <w:rsid w:val="00F45107"/>
    <w:rsid w:val="00F4515C"/>
    <w:rsid w:val="00F45787"/>
    <w:rsid w:val="00F465BB"/>
    <w:rsid w:val="00F46BC2"/>
    <w:rsid w:val="00F47601"/>
    <w:rsid w:val="00F50254"/>
    <w:rsid w:val="00F507A2"/>
    <w:rsid w:val="00F50DB1"/>
    <w:rsid w:val="00F51283"/>
    <w:rsid w:val="00F51EE1"/>
    <w:rsid w:val="00F524ED"/>
    <w:rsid w:val="00F52AE7"/>
    <w:rsid w:val="00F5362C"/>
    <w:rsid w:val="00F536EC"/>
    <w:rsid w:val="00F53D19"/>
    <w:rsid w:val="00F5409A"/>
    <w:rsid w:val="00F54B39"/>
    <w:rsid w:val="00F557CC"/>
    <w:rsid w:val="00F55D41"/>
    <w:rsid w:val="00F55E94"/>
    <w:rsid w:val="00F55F87"/>
    <w:rsid w:val="00F56415"/>
    <w:rsid w:val="00F566B6"/>
    <w:rsid w:val="00F56AFF"/>
    <w:rsid w:val="00F57323"/>
    <w:rsid w:val="00F6097A"/>
    <w:rsid w:val="00F60A39"/>
    <w:rsid w:val="00F61856"/>
    <w:rsid w:val="00F62472"/>
    <w:rsid w:val="00F63E22"/>
    <w:rsid w:val="00F64E1A"/>
    <w:rsid w:val="00F65436"/>
    <w:rsid w:val="00F654E4"/>
    <w:rsid w:val="00F656A8"/>
    <w:rsid w:val="00F6584B"/>
    <w:rsid w:val="00F65873"/>
    <w:rsid w:val="00F658BD"/>
    <w:rsid w:val="00F70247"/>
    <w:rsid w:val="00F70F0A"/>
    <w:rsid w:val="00F7104B"/>
    <w:rsid w:val="00F71D08"/>
    <w:rsid w:val="00F731A6"/>
    <w:rsid w:val="00F73A6E"/>
    <w:rsid w:val="00F73C83"/>
    <w:rsid w:val="00F74BCE"/>
    <w:rsid w:val="00F759BE"/>
    <w:rsid w:val="00F760C4"/>
    <w:rsid w:val="00F76775"/>
    <w:rsid w:val="00F770B1"/>
    <w:rsid w:val="00F80FAB"/>
    <w:rsid w:val="00F828B8"/>
    <w:rsid w:val="00F82CD3"/>
    <w:rsid w:val="00F83E74"/>
    <w:rsid w:val="00F84369"/>
    <w:rsid w:val="00F85DC4"/>
    <w:rsid w:val="00F8615D"/>
    <w:rsid w:val="00F866F6"/>
    <w:rsid w:val="00F87D20"/>
    <w:rsid w:val="00F87D90"/>
    <w:rsid w:val="00F92014"/>
    <w:rsid w:val="00F92224"/>
    <w:rsid w:val="00F927C5"/>
    <w:rsid w:val="00F928DD"/>
    <w:rsid w:val="00F92D72"/>
    <w:rsid w:val="00F93D19"/>
    <w:rsid w:val="00F950A0"/>
    <w:rsid w:val="00F96549"/>
    <w:rsid w:val="00F96C32"/>
    <w:rsid w:val="00F97877"/>
    <w:rsid w:val="00FA049D"/>
    <w:rsid w:val="00FA07D7"/>
    <w:rsid w:val="00FA167E"/>
    <w:rsid w:val="00FA1AB4"/>
    <w:rsid w:val="00FA1DF3"/>
    <w:rsid w:val="00FA1EFE"/>
    <w:rsid w:val="00FA25D8"/>
    <w:rsid w:val="00FA299A"/>
    <w:rsid w:val="00FA3C6F"/>
    <w:rsid w:val="00FA3CED"/>
    <w:rsid w:val="00FA4E7B"/>
    <w:rsid w:val="00FA5314"/>
    <w:rsid w:val="00FA5B31"/>
    <w:rsid w:val="00FA60DA"/>
    <w:rsid w:val="00FA6D3A"/>
    <w:rsid w:val="00FA7BE2"/>
    <w:rsid w:val="00FA7FCE"/>
    <w:rsid w:val="00FB0AD6"/>
    <w:rsid w:val="00FB0CBE"/>
    <w:rsid w:val="00FB1384"/>
    <w:rsid w:val="00FB1724"/>
    <w:rsid w:val="00FB19E0"/>
    <w:rsid w:val="00FB1ECB"/>
    <w:rsid w:val="00FB29B6"/>
    <w:rsid w:val="00FB2B65"/>
    <w:rsid w:val="00FB3726"/>
    <w:rsid w:val="00FB3874"/>
    <w:rsid w:val="00FB3B73"/>
    <w:rsid w:val="00FB4169"/>
    <w:rsid w:val="00FB431C"/>
    <w:rsid w:val="00FB464E"/>
    <w:rsid w:val="00FB4ECF"/>
    <w:rsid w:val="00FB613A"/>
    <w:rsid w:val="00FB622B"/>
    <w:rsid w:val="00FB6F96"/>
    <w:rsid w:val="00FB757E"/>
    <w:rsid w:val="00FC01C1"/>
    <w:rsid w:val="00FC23B1"/>
    <w:rsid w:val="00FC2821"/>
    <w:rsid w:val="00FC3287"/>
    <w:rsid w:val="00FC32A4"/>
    <w:rsid w:val="00FC336C"/>
    <w:rsid w:val="00FC339B"/>
    <w:rsid w:val="00FC3A51"/>
    <w:rsid w:val="00FC50A0"/>
    <w:rsid w:val="00FC63CF"/>
    <w:rsid w:val="00FC6D0E"/>
    <w:rsid w:val="00FC6DD4"/>
    <w:rsid w:val="00FC7431"/>
    <w:rsid w:val="00FD03EA"/>
    <w:rsid w:val="00FD0490"/>
    <w:rsid w:val="00FD0D5E"/>
    <w:rsid w:val="00FD0EE2"/>
    <w:rsid w:val="00FD1589"/>
    <w:rsid w:val="00FD1B21"/>
    <w:rsid w:val="00FD1E3F"/>
    <w:rsid w:val="00FD2924"/>
    <w:rsid w:val="00FD2A65"/>
    <w:rsid w:val="00FD37E2"/>
    <w:rsid w:val="00FD4906"/>
    <w:rsid w:val="00FD58D3"/>
    <w:rsid w:val="00FD5D1C"/>
    <w:rsid w:val="00FD5D55"/>
    <w:rsid w:val="00FD65C3"/>
    <w:rsid w:val="00FD6CD9"/>
    <w:rsid w:val="00FD778F"/>
    <w:rsid w:val="00FE01CA"/>
    <w:rsid w:val="00FE0C8E"/>
    <w:rsid w:val="00FE0FE5"/>
    <w:rsid w:val="00FE213D"/>
    <w:rsid w:val="00FE2437"/>
    <w:rsid w:val="00FE2D93"/>
    <w:rsid w:val="00FE40AE"/>
    <w:rsid w:val="00FE42F9"/>
    <w:rsid w:val="00FE4544"/>
    <w:rsid w:val="00FE4A5A"/>
    <w:rsid w:val="00FE4BF4"/>
    <w:rsid w:val="00FE517B"/>
    <w:rsid w:val="00FE5227"/>
    <w:rsid w:val="00FE529A"/>
    <w:rsid w:val="00FE52AF"/>
    <w:rsid w:val="00FE5569"/>
    <w:rsid w:val="00FE5DAA"/>
    <w:rsid w:val="00FE683B"/>
    <w:rsid w:val="00FE7FC7"/>
    <w:rsid w:val="00FF100B"/>
    <w:rsid w:val="00FF209F"/>
    <w:rsid w:val="00FF2121"/>
    <w:rsid w:val="00FF294C"/>
    <w:rsid w:val="00FF33F6"/>
    <w:rsid w:val="00FF4C1F"/>
    <w:rsid w:val="00FF5458"/>
    <w:rsid w:val="00FF5A43"/>
    <w:rsid w:val="00FF5A93"/>
    <w:rsid w:val="00FF5CE1"/>
    <w:rsid w:val="00FF5E03"/>
    <w:rsid w:val="00FF7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457437"/>
    <w:pPr>
      <w:widowControl w:val="0"/>
      <w:adjustRightInd w:val="0"/>
      <w:spacing w:line="360" w:lineRule="atLeast"/>
      <w:jc w:val="both"/>
      <w:textAlignment w:val="baseline"/>
    </w:pPr>
    <w:rPr>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character" w:customStyle="1" w:styleId="MIRPenaltyChar">
    <w:name w:val="MIR Penalty Char"/>
    <w:basedOn w:val="DefaultParagraphFont"/>
    <w:link w:val="MIRPenalty"/>
    <w:rsid w:val="00A36CF4"/>
    <w:rPr>
      <w:sz w:val="22"/>
      <w:szCs w:val="22"/>
      <w:lang w:val="en-GB"/>
    </w:rPr>
  </w:style>
  <w:style w:type="character" w:customStyle="1" w:styleId="MIRNoteChar">
    <w:name w:val="MIR Note Char"/>
    <w:basedOn w:val="DefaultParagraphFont"/>
    <w:link w:val="MIRNote"/>
    <w:rsid w:val="00A36CF4"/>
    <w:rPr>
      <w:sz w:val="18"/>
      <w:szCs w:val="22"/>
      <w:lang w:eastAsia="en-US"/>
    </w:rPr>
  </w:style>
  <w:style w:type="paragraph" w:customStyle="1" w:styleId="MIRHeading4Rule">
    <w:name w:val="MIR Heading 4 (Rule)"/>
    <w:basedOn w:val="Heading3"/>
    <w:next w:val="MIRBodyText"/>
    <w:link w:val="MIRHeading4RuleChar"/>
    <w:qFormat/>
    <w:rsid w:val="00A36CF4"/>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A36CF4"/>
    <w:rPr>
      <w:rFonts w:ascii="Arial" w:hAnsi="Arial" w:cs="Arial"/>
      <w:b/>
      <w:sz w:val="24"/>
      <w:szCs w:val="24"/>
    </w:rPr>
  </w:style>
  <w:style w:type="paragraph" w:customStyle="1" w:styleId="MIRHeading3Part">
    <w:name w:val="MIR Heading 3 (Part)"/>
    <w:basedOn w:val="Heading2"/>
    <w:next w:val="MIRHeading4Rule"/>
    <w:link w:val="MIRHeading3PartChar"/>
    <w:qFormat/>
    <w:rsid w:val="00A36CF4"/>
    <w:pPr>
      <w:widowControl/>
      <w:tabs>
        <w:tab w:val="left" w:pos="851"/>
      </w:tabs>
      <w:adjustRightInd/>
      <w:spacing w:before="480"/>
      <w:ind w:left="1134" w:hanging="1134"/>
      <w:jc w:val="left"/>
      <w:textAlignment w:val="auto"/>
    </w:pPr>
    <w:rPr>
      <w:rFonts w:cs="Arial"/>
      <w:lang w:eastAsia="en-AU"/>
    </w:rPr>
  </w:style>
  <w:style w:type="character" w:customStyle="1" w:styleId="MIRHeading3PartChar">
    <w:name w:val="MIR Heading 3 (Part) Char"/>
    <w:basedOn w:val="DefaultParagraphFont"/>
    <w:link w:val="MIRHeading3Part"/>
    <w:rsid w:val="00A36CF4"/>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A36CF4"/>
    <w:pPr>
      <w:keepNext/>
      <w:pageBreakBefore/>
      <w:widowControl/>
      <w:adjustRightInd/>
      <w:spacing w:line="280" w:lineRule="atLeast"/>
      <w:jc w:val="left"/>
      <w:textAlignment w:val="auto"/>
      <w:outlineLvl w:val="0"/>
    </w:pPr>
    <w:rPr>
      <w:rFonts w:ascii="Arial" w:hAnsi="Arial" w:cs="Arial"/>
      <w:b/>
      <w:kern w:val="28"/>
      <w:sz w:val="36"/>
      <w:szCs w:val="36"/>
      <w:lang w:eastAsia="en-AU"/>
    </w:rPr>
  </w:style>
  <w:style w:type="character" w:customStyle="1" w:styleId="MIRHeading2ChapterChar">
    <w:name w:val="MIR Heading 2 (Chapter) Char"/>
    <w:basedOn w:val="DefaultParagraphFont"/>
    <w:link w:val="MIRHeading2Chapter"/>
    <w:rsid w:val="00A36CF4"/>
    <w:rPr>
      <w:rFonts w:ascii="Arial" w:hAnsi="Arial" w:cs="Arial"/>
      <w:b/>
      <w:kern w:val="28"/>
      <w:sz w:val="36"/>
      <w:szCs w:val="36"/>
    </w:rPr>
  </w:style>
  <w:style w:type="paragraph" w:customStyle="1" w:styleId="Body">
    <w:name w:val="Body"/>
    <w:aliases w:val="b"/>
    <w:basedOn w:val="Normal"/>
    <w:rsid w:val="000B36B4"/>
    <w:pPr>
      <w:widowControl/>
      <w:adjustRightInd/>
      <w:spacing w:before="240" w:line="240" w:lineRule="auto"/>
      <w:jc w:val="left"/>
      <w:textAlignment w:val="auto"/>
    </w:pPr>
    <w:rPr>
      <w:szCs w:val="20"/>
      <w:lang w:eastAsia="en-AU"/>
    </w:rPr>
  </w:style>
  <w:style w:type="paragraph" w:customStyle="1" w:styleId="BodyNum">
    <w:name w:val="BodyNum"/>
    <w:aliases w:val="b1"/>
    <w:basedOn w:val="Normal"/>
    <w:rsid w:val="000B36B4"/>
    <w:pPr>
      <w:widowControl/>
      <w:numPr>
        <w:numId w:val="21"/>
      </w:numPr>
      <w:adjustRightInd/>
      <w:spacing w:before="240" w:line="240" w:lineRule="auto"/>
      <w:jc w:val="left"/>
      <w:textAlignment w:val="auto"/>
    </w:pPr>
    <w:rPr>
      <w:szCs w:val="20"/>
      <w:lang w:eastAsia="en-AU"/>
    </w:rPr>
  </w:style>
  <w:style w:type="paragraph" w:customStyle="1" w:styleId="BodyPara">
    <w:name w:val="BodyPara"/>
    <w:aliases w:val="ba"/>
    <w:basedOn w:val="Normal"/>
    <w:rsid w:val="000B36B4"/>
    <w:pPr>
      <w:widowControl/>
      <w:numPr>
        <w:ilvl w:val="1"/>
        <w:numId w:val="21"/>
      </w:numPr>
      <w:adjustRightInd/>
      <w:spacing w:before="240" w:line="240" w:lineRule="auto"/>
      <w:jc w:val="left"/>
      <w:textAlignment w:val="auto"/>
    </w:pPr>
    <w:rPr>
      <w:szCs w:val="20"/>
      <w:lang w:eastAsia="en-AU"/>
    </w:rPr>
  </w:style>
  <w:style w:type="paragraph" w:customStyle="1" w:styleId="BodyParaBullet">
    <w:name w:val="BodyParaBullet"/>
    <w:aliases w:val="bpb"/>
    <w:basedOn w:val="Normal"/>
    <w:rsid w:val="000B36B4"/>
    <w:pPr>
      <w:widowControl/>
      <w:numPr>
        <w:ilvl w:val="2"/>
        <w:numId w:val="21"/>
      </w:numPr>
      <w:tabs>
        <w:tab w:val="left" w:pos="2160"/>
      </w:tabs>
      <w:adjustRightInd/>
      <w:spacing w:before="240" w:line="240" w:lineRule="auto"/>
      <w:jc w:val="left"/>
      <w:textAlignment w:val="auto"/>
    </w:pPr>
    <w:rPr>
      <w:szCs w:val="20"/>
      <w:lang w:eastAsia="en-AU"/>
    </w:rPr>
  </w:style>
  <w:style w:type="paragraph" w:customStyle="1" w:styleId="BodySubPara">
    <w:name w:val="BodySubPara"/>
    <w:aliases w:val="bi"/>
    <w:basedOn w:val="Normal"/>
    <w:rsid w:val="000B36B4"/>
    <w:pPr>
      <w:widowControl/>
      <w:numPr>
        <w:ilvl w:val="3"/>
        <w:numId w:val="21"/>
      </w:numPr>
      <w:adjustRightInd/>
      <w:spacing w:before="240" w:line="240" w:lineRule="auto"/>
      <w:jc w:val="left"/>
      <w:textAlignment w:val="auto"/>
    </w:pPr>
    <w:rPr>
      <w:szCs w:val="20"/>
      <w:lang w:eastAsia="en-AU"/>
    </w:rPr>
  </w:style>
  <w:style w:type="numbering" w:customStyle="1" w:styleId="OPCBodyList">
    <w:name w:val="OPCBodyList"/>
    <w:uiPriority w:val="99"/>
    <w:rsid w:val="000B36B4"/>
    <w:pPr>
      <w:numPr>
        <w:numId w:val="21"/>
      </w:numPr>
    </w:pPr>
  </w:style>
  <w:style w:type="paragraph" w:customStyle="1" w:styleId="MIRsubsubsubpara">
    <w:name w:val="MIR subsubsubpara"/>
    <w:basedOn w:val="subsubparai"/>
    <w:qFormat/>
    <w:rsid w:val="00E9476C"/>
    <w:pPr>
      <w:widowControl/>
      <w:numPr>
        <w:ilvl w:val="0"/>
        <w:numId w:val="0"/>
      </w:numPr>
      <w:tabs>
        <w:tab w:val="num" w:pos="2126"/>
      </w:tabs>
      <w:adjustRightInd/>
      <w:ind w:left="2126" w:hanging="425"/>
      <w:jc w:val="left"/>
      <w:textAlignment w:val="auto"/>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457437"/>
    <w:pPr>
      <w:widowControl w:val="0"/>
      <w:adjustRightInd w:val="0"/>
      <w:spacing w:line="360" w:lineRule="atLeast"/>
      <w:jc w:val="both"/>
      <w:textAlignment w:val="baseline"/>
    </w:pPr>
    <w:rPr>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character" w:customStyle="1" w:styleId="MIRPenaltyChar">
    <w:name w:val="MIR Penalty Char"/>
    <w:basedOn w:val="DefaultParagraphFont"/>
    <w:link w:val="MIRPenalty"/>
    <w:rsid w:val="00A36CF4"/>
    <w:rPr>
      <w:sz w:val="22"/>
      <w:szCs w:val="22"/>
      <w:lang w:val="en-GB"/>
    </w:rPr>
  </w:style>
  <w:style w:type="character" w:customStyle="1" w:styleId="MIRNoteChar">
    <w:name w:val="MIR Note Char"/>
    <w:basedOn w:val="DefaultParagraphFont"/>
    <w:link w:val="MIRNote"/>
    <w:rsid w:val="00A36CF4"/>
    <w:rPr>
      <w:sz w:val="18"/>
      <w:szCs w:val="22"/>
      <w:lang w:eastAsia="en-US"/>
    </w:rPr>
  </w:style>
  <w:style w:type="paragraph" w:customStyle="1" w:styleId="MIRHeading4Rule">
    <w:name w:val="MIR Heading 4 (Rule)"/>
    <w:basedOn w:val="Heading3"/>
    <w:next w:val="MIRBodyText"/>
    <w:link w:val="MIRHeading4RuleChar"/>
    <w:qFormat/>
    <w:rsid w:val="00A36CF4"/>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A36CF4"/>
    <w:rPr>
      <w:rFonts w:ascii="Arial" w:hAnsi="Arial" w:cs="Arial"/>
      <w:b/>
      <w:sz w:val="24"/>
      <w:szCs w:val="24"/>
    </w:rPr>
  </w:style>
  <w:style w:type="paragraph" w:customStyle="1" w:styleId="MIRHeading3Part">
    <w:name w:val="MIR Heading 3 (Part)"/>
    <w:basedOn w:val="Heading2"/>
    <w:next w:val="MIRHeading4Rule"/>
    <w:link w:val="MIRHeading3PartChar"/>
    <w:qFormat/>
    <w:rsid w:val="00A36CF4"/>
    <w:pPr>
      <w:widowControl/>
      <w:tabs>
        <w:tab w:val="left" w:pos="851"/>
      </w:tabs>
      <w:adjustRightInd/>
      <w:spacing w:before="480"/>
      <w:ind w:left="1134" w:hanging="1134"/>
      <w:jc w:val="left"/>
      <w:textAlignment w:val="auto"/>
    </w:pPr>
    <w:rPr>
      <w:rFonts w:cs="Arial"/>
      <w:lang w:eastAsia="en-AU"/>
    </w:rPr>
  </w:style>
  <w:style w:type="character" w:customStyle="1" w:styleId="MIRHeading3PartChar">
    <w:name w:val="MIR Heading 3 (Part) Char"/>
    <w:basedOn w:val="DefaultParagraphFont"/>
    <w:link w:val="MIRHeading3Part"/>
    <w:rsid w:val="00A36CF4"/>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A36CF4"/>
    <w:pPr>
      <w:keepNext/>
      <w:pageBreakBefore/>
      <w:widowControl/>
      <w:adjustRightInd/>
      <w:spacing w:line="280" w:lineRule="atLeast"/>
      <w:jc w:val="left"/>
      <w:textAlignment w:val="auto"/>
      <w:outlineLvl w:val="0"/>
    </w:pPr>
    <w:rPr>
      <w:rFonts w:ascii="Arial" w:hAnsi="Arial" w:cs="Arial"/>
      <w:b/>
      <w:kern w:val="28"/>
      <w:sz w:val="36"/>
      <w:szCs w:val="36"/>
      <w:lang w:eastAsia="en-AU"/>
    </w:rPr>
  </w:style>
  <w:style w:type="character" w:customStyle="1" w:styleId="MIRHeading2ChapterChar">
    <w:name w:val="MIR Heading 2 (Chapter) Char"/>
    <w:basedOn w:val="DefaultParagraphFont"/>
    <w:link w:val="MIRHeading2Chapter"/>
    <w:rsid w:val="00A36CF4"/>
    <w:rPr>
      <w:rFonts w:ascii="Arial" w:hAnsi="Arial" w:cs="Arial"/>
      <w:b/>
      <w:kern w:val="28"/>
      <w:sz w:val="36"/>
      <w:szCs w:val="36"/>
    </w:rPr>
  </w:style>
  <w:style w:type="paragraph" w:customStyle="1" w:styleId="Body">
    <w:name w:val="Body"/>
    <w:aliases w:val="b"/>
    <w:basedOn w:val="Normal"/>
    <w:rsid w:val="000B36B4"/>
    <w:pPr>
      <w:widowControl/>
      <w:adjustRightInd/>
      <w:spacing w:before="240" w:line="240" w:lineRule="auto"/>
      <w:jc w:val="left"/>
      <w:textAlignment w:val="auto"/>
    </w:pPr>
    <w:rPr>
      <w:szCs w:val="20"/>
      <w:lang w:eastAsia="en-AU"/>
    </w:rPr>
  </w:style>
  <w:style w:type="paragraph" w:customStyle="1" w:styleId="BodyNum">
    <w:name w:val="BodyNum"/>
    <w:aliases w:val="b1"/>
    <w:basedOn w:val="Normal"/>
    <w:rsid w:val="000B36B4"/>
    <w:pPr>
      <w:widowControl/>
      <w:numPr>
        <w:numId w:val="21"/>
      </w:numPr>
      <w:adjustRightInd/>
      <w:spacing w:before="240" w:line="240" w:lineRule="auto"/>
      <w:jc w:val="left"/>
      <w:textAlignment w:val="auto"/>
    </w:pPr>
    <w:rPr>
      <w:szCs w:val="20"/>
      <w:lang w:eastAsia="en-AU"/>
    </w:rPr>
  </w:style>
  <w:style w:type="paragraph" w:customStyle="1" w:styleId="BodyPara">
    <w:name w:val="BodyPara"/>
    <w:aliases w:val="ba"/>
    <w:basedOn w:val="Normal"/>
    <w:rsid w:val="000B36B4"/>
    <w:pPr>
      <w:widowControl/>
      <w:numPr>
        <w:ilvl w:val="1"/>
        <w:numId w:val="21"/>
      </w:numPr>
      <w:adjustRightInd/>
      <w:spacing w:before="240" w:line="240" w:lineRule="auto"/>
      <w:jc w:val="left"/>
      <w:textAlignment w:val="auto"/>
    </w:pPr>
    <w:rPr>
      <w:szCs w:val="20"/>
      <w:lang w:eastAsia="en-AU"/>
    </w:rPr>
  </w:style>
  <w:style w:type="paragraph" w:customStyle="1" w:styleId="BodyParaBullet">
    <w:name w:val="BodyParaBullet"/>
    <w:aliases w:val="bpb"/>
    <w:basedOn w:val="Normal"/>
    <w:rsid w:val="000B36B4"/>
    <w:pPr>
      <w:widowControl/>
      <w:numPr>
        <w:ilvl w:val="2"/>
        <w:numId w:val="21"/>
      </w:numPr>
      <w:tabs>
        <w:tab w:val="left" w:pos="2160"/>
      </w:tabs>
      <w:adjustRightInd/>
      <w:spacing w:before="240" w:line="240" w:lineRule="auto"/>
      <w:jc w:val="left"/>
      <w:textAlignment w:val="auto"/>
    </w:pPr>
    <w:rPr>
      <w:szCs w:val="20"/>
      <w:lang w:eastAsia="en-AU"/>
    </w:rPr>
  </w:style>
  <w:style w:type="paragraph" w:customStyle="1" w:styleId="BodySubPara">
    <w:name w:val="BodySubPara"/>
    <w:aliases w:val="bi"/>
    <w:basedOn w:val="Normal"/>
    <w:rsid w:val="000B36B4"/>
    <w:pPr>
      <w:widowControl/>
      <w:numPr>
        <w:ilvl w:val="3"/>
        <w:numId w:val="21"/>
      </w:numPr>
      <w:adjustRightInd/>
      <w:spacing w:before="240" w:line="240" w:lineRule="auto"/>
      <w:jc w:val="left"/>
      <w:textAlignment w:val="auto"/>
    </w:pPr>
    <w:rPr>
      <w:szCs w:val="20"/>
      <w:lang w:eastAsia="en-AU"/>
    </w:rPr>
  </w:style>
  <w:style w:type="numbering" w:customStyle="1" w:styleId="OPCBodyList">
    <w:name w:val="OPCBodyList"/>
    <w:uiPriority w:val="99"/>
    <w:rsid w:val="000B36B4"/>
    <w:pPr>
      <w:numPr>
        <w:numId w:val="21"/>
      </w:numPr>
    </w:pPr>
  </w:style>
  <w:style w:type="paragraph" w:customStyle="1" w:styleId="MIRsubsubsubpara">
    <w:name w:val="MIR subsubsubpara"/>
    <w:basedOn w:val="subsubparai"/>
    <w:qFormat/>
    <w:rsid w:val="00E9476C"/>
    <w:pPr>
      <w:widowControl/>
      <w:numPr>
        <w:ilvl w:val="0"/>
        <w:numId w:val="0"/>
      </w:numPr>
      <w:tabs>
        <w:tab w:val="num" w:pos="2126"/>
      </w:tabs>
      <w:adjustRightInd/>
      <w:ind w:left="2126" w:hanging="425"/>
      <w:jc w:val="left"/>
      <w:textAlignment w:val="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4561">
      <w:bodyDiv w:val="1"/>
      <w:marLeft w:val="0"/>
      <w:marRight w:val="0"/>
      <w:marTop w:val="0"/>
      <w:marBottom w:val="0"/>
      <w:divBdr>
        <w:top w:val="none" w:sz="0" w:space="0" w:color="auto"/>
        <w:left w:val="none" w:sz="0" w:space="0" w:color="auto"/>
        <w:bottom w:val="none" w:sz="0" w:space="0" w:color="auto"/>
        <w:right w:val="none" w:sz="0" w:space="0" w:color="auto"/>
      </w:divBdr>
      <w:divsChild>
        <w:div w:id="903027591">
          <w:marLeft w:val="0"/>
          <w:marRight w:val="0"/>
          <w:marTop w:val="0"/>
          <w:marBottom w:val="0"/>
          <w:divBdr>
            <w:top w:val="none" w:sz="0" w:space="0" w:color="auto"/>
            <w:left w:val="none" w:sz="0" w:space="0" w:color="auto"/>
            <w:bottom w:val="none" w:sz="0" w:space="0" w:color="auto"/>
            <w:right w:val="none" w:sz="0" w:space="0" w:color="auto"/>
          </w:divBdr>
          <w:divsChild>
            <w:div w:id="1640648284">
              <w:marLeft w:val="0"/>
              <w:marRight w:val="0"/>
              <w:marTop w:val="0"/>
              <w:marBottom w:val="0"/>
              <w:divBdr>
                <w:top w:val="none" w:sz="0" w:space="0" w:color="auto"/>
                <w:left w:val="none" w:sz="0" w:space="0" w:color="auto"/>
                <w:bottom w:val="none" w:sz="0" w:space="0" w:color="auto"/>
                <w:right w:val="none" w:sz="0" w:space="0" w:color="auto"/>
              </w:divBdr>
              <w:divsChild>
                <w:div w:id="976952044">
                  <w:marLeft w:val="0"/>
                  <w:marRight w:val="0"/>
                  <w:marTop w:val="0"/>
                  <w:marBottom w:val="0"/>
                  <w:divBdr>
                    <w:top w:val="none" w:sz="0" w:space="0" w:color="auto"/>
                    <w:left w:val="none" w:sz="0" w:space="0" w:color="auto"/>
                    <w:bottom w:val="none" w:sz="0" w:space="0" w:color="auto"/>
                    <w:right w:val="none" w:sz="0" w:space="0" w:color="auto"/>
                  </w:divBdr>
                  <w:divsChild>
                    <w:div w:id="25251390">
                      <w:marLeft w:val="0"/>
                      <w:marRight w:val="0"/>
                      <w:marTop w:val="0"/>
                      <w:marBottom w:val="0"/>
                      <w:divBdr>
                        <w:top w:val="none" w:sz="0" w:space="0" w:color="auto"/>
                        <w:left w:val="none" w:sz="0" w:space="0" w:color="auto"/>
                        <w:bottom w:val="none" w:sz="0" w:space="0" w:color="auto"/>
                        <w:right w:val="none" w:sz="0" w:space="0" w:color="auto"/>
                      </w:divBdr>
                      <w:divsChild>
                        <w:div w:id="1422532877">
                          <w:marLeft w:val="0"/>
                          <w:marRight w:val="0"/>
                          <w:marTop w:val="0"/>
                          <w:marBottom w:val="0"/>
                          <w:divBdr>
                            <w:top w:val="single" w:sz="6" w:space="0" w:color="828282"/>
                            <w:left w:val="single" w:sz="6" w:space="0" w:color="828282"/>
                            <w:bottom w:val="single" w:sz="6" w:space="0" w:color="828282"/>
                            <w:right w:val="single" w:sz="6" w:space="0" w:color="828282"/>
                          </w:divBdr>
                          <w:divsChild>
                            <w:div w:id="2011130783">
                              <w:marLeft w:val="0"/>
                              <w:marRight w:val="0"/>
                              <w:marTop w:val="0"/>
                              <w:marBottom w:val="0"/>
                              <w:divBdr>
                                <w:top w:val="none" w:sz="0" w:space="0" w:color="auto"/>
                                <w:left w:val="none" w:sz="0" w:space="0" w:color="auto"/>
                                <w:bottom w:val="none" w:sz="0" w:space="0" w:color="auto"/>
                                <w:right w:val="none" w:sz="0" w:space="0" w:color="auto"/>
                              </w:divBdr>
                              <w:divsChild>
                                <w:div w:id="1081760080">
                                  <w:marLeft w:val="0"/>
                                  <w:marRight w:val="0"/>
                                  <w:marTop w:val="0"/>
                                  <w:marBottom w:val="0"/>
                                  <w:divBdr>
                                    <w:top w:val="none" w:sz="0" w:space="0" w:color="auto"/>
                                    <w:left w:val="none" w:sz="0" w:space="0" w:color="auto"/>
                                    <w:bottom w:val="none" w:sz="0" w:space="0" w:color="auto"/>
                                    <w:right w:val="none" w:sz="0" w:space="0" w:color="auto"/>
                                  </w:divBdr>
                                  <w:divsChild>
                                    <w:div w:id="747579096">
                                      <w:marLeft w:val="0"/>
                                      <w:marRight w:val="0"/>
                                      <w:marTop w:val="0"/>
                                      <w:marBottom w:val="0"/>
                                      <w:divBdr>
                                        <w:top w:val="none" w:sz="0" w:space="0" w:color="auto"/>
                                        <w:left w:val="none" w:sz="0" w:space="0" w:color="auto"/>
                                        <w:bottom w:val="none" w:sz="0" w:space="0" w:color="auto"/>
                                        <w:right w:val="none" w:sz="0" w:space="0" w:color="auto"/>
                                      </w:divBdr>
                                      <w:divsChild>
                                        <w:div w:id="45878901">
                                          <w:marLeft w:val="0"/>
                                          <w:marRight w:val="0"/>
                                          <w:marTop w:val="0"/>
                                          <w:marBottom w:val="0"/>
                                          <w:divBdr>
                                            <w:top w:val="none" w:sz="0" w:space="0" w:color="auto"/>
                                            <w:left w:val="none" w:sz="0" w:space="0" w:color="auto"/>
                                            <w:bottom w:val="none" w:sz="0" w:space="0" w:color="auto"/>
                                            <w:right w:val="none" w:sz="0" w:space="0" w:color="auto"/>
                                          </w:divBdr>
                                          <w:divsChild>
                                            <w:div w:id="1893536285">
                                              <w:marLeft w:val="0"/>
                                              <w:marRight w:val="0"/>
                                              <w:marTop w:val="0"/>
                                              <w:marBottom w:val="0"/>
                                              <w:divBdr>
                                                <w:top w:val="none" w:sz="0" w:space="0" w:color="auto"/>
                                                <w:left w:val="none" w:sz="0" w:space="0" w:color="auto"/>
                                                <w:bottom w:val="none" w:sz="0" w:space="0" w:color="auto"/>
                                                <w:right w:val="none" w:sz="0" w:space="0" w:color="auto"/>
                                              </w:divBdr>
                                              <w:divsChild>
                                                <w:div w:id="1040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44685">
      <w:bodyDiv w:val="1"/>
      <w:marLeft w:val="0"/>
      <w:marRight w:val="0"/>
      <w:marTop w:val="0"/>
      <w:marBottom w:val="0"/>
      <w:divBdr>
        <w:top w:val="none" w:sz="0" w:space="0" w:color="auto"/>
        <w:left w:val="none" w:sz="0" w:space="0" w:color="auto"/>
        <w:bottom w:val="none" w:sz="0" w:space="0" w:color="auto"/>
        <w:right w:val="none" w:sz="0" w:space="0" w:color="auto"/>
      </w:divBdr>
      <w:divsChild>
        <w:div w:id="1782606612">
          <w:marLeft w:val="0"/>
          <w:marRight w:val="0"/>
          <w:marTop w:val="0"/>
          <w:marBottom w:val="0"/>
          <w:divBdr>
            <w:top w:val="none" w:sz="0" w:space="0" w:color="auto"/>
            <w:left w:val="none" w:sz="0" w:space="0" w:color="auto"/>
            <w:bottom w:val="none" w:sz="0" w:space="0" w:color="auto"/>
            <w:right w:val="none" w:sz="0" w:space="0" w:color="auto"/>
          </w:divBdr>
          <w:divsChild>
            <w:div w:id="1795829786">
              <w:marLeft w:val="0"/>
              <w:marRight w:val="0"/>
              <w:marTop w:val="0"/>
              <w:marBottom w:val="0"/>
              <w:divBdr>
                <w:top w:val="none" w:sz="0" w:space="0" w:color="auto"/>
                <w:left w:val="none" w:sz="0" w:space="0" w:color="auto"/>
                <w:bottom w:val="none" w:sz="0" w:space="0" w:color="auto"/>
                <w:right w:val="none" w:sz="0" w:space="0" w:color="auto"/>
              </w:divBdr>
              <w:divsChild>
                <w:div w:id="1403210019">
                  <w:marLeft w:val="0"/>
                  <w:marRight w:val="0"/>
                  <w:marTop w:val="0"/>
                  <w:marBottom w:val="0"/>
                  <w:divBdr>
                    <w:top w:val="none" w:sz="0" w:space="0" w:color="auto"/>
                    <w:left w:val="none" w:sz="0" w:space="0" w:color="auto"/>
                    <w:bottom w:val="none" w:sz="0" w:space="0" w:color="auto"/>
                    <w:right w:val="none" w:sz="0" w:space="0" w:color="auto"/>
                  </w:divBdr>
                  <w:divsChild>
                    <w:div w:id="685256679">
                      <w:marLeft w:val="0"/>
                      <w:marRight w:val="0"/>
                      <w:marTop w:val="0"/>
                      <w:marBottom w:val="0"/>
                      <w:divBdr>
                        <w:top w:val="none" w:sz="0" w:space="0" w:color="auto"/>
                        <w:left w:val="none" w:sz="0" w:space="0" w:color="auto"/>
                        <w:bottom w:val="none" w:sz="0" w:space="0" w:color="auto"/>
                        <w:right w:val="none" w:sz="0" w:space="0" w:color="auto"/>
                      </w:divBdr>
                      <w:divsChild>
                        <w:div w:id="2142381420">
                          <w:marLeft w:val="0"/>
                          <w:marRight w:val="0"/>
                          <w:marTop w:val="0"/>
                          <w:marBottom w:val="0"/>
                          <w:divBdr>
                            <w:top w:val="single" w:sz="6" w:space="0" w:color="828282"/>
                            <w:left w:val="single" w:sz="6" w:space="0" w:color="828282"/>
                            <w:bottom w:val="single" w:sz="6" w:space="0" w:color="828282"/>
                            <w:right w:val="single" w:sz="6" w:space="0" w:color="828282"/>
                          </w:divBdr>
                          <w:divsChild>
                            <w:div w:id="1702437133">
                              <w:marLeft w:val="0"/>
                              <w:marRight w:val="0"/>
                              <w:marTop w:val="0"/>
                              <w:marBottom w:val="0"/>
                              <w:divBdr>
                                <w:top w:val="none" w:sz="0" w:space="0" w:color="auto"/>
                                <w:left w:val="none" w:sz="0" w:space="0" w:color="auto"/>
                                <w:bottom w:val="none" w:sz="0" w:space="0" w:color="auto"/>
                                <w:right w:val="none" w:sz="0" w:space="0" w:color="auto"/>
                              </w:divBdr>
                              <w:divsChild>
                                <w:div w:id="652834623">
                                  <w:marLeft w:val="0"/>
                                  <w:marRight w:val="0"/>
                                  <w:marTop w:val="0"/>
                                  <w:marBottom w:val="0"/>
                                  <w:divBdr>
                                    <w:top w:val="none" w:sz="0" w:space="0" w:color="auto"/>
                                    <w:left w:val="none" w:sz="0" w:space="0" w:color="auto"/>
                                    <w:bottom w:val="none" w:sz="0" w:space="0" w:color="auto"/>
                                    <w:right w:val="none" w:sz="0" w:space="0" w:color="auto"/>
                                  </w:divBdr>
                                  <w:divsChild>
                                    <w:div w:id="1124351528">
                                      <w:marLeft w:val="0"/>
                                      <w:marRight w:val="0"/>
                                      <w:marTop w:val="0"/>
                                      <w:marBottom w:val="0"/>
                                      <w:divBdr>
                                        <w:top w:val="none" w:sz="0" w:space="0" w:color="auto"/>
                                        <w:left w:val="none" w:sz="0" w:space="0" w:color="auto"/>
                                        <w:bottom w:val="none" w:sz="0" w:space="0" w:color="auto"/>
                                        <w:right w:val="none" w:sz="0" w:space="0" w:color="auto"/>
                                      </w:divBdr>
                                      <w:divsChild>
                                        <w:div w:id="2086880746">
                                          <w:marLeft w:val="0"/>
                                          <w:marRight w:val="0"/>
                                          <w:marTop w:val="0"/>
                                          <w:marBottom w:val="0"/>
                                          <w:divBdr>
                                            <w:top w:val="none" w:sz="0" w:space="0" w:color="auto"/>
                                            <w:left w:val="none" w:sz="0" w:space="0" w:color="auto"/>
                                            <w:bottom w:val="none" w:sz="0" w:space="0" w:color="auto"/>
                                            <w:right w:val="none" w:sz="0" w:space="0" w:color="auto"/>
                                          </w:divBdr>
                                          <w:divsChild>
                                            <w:div w:id="1687713780">
                                              <w:marLeft w:val="0"/>
                                              <w:marRight w:val="0"/>
                                              <w:marTop w:val="0"/>
                                              <w:marBottom w:val="0"/>
                                              <w:divBdr>
                                                <w:top w:val="none" w:sz="0" w:space="0" w:color="auto"/>
                                                <w:left w:val="none" w:sz="0" w:space="0" w:color="auto"/>
                                                <w:bottom w:val="none" w:sz="0" w:space="0" w:color="auto"/>
                                                <w:right w:val="none" w:sz="0" w:space="0" w:color="auto"/>
                                              </w:divBdr>
                                              <w:divsChild>
                                                <w:div w:id="139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218258">
      <w:bodyDiv w:val="1"/>
      <w:marLeft w:val="0"/>
      <w:marRight w:val="0"/>
      <w:marTop w:val="0"/>
      <w:marBottom w:val="0"/>
      <w:divBdr>
        <w:top w:val="none" w:sz="0" w:space="0" w:color="auto"/>
        <w:left w:val="none" w:sz="0" w:space="0" w:color="auto"/>
        <w:bottom w:val="none" w:sz="0" w:space="0" w:color="auto"/>
        <w:right w:val="none" w:sz="0" w:space="0" w:color="auto"/>
      </w:divBdr>
      <w:divsChild>
        <w:div w:id="65687064">
          <w:marLeft w:val="0"/>
          <w:marRight w:val="0"/>
          <w:marTop w:val="0"/>
          <w:marBottom w:val="0"/>
          <w:divBdr>
            <w:top w:val="none" w:sz="0" w:space="0" w:color="auto"/>
            <w:left w:val="none" w:sz="0" w:space="0" w:color="auto"/>
            <w:bottom w:val="none" w:sz="0" w:space="0" w:color="auto"/>
            <w:right w:val="none" w:sz="0" w:space="0" w:color="auto"/>
          </w:divBdr>
          <w:divsChild>
            <w:div w:id="102696730">
              <w:marLeft w:val="0"/>
              <w:marRight w:val="0"/>
              <w:marTop w:val="0"/>
              <w:marBottom w:val="0"/>
              <w:divBdr>
                <w:top w:val="none" w:sz="0" w:space="0" w:color="auto"/>
                <w:left w:val="none" w:sz="0" w:space="0" w:color="auto"/>
                <w:bottom w:val="none" w:sz="0" w:space="0" w:color="auto"/>
                <w:right w:val="none" w:sz="0" w:space="0" w:color="auto"/>
              </w:divBdr>
              <w:divsChild>
                <w:div w:id="1557662441">
                  <w:marLeft w:val="0"/>
                  <w:marRight w:val="0"/>
                  <w:marTop w:val="0"/>
                  <w:marBottom w:val="0"/>
                  <w:divBdr>
                    <w:top w:val="none" w:sz="0" w:space="0" w:color="auto"/>
                    <w:left w:val="none" w:sz="0" w:space="0" w:color="auto"/>
                    <w:bottom w:val="none" w:sz="0" w:space="0" w:color="auto"/>
                    <w:right w:val="none" w:sz="0" w:space="0" w:color="auto"/>
                  </w:divBdr>
                  <w:divsChild>
                    <w:div w:id="837427441">
                      <w:marLeft w:val="0"/>
                      <w:marRight w:val="0"/>
                      <w:marTop w:val="0"/>
                      <w:marBottom w:val="0"/>
                      <w:divBdr>
                        <w:top w:val="none" w:sz="0" w:space="0" w:color="auto"/>
                        <w:left w:val="none" w:sz="0" w:space="0" w:color="auto"/>
                        <w:bottom w:val="none" w:sz="0" w:space="0" w:color="auto"/>
                        <w:right w:val="none" w:sz="0" w:space="0" w:color="auto"/>
                      </w:divBdr>
                      <w:divsChild>
                        <w:div w:id="665518795">
                          <w:marLeft w:val="0"/>
                          <w:marRight w:val="0"/>
                          <w:marTop w:val="0"/>
                          <w:marBottom w:val="0"/>
                          <w:divBdr>
                            <w:top w:val="single" w:sz="6" w:space="0" w:color="828282"/>
                            <w:left w:val="single" w:sz="6" w:space="0" w:color="828282"/>
                            <w:bottom w:val="single" w:sz="6" w:space="0" w:color="828282"/>
                            <w:right w:val="single" w:sz="6" w:space="0" w:color="828282"/>
                          </w:divBdr>
                          <w:divsChild>
                            <w:div w:id="1863738286">
                              <w:marLeft w:val="0"/>
                              <w:marRight w:val="0"/>
                              <w:marTop w:val="0"/>
                              <w:marBottom w:val="0"/>
                              <w:divBdr>
                                <w:top w:val="none" w:sz="0" w:space="0" w:color="auto"/>
                                <w:left w:val="none" w:sz="0" w:space="0" w:color="auto"/>
                                <w:bottom w:val="none" w:sz="0" w:space="0" w:color="auto"/>
                                <w:right w:val="none" w:sz="0" w:space="0" w:color="auto"/>
                              </w:divBdr>
                              <w:divsChild>
                                <w:div w:id="1618097432">
                                  <w:marLeft w:val="0"/>
                                  <w:marRight w:val="0"/>
                                  <w:marTop w:val="0"/>
                                  <w:marBottom w:val="0"/>
                                  <w:divBdr>
                                    <w:top w:val="none" w:sz="0" w:space="0" w:color="auto"/>
                                    <w:left w:val="none" w:sz="0" w:space="0" w:color="auto"/>
                                    <w:bottom w:val="none" w:sz="0" w:space="0" w:color="auto"/>
                                    <w:right w:val="none" w:sz="0" w:space="0" w:color="auto"/>
                                  </w:divBdr>
                                  <w:divsChild>
                                    <w:div w:id="1787314673">
                                      <w:marLeft w:val="0"/>
                                      <w:marRight w:val="0"/>
                                      <w:marTop w:val="0"/>
                                      <w:marBottom w:val="0"/>
                                      <w:divBdr>
                                        <w:top w:val="none" w:sz="0" w:space="0" w:color="auto"/>
                                        <w:left w:val="none" w:sz="0" w:space="0" w:color="auto"/>
                                        <w:bottom w:val="none" w:sz="0" w:space="0" w:color="auto"/>
                                        <w:right w:val="none" w:sz="0" w:space="0" w:color="auto"/>
                                      </w:divBdr>
                                      <w:divsChild>
                                        <w:div w:id="2125537171">
                                          <w:marLeft w:val="0"/>
                                          <w:marRight w:val="0"/>
                                          <w:marTop w:val="0"/>
                                          <w:marBottom w:val="0"/>
                                          <w:divBdr>
                                            <w:top w:val="none" w:sz="0" w:space="0" w:color="auto"/>
                                            <w:left w:val="none" w:sz="0" w:space="0" w:color="auto"/>
                                            <w:bottom w:val="none" w:sz="0" w:space="0" w:color="auto"/>
                                            <w:right w:val="none" w:sz="0" w:space="0" w:color="auto"/>
                                          </w:divBdr>
                                          <w:divsChild>
                                            <w:div w:id="1890604788">
                                              <w:marLeft w:val="0"/>
                                              <w:marRight w:val="0"/>
                                              <w:marTop w:val="0"/>
                                              <w:marBottom w:val="0"/>
                                              <w:divBdr>
                                                <w:top w:val="none" w:sz="0" w:space="0" w:color="auto"/>
                                                <w:left w:val="none" w:sz="0" w:space="0" w:color="auto"/>
                                                <w:bottom w:val="none" w:sz="0" w:space="0" w:color="auto"/>
                                                <w:right w:val="none" w:sz="0" w:space="0" w:color="auto"/>
                                              </w:divBdr>
                                              <w:divsChild>
                                                <w:div w:id="7164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3503111">
      <w:bodyDiv w:val="1"/>
      <w:marLeft w:val="0"/>
      <w:marRight w:val="0"/>
      <w:marTop w:val="0"/>
      <w:marBottom w:val="0"/>
      <w:divBdr>
        <w:top w:val="none" w:sz="0" w:space="0" w:color="auto"/>
        <w:left w:val="none" w:sz="0" w:space="0" w:color="auto"/>
        <w:bottom w:val="none" w:sz="0" w:space="0" w:color="auto"/>
        <w:right w:val="none" w:sz="0" w:space="0" w:color="auto"/>
      </w:divBdr>
      <w:divsChild>
        <w:div w:id="1044404394">
          <w:marLeft w:val="0"/>
          <w:marRight w:val="0"/>
          <w:marTop w:val="0"/>
          <w:marBottom w:val="0"/>
          <w:divBdr>
            <w:top w:val="none" w:sz="0" w:space="0" w:color="auto"/>
            <w:left w:val="none" w:sz="0" w:space="0" w:color="auto"/>
            <w:bottom w:val="none" w:sz="0" w:space="0" w:color="auto"/>
            <w:right w:val="none" w:sz="0" w:space="0" w:color="auto"/>
          </w:divBdr>
          <w:divsChild>
            <w:div w:id="1897279386">
              <w:marLeft w:val="0"/>
              <w:marRight w:val="0"/>
              <w:marTop w:val="0"/>
              <w:marBottom w:val="0"/>
              <w:divBdr>
                <w:top w:val="none" w:sz="0" w:space="0" w:color="auto"/>
                <w:left w:val="none" w:sz="0" w:space="0" w:color="auto"/>
                <w:bottom w:val="none" w:sz="0" w:space="0" w:color="auto"/>
                <w:right w:val="none" w:sz="0" w:space="0" w:color="auto"/>
              </w:divBdr>
              <w:divsChild>
                <w:div w:id="874584132">
                  <w:marLeft w:val="0"/>
                  <w:marRight w:val="0"/>
                  <w:marTop w:val="0"/>
                  <w:marBottom w:val="0"/>
                  <w:divBdr>
                    <w:top w:val="none" w:sz="0" w:space="0" w:color="auto"/>
                    <w:left w:val="none" w:sz="0" w:space="0" w:color="auto"/>
                    <w:bottom w:val="none" w:sz="0" w:space="0" w:color="auto"/>
                    <w:right w:val="none" w:sz="0" w:space="0" w:color="auto"/>
                  </w:divBdr>
                  <w:divsChild>
                    <w:div w:id="722600217">
                      <w:marLeft w:val="0"/>
                      <w:marRight w:val="0"/>
                      <w:marTop w:val="0"/>
                      <w:marBottom w:val="0"/>
                      <w:divBdr>
                        <w:top w:val="none" w:sz="0" w:space="0" w:color="auto"/>
                        <w:left w:val="none" w:sz="0" w:space="0" w:color="auto"/>
                        <w:bottom w:val="none" w:sz="0" w:space="0" w:color="auto"/>
                        <w:right w:val="none" w:sz="0" w:space="0" w:color="auto"/>
                      </w:divBdr>
                      <w:divsChild>
                        <w:div w:id="1255019706">
                          <w:marLeft w:val="0"/>
                          <w:marRight w:val="0"/>
                          <w:marTop w:val="0"/>
                          <w:marBottom w:val="0"/>
                          <w:divBdr>
                            <w:top w:val="single" w:sz="6" w:space="0" w:color="828282"/>
                            <w:left w:val="single" w:sz="6" w:space="0" w:color="828282"/>
                            <w:bottom w:val="single" w:sz="6" w:space="0" w:color="828282"/>
                            <w:right w:val="single" w:sz="6" w:space="0" w:color="828282"/>
                          </w:divBdr>
                          <w:divsChild>
                            <w:div w:id="1565751690">
                              <w:marLeft w:val="0"/>
                              <w:marRight w:val="0"/>
                              <w:marTop w:val="0"/>
                              <w:marBottom w:val="0"/>
                              <w:divBdr>
                                <w:top w:val="none" w:sz="0" w:space="0" w:color="auto"/>
                                <w:left w:val="none" w:sz="0" w:space="0" w:color="auto"/>
                                <w:bottom w:val="none" w:sz="0" w:space="0" w:color="auto"/>
                                <w:right w:val="none" w:sz="0" w:space="0" w:color="auto"/>
                              </w:divBdr>
                              <w:divsChild>
                                <w:div w:id="1369600741">
                                  <w:marLeft w:val="0"/>
                                  <w:marRight w:val="0"/>
                                  <w:marTop w:val="0"/>
                                  <w:marBottom w:val="0"/>
                                  <w:divBdr>
                                    <w:top w:val="none" w:sz="0" w:space="0" w:color="auto"/>
                                    <w:left w:val="none" w:sz="0" w:space="0" w:color="auto"/>
                                    <w:bottom w:val="none" w:sz="0" w:space="0" w:color="auto"/>
                                    <w:right w:val="none" w:sz="0" w:space="0" w:color="auto"/>
                                  </w:divBdr>
                                  <w:divsChild>
                                    <w:div w:id="340282572">
                                      <w:marLeft w:val="0"/>
                                      <w:marRight w:val="0"/>
                                      <w:marTop w:val="0"/>
                                      <w:marBottom w:val="0"/>
                                      <w:divBdr>
                                        <w:top w:val="none" w:sz="0" w:space="0" w:color="auto"/>
                                        <w:left w:val="none" w:sz="0" w:space="0" w:color="auto"/>
                                        <w:bottom w:val="none" w:sz="0" w:space="0" w:color="auto"/>
                                        <w:right w:val="none" w:sz="0" w:space="0" w:color="auto"/>
                                      </w:divBdr>
                                      <w:divsChild>
                                        <w:div w:id="1260913575">
                                          <w:marLeft w:val="0"/>
                                          <w:marRight w:val="0"/>
                                          <w:marTop w:val="0"/>
                                          <w:marBottom w:val="0"/>
                                          <w:divBdr>
                                            <w:top w:val="none" w:sz="0" w:space="0" w:color="auto"/>
                                            <w:left w:val="none" w:sz="0" w:space="0" w:color="auto"/>
                                            <w:bottom w:val="none" w:sz="0" w:space="0" w:color="auto"/>
                                            <w:right w:val="none" w:sz="0" w:space="0" w:color="auto"/>
                                          </w:divBdr>
                                          <w:divsChild>
                                            <w:div w:id="233979140">
                                              <w:marLeft w:val="0"/>
                                              <w:marRight w:val="0"/>
                                              <w:marTop w:val="0"/>
                                              <w:marBottom w:val="0"/>
                                              <w:divBdr>
                                                <w:top w:val="none" w:sz="0" w:space="0" w:color="auto"/>
                                                <w:left w:val="none" w:sz="0" w:space="0" w:color="auto"/>
                                                <w:bottom w:val="none" w:sz="0" w:space="0" w:color="auto"/>
                                                <w:right w:val="none" w:sz="0" w:space="0" w:color="auto"/>
                                              </w:divBdr>
                                              <w:divsChild>
                                                <w:div w:id="308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04737">
      <w:bodyDiv w:val="1"/>
      <w:marLeft w:val="0"/>
      <w:marRight w:val="0"/>
      <w:marTop w:val="0"/>
      <w:marBottom w:val="0"/>
      <w:divBdr>
        <w:top w:val="none" w:sz="0" w:space="0" w:color="auto"/>
        <w:left w:val="none" w:sz="0" w:space="0" w:color="auto"/>
        <w:bottom w:val="none" w:sz="0" w:space="0" w:color="auto"/>
        <w:right w:val="none" w:sz="0" w:space="0" w:color="auto"/>
      </w:divBdr>
    </w:div>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528246">
      <w:bodyDiv w:val="1"/>
      <w:marLeft w:val="0"/>
      <w:marRight w:val="0"/>
      <w:marTop w:val="0"/>
      <w:marBottom w:val="0"/>
      <w:divBdr>
        <w:top w:val="none" w:sz="0" w:space="0" w:color="auto"/>
        <w:left w:val="none" w:sz="0" w:space="0" w:color="auto"/>
        <w:bottom w:val="none" w:sz="0" w:space="0" w:color="auto"/>
        <w:right w:val="none" w:sz="0" w:space="0" w:color="auto"/>
      </w:divBdr>
      <w:divsChild>
        <w:div w:id="159391044">
          <w:marLeft w:val="0"/>
          <w:marRight w:val="0"/>
          <w:marTop w:val="0"/>
          <w:marBottom w:val="0"/>
          <w:divBdr>
            <w:top w:val="none" w:sz="0" w:space="0" w:color="auto"/>
            <w:left w:val="none" w:sz="0" w:space="0" w:color="auto"/>
            <w:bottom w:val="none" w:sz="0" w:space="0" w:color="auto"/>
            <w:right w:val="none" w:sz="0" w:space="0" w:color="auto"/>
          </w:divBdr>
          <w:divsChild>
            <w:div w:id="1192961937">
              <w:marLeft w:val="0"/>
              <w:marRight w:val="0"/>
              <w:marTop w:val="0"/>
              <w:marBottom w:val="0"/>
              <w:divBdr>
                <w:top w:val="none" w:sz="0" w:space="0" w:color="auto"/>
                <w:left w:val="none" w:sz="0" w:space="0" w:color="auto"/>
                <w:bottom w:val="none" w:sz="0" w:space="0" w:color="auto"/>
                <w:right w:val="none" w:sz="0" w:space="0" w:color="auto"/>
              </w:divBdr>
              <w:divsChild>
                <w:div w:id="1952394982">
                  <w:marLeft w:val="0"/>
                  <w:marRight w:val="0"/>
                  <w:marTop w:val="0"/>
                  <w:marBottom w:val="0"/>
                  <w:divBdr>
                    <w:top w:val="none" w:sz="0" w:space="0" w:color="auto"/>
                    <w:left w:val="none" w:sz="0" w:space="0" w:color="auto"/>
                    <w:bottom w:val="none" w:sz="0" w:space="0" w:color="auto"/>
                    <w:right w:val="none" w:sz="0" w:space="0" w:color="auto"/>
                  </w:divBdr>
                  <w:divsChild>
                    <w:div w:id="1301614993">
                      <w:marLeft w:val="0"/>
                      <w:marRight w:val="0"/>
                      <w:marTop w:val="0"/>
                      <w:marBottom w:val="0"/>
                      <w:divBdr>
                        <w:top w:val="none" w:sz="0" w:space="0" w:color="auto"/>
                        <w:left w:val="none" w:sz="0" w:space="0" w:color="auto"/>
                        <w:bottom w:val="none" w:sz="0" w:space="0" w:color="auto"/>
                        <w:right w:val="none" w:sz="0" w:space="0" w:color="auto"/>
                      </w:divBdr>
                      <w:divsChild>
                        <w:div w:id="281964263">
                          <w:marLeft w:val="0"/>
                          <w:marRight w:val="0"/>
                          <w:marTop w:val="0"/>
                          <w:marBottom w:val="0"/>
                          <w:divBdr>
                            <w:top w:val="single" w:sz="6" w:space="0" w:color="828282"/>
                            <w:left w:val="single" w:sz="6" w:space="0" w:color="828282"/>
                            <w:bottom w:val="single" w:sz="6" w:space="0" w:color="828282"/>
                            <w:right w:val="single" w:sz="6" w:space="0" w:color="828282"/>
                          </w:divBdr>
                          <w:divsChild>
                            <w:div w:id="776481508">
                              <w:marLeft w:val="0"/>
                              <w:marRight w:val="0"/>
                              <w:marTop w:val="0"/>
                              <w:marBottom w:val="0"/>
                              <w:divBdr>
                                <w:top w:val="none" w:sz="0" w:space="0" w:color="auto"/>
                                <w:left w:val="none" w:sz="0" w:space="0" w:color="auto"/>
                                <w:bottom w:val="none" w:sz="0" w:space="0" w:color="auto"/>
                                <w:right w:val="none" w:sz="0" w:space="0" w:color="auto"/>
                              </w:divBdr>
                              <w:divsChild>
                                <w:div w:id="1748460175">
                                  <w:marLeft w:val="0"/>
                                  <w:marRight w:val="0"/>
                                  <w:marTop w:val="0"/>
                                  <w:marBottom w:val="0"/>
                                  <w:divBdr>
                                    <w:top w:val="none" w:sz="0" w:space="0" w:color="auto"/>
                                    <w:left w:val="none" w:sz="0" w:space="0" w:color="auto"/>
                                    <w:bottom w:val="none" w:sz="0" w:space="0" w:color="auto"/>
                                    <w:right w:val="none" w:sz="0" w:space="0" w:color="auto"/>
                                  </w:divBdr>
                                  <w:divsChild>
                                    <w:div w:id="1826624613">
                                      <w:marLeft w:val="0"/>
                                      <w:marRight w:val="0"/>
                                      <w:marTop w:val="0"/>
                                      <w:marBottom w:val="0"/>
                                      <w:divBdr>
                                        <w:top w:val="none" w:sz="0" w:space="0" w:color="auto"/>
                                        <w:left w:val="none" w:sz="0" w:space="0" w:color="auto"/>
                                        <w:bottom w:val="none" w:sz="0" w:space="0" w:color="auto"/>
                                        <w:right w:val="none" w:sz="0" w:space="0" w:color="auto"/>
                                      </w:divBdr>
                                      <w:divsChild>
                                        <w:div w:id="1521242614">
                                          <w:marLeft w:val="0"/>
                                          <w:marRight w:val="0"/>
                                          <w:marTop w:val="0"/>
                                          <w:marBottom w:val="0"/>
                                          <w:divBdr>
                                            <w:top w:val="none" w:sz="0" w:space="0" w:color="auto"/>
                                            <w:left w:val="none" w:sz="0" w:space="0" w:color="auto"/>
                                            <w:bottom w:val="none" w:sz="0" w:space="0" w:color="auto"/>
                                            <w:right w:val="none" w:sz="0" w:space="0" w:color="auto"/>
                                          </w:divBdr>
                                          <w:divsChild>
                                            <w:div w:id="238373552">
                                              <w:marLeft w:val="0"/>
                                              <w:marRight w:val="0"/>
                                              <w:marTop w:val="0"/>
                                              <w:marBottom w:val="0"/>
                                              <w:divBdr>
                                                <w:top w:val="none" w:sz="0" w:space="0" w:color="auto"/>
                                                <w:left w:val="none" w:sz="0" w:space="0" w:color="auto"/>
                                                <w:bottom w:val="none" w:sz="0" w:space="0" w:color="auto"/>
                                                <w:right w:val="none" w:sz="0" w:space="0" w:color="auto"/>
                                              </w:divBdr>
                                              <w:divsChild>
                                                <w:div w:id="13718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005466">
      <w:bodyDiv w:val="1"/>
      <w:marLeft w:val="0"/>
      <w:marRight w:val="0"/>
      <w:marTop w:val="0"/>
      <w:marBottom w:val="0"/>
      <w:divBdr>
        <w:top w:val="none" w:sz="0" w:space="0" w:color="auto"/>
        <w:left w:val="none" w:sz="0" w:space="0" w:color="auto"/>
        <w:bottom w:val="none" w:sz="0" w:space="0" w:color="auto"/>
        <w:right w:val="none" w:sz="0" w:space="0" w:color="auto"/>
      </w:divBdr>
      <w:divsChild>
        <w:div w:id="158809721">
          <w:marLeft w:val="0"/>
          <w:marRight w:val="0"/>
          <w:marTop w:val="0"/>
          <w:marBottom w:val="0"/>
          <w:divBdr>
            <w:top w:val="none" w:sz="0" w:space="0" w:color="auto"/>
            <w:left w:val="none" w:sz="0" w:space="0" w:color="auto"/>
            <w:bottom w:val="none" w:sz="0" w:space="0" w:color="auto"/>
            <w:right w:val="none" w:sz="0" w:space="0" w:color="auto"/>
          </w:divBdr>
          <w:divsChild>
            <w:div w:id="341126471">
              <w:marLeft w:val="0"/>
              <w:marRight w:val="0"/>
              <w:marTop w:val="0"/>
              <w:marBottom w:val="0"/>
              <w:divBdr>
                <w:top w:val="none" w:sz="0" w:space="0" w:color="auto"/>
                <w:left w:val="none" w:sz="0" w:space="0" w:color="auto"/>
                <w:bottom w:val="none" w:sz="0" w:space="0" w:color="auto"/>
                <w:right w:val="none" w:sz="0" w:space="0" w:color="auto"/>
              </w:divBdr>
              <w:divsChild>
                <w:div w:id="499278759">
                  <w:marLeft w:val="0"/>
                  <w:marRight w:val="0"/>
                  <w:marTop w:val="0"/>
                  <w:marBottom w:val="0"/>
                  <w:divBdr>
                    <w:top w:val="none" w:sz="0" w:space="0" w:color="auto"/>
                    <w:left w:val="none" w:sz="0" w:space="0" w:color="auto"/>
                    <w:bottom w:val="none" w:sz="0" w:space="0" w:color="auto"/>
                    <w:right w:val="none" w:sz="0" w:space="0" w:color="auto"/>
                  </w:divBdr>
                  <w:divsChild>
                    <w:div w:id="107479755">
                      <w:marLeft w:val="0"/>
                      <w:marRight w:val="0"/>
                      <w:marTop w:val="0"/>
                      <w:marBottom w:val="0"/>
                      <w:divBdr>
                        <w:top w:val="none" w:sz="0" w:space="0" w:color="auto"/>
                        <w:left w:val="none" w:sz="0" w:space="0" w:color="auto"/>
                        <w:bottom w:val="none" w:sz="0" w:space="0" w:color="auto"/>
                        <w:right w:val="none" w:sz="0" w:space="0" w:color="auto"/>
                      </w:divBdr>
                      <w:divsChild>
                        <w:div w:id="2054385805">
                          <w:marLeft w:val="0"/>
                          <w:marRight w:val="0"/>
                          <w:marTop w:val="0"/>
                          <w:marBottom w:val="0"/>
                          <w:divBdr>
                            <w:top w:val="single" w:sz="6" w:space="0" w:color="828282"/>
                            <w:left w:val="single" w:sz="6" w:space="0" w:color="828282"/>
                            <w:bottom w:val="single" w:sz="6" w:space="0" w:color="828282"/>
                            <w:right w:val="single" w:sz="6" w:space="0" w:color="828282"/>
                          </w:divBdr>
                          <w:divsChild>
                            <w:div w:id="79525559">
                              <w:marLeft w:val="0"/>
                              <w:marRight w:val="0"/>
                              <w:marTop w:val="0"/>
                              <w:marBottom w:val="0"/>
                              <w:divBdr>
                                <w:top w:val="none" w:sz="0" w:space="0" w:color="auto"/>
                                <w:left w:val="none" w:sz="0" w:space="0" w:color="auto"/>
                                <w:bottom w:val="none" w:sz="0" w:space="0" w:color="auto"/>
                                <w:right w:val="none" w:sz="0" w:space="0" w:color="auto"/>
                              </w:divBdr>
                              <w:divsChild>
                                <w:div w:id="1447773896">
                                  <w:marLeft w:val="0"/>
                                  <w:marRight w:val="0"/>
                                  <w:marTop w:val="0"/>
                                  <w:marBottom w:val="0"/>
                                  <w:divBdr>
                                    <w:top w:val="none" w:sz="0" w:space="0" w:color="auto"/>
                                    <w:left w:val="none" w:sz="0" w:space="0" w:color="auto"/>
                                    <w:bottom w:val="none" w:sz="0" w:space="0" w:color="auto"/>
                                    <w:right w:val="none" w:sz="0" w:space="0" w:color="auto"/>
                                  </w:divBdr>
                                  <w:divsChild>
                                    <w:div w:id="2055930779">
                                      <w:marLeft w:val="0"/>
                                      <w:marRight w:val="0"/>
                                      <w:marTop w:val="0"/>
                                      <w:marBottom w:val="0"/>
                                      <w:divBdr>
                                        <w:top w:val="none" w:sz="0" w:space="0" w:color="auto"/>
                                        <w:left w:val="none" w:sz="0" w:space="0" w:color="auto"/>
                                        <w:bottom w:val="none" w:sz="0" w:space="0" w:color="auto"/>
                                        <w:right w:val="none" w:sz="0" w:space="0" w:color="auto"/>
                                      </w:divBdr>
                                      <w:divsChild>
                                        <w:div w:id="1035469397">
                                          <w:marLeft w:val="0"/>
                                          <w:marRight w:val="0"/>
                                          <w:marTop w:val="0"/>
                                          <w:marBottom w:val="0"/>
                                          <w:divBdr>
                                            <w:top w:val="none" w:sz="0" w:space="0" w:color="auto"/>
                                            <w:left w:val="none" w:sz="0" w:space="0" w:color="auto"/>
                                            <w:bottom w:val="none" w:sz="0" w:space="0" w:color="auto"/>
                                            <w:right w:val="none" w:sz="0" w:space="0" w:color="auto"/>
                                          </w:divBdr>
                                          <w:divsChild>
                                            <w:div w:id="1545212120">
                                              <w:marLeft w:val="0"/>
                                              <w:marRight w:val="0"/>
                                              <w:marTop w:val="0"/>
                                              <w:marBottom w:val="0"/>
                                              <w:divBdr>
                                                <w:top w:val="none" w:sz="0" w:space="0" w:color="auto"/>
                                                <w:left w:val="none" w:sz="0" w:space="0" w:color="auto"/>
                                                <w:bottom w:val="none" w:sz="0" w:space="0" w:color="auto"/>
                                                <w:right w:val="none" w:sz="0" w:space="0" w:color="auto"/>
                                              </w:divBdr>
                                              <w:divsChild>
                                                <w:div w:id="4552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957609">
      <w:bodyDiv w:val="1"/>
      <w:marLeft w:val="0"/>
      <w:marRight w:val="0"/>
      <w:marTop w:val="0"/>
      <w:marBottom w:val="0"/>
      <w:divBdr>
        <w:top w:val="none" w:sz="0" w:space="0" w:color="auto"/>
        <w:left w:val="none" w:sz="0" w:space="0" w:color="auto"/>
        <w:bottom w:val="none" w:sz="0" w:space="0" w:color="auto"/>
        <w:right w:val="none" w:sz="0" w:space="0" w:color="auto"/>
      </w:divBdr>
      <w:divsChild>
        <w:div w:id="1937059481">
          <w:marLeft w:val="0"/>
          <w:marRight w:val="0"/>
          <w:marTop w:val="0"/>
          <w:marBottom w:val="0"/>
          <w:divBdr>
            <w:top w:val="none" w:sz="0" w:space="0" w:color="auto"/>
            <w:left w:val="none" w:sz="0" w:space="0" w:color="auto"/>
            <w:bottom w:val="none" w:sz="0" w:space="0" w:color="auto"/>
            <w:right w:val="none" w:sz="0" w:space="0" w:color="auto"/>
          </w:divBdr>
          <w:divsChild>
            <w:div w:id="1708408089">
              <w:marLeft w:val="0"/>
              <w:marRight w:val="0"/>
              <w:marTop w:val="0"/>
              <w:marBottom w:val="0"/>
              <w:divBdr>
                <w:top w:val="none" w:sz="0" w:space="0" w:color="auto"/>
                <w:left w:val="none" w:sz="0" w:space="0" w:color="auto"/>
                <w:bottom w:val="none" w:sz="0" w:space="0" w:color="auto"/>
                <w:right w:val="none" w:sz="0" w:space="0" w:color="auto"/>
              </w:divBdr>
              <w:divsChild>
                <w:div w:id="1809123388">
                  <w:marLeft w:val="0"/>
                  <w:marRight w:val="0"/>
                  <w:marTop w:val="0"/>
                  <w:marBottom w:val="0"/>
                  <w:divBdr>
                    <w:top w:val="none" w:sz="0" w:space="0" w:color="auto"/>
                    <w:left w:val="none" w:sz="0" w:space="0" w:color="auto"/>
                    <w:bottom w:val="none" w:sz="0" w:space="0" w:color="auto"/>
                    <w:right w:val="none" w:sz="0" w:space="0" w:color="auto"/>
                  </w:divBdr>
                  <w:divsChild>
                    <w:div w:id="123082339">
                      <w:marLeft w:val="0"/>
                      <w:marRight w:val="0"/>
                      <w:marTop w:val="0"/>
                      <w:marBottom w:val="0"/>
                      <w:divBdr>
                        <w:top w:val="none" w:sz="0" w:space="0" w:color="auto"/>
                        <w:left w:val="none" w:sz="0" w:space="0" w:color="auto"/>
                        <w:bottom w:val="none" w:sz="0" w:space="0" w:color="auto"/>
                        <w:right w:val="none" w:sz="0" w:space="0" w:color="auto"/>
                      </w:divBdr>
                      <w:divsChild>
                        <w:div w:id="26487941">
                          <w:marLeft w:val="0"/>
                          <w:marRight w:val="0"/>
                          <w:marTop w:val="0"/>
                          <w:marBottom w:val="0"/>
                          <w:divBdr>
                            <w:top w:val="single" w:sz="6" w:space="0" w:color="828282"/>
                            <w:left w:val="single" w:sz="6" w:space="0" w:color="828282"/>
                            <w:bottom w:val="single" w:sz="6" w:space="0" w:color="828282"/>
                            <w:right w:val="single" w:sz="6" w:space="0" w:color="828282"/>
                          </w:divBdr>
                          <w:divsChild>
                            <w:div w:id="1522087496">
                              <w:marLeft w:val="0"/>
                              <w:marRight w:val="0"/>
                              <w:marTop w:val="0"/>
                              <w:marBottom w:val="0"/>
                              <w:divBdr>
                                <w:top w:val="none" w:sz="0" w:space="0" w:color="auto"/>
                                <w:left w:val="none" w:sz="0" w:space="0" w:color="auto"/>
                                <w:bottom w:val="none" w:sz="0" w:space="0" w:color="auto"/>
                                <w:right w:val="none" w:sz="0" w:space="0" w:color="auto"/>
                              </w:divBdr>
                              <w:divsChild>
                                <w:div w:id="742215244">
                                  <w:marLeft w:val="0"/>
                                  <w:marRight w:val="0"/>
                                  <w:marTop w:val="0"/>
                                  <w:marBottom w:val="0"/>
                                  <w:divBdr>
                                    <w:top w:val="none" w:sz="0" w:space="0" w:color="auto"/>
                                    <w:left w:val="none" w:sz="0" w:space="0" w:color="auto"/>
                                    <w:bottom w:val="none" w:sz="0" w:space="0" w:color="auto"/>
                                    <w:right w:val="none" w:sz="0" w:space="0" w:color="auto"/>
                                  </w:divBdr>
                                  <w:divsChild>
                                    <w:div w:id="1171527676">
                                      <w:marLeft w:val="0"/>
                                      <w:marRight w:val="0"/>
                                      <w:marTop w:val="0"/>
                                      <w:marBottom w:val="0"/>
                                      <w:divBdr>
                                        <w:top w:val="none" w:sz="0" w:space="0" w:color="auto"/>
                                        <w:left w:val="none" w:sz="0" w:space="0" w:color="auto"/>
                                        <w:bottom w:val="none" w:sz="0" w:space="0" w:color="auto"/>
                                        <w:right w:val="none" w:sz="0" w:space="0" w:color="auto"/>
                                      </w:divBdr>
                                      <w:divsChild>
                                        <w:div w:id="1509371011">
                                          <w:marLeft w:val="0"/>
                                          <w:marRight w:val="0"/>
                                          <w:marTop w:val="0"/>
                                          <w:marBottom w:val="0"/>
                                          <w:divBdr>
                                            <w:top w:val="none" w:sz="0" w:space="0" w:color="auto"/>
                                            <w:left w:val="none" w:sz="0" w:space="0" w:color="auto"/>
                                            <w:bottom w:val="none" w:sz="0" w:space="0" w:color="auto"/>
                                            <w:right w:val="none" w:sz="0" w:space="0" w:color="auto"/>
                                          </w:divBdr>
                                          <w:divsChild>
                                            <w:div w:id="1753236684">
                                              <w:marLeft w:val="0"/>
                                              <w:marRight w:val="0"/>
                                              <w:marTop w:val="0"/>
                                              <w:marBottom w:val="0"/>
                                              <w:divBdr>
                                                <w:top w:val="none" w:sz="0" w:space="0" w:color="auto"/>
                                                <w:left w:val="none" w:sz="0" w:space="0" w:color="auto"/>
                                                <w:bottom w:val="none" w:sz="0" w:space="0" w:color="auto"/>
                                                <w:right w:val="none" w:sz="0" w:space="0" w:color="auto"/>
                                              </w:divBdr>
                                              <w:divsChild>
                                                <w:div w:id="16317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704549">
      <w:bodyDiv w:val="1"/>
      <w:marLeft w:val="0"/>
      <w:marRight w:val="0"/>
      <w:marTop w:val="0"/>
      <w:marBottom w:val="0"/>
      <w:divBdr>
        <w:top w:val="none" w:sz="0" w:space="0" w:color="auto"/>
        <w:left w:val="none" w:sz="0" w:space="0" w:color="auto"/>
        <w:bottom w:val="none" w:sz="0" w:space="0" w:color="auto"/>
        <w:right w:val="none" w:sz="0" w:space="0" w:color="auto"/>
      </w:divBdr>
    </w:div>
    <w:div w:id="1190677108">
      <w:bodyDiv w:val="1"/>
      <w:marLeft w:val="0"/>
      <w:marRight w:val="0"/>
      <w:marTop w:val="0"/>
      <w:marBottom w:val="0"/>
      <w:divBdr>
        <w:top w:val="none" w:sz="0" w:space="0" w:color="auto"/>
        <w:left w:val="none" w:sz="0" w:space="0" w:color="auto"/>
        <w:bottom w:val="none" w:sz="0" w:space="0" w:color="auto"/>
        <w:right w:val="none" w:sz="0" w:space="0" w:color="auto"/>
      </w:divBdr>
      <w:divsChild>
        <w:div w:id="78645260">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0"/>
              <w:marRight w:val="0"/>
              <w:marTop w:val="0"/>
              <w:marBottom w:val="0"/>
              <w:divBdr>
                <w:top w:val="none" w:sz="0" w:space="0" w:color="auto"/>
                <w:left w:val="none" w:sz="0" w:space="0" w:color="auto"/>
                <w:bottom w:val="none" w:sz="0" w:space="0" w:color="auto"/>
                <w:right w:val="none" w:sz="0" w:space="0" w:color="auto"/>
              </w:divBdr>
              <w:divsChild>
                <w:div w:id="1891111125">
                  <w:marLeft w:val="0"/>
                  <w:marRight w:val="0"/>
                  <w:marTop w:val="0"/>
                  <w:marBottom w:val="0"/>
                  <w:divBdr>
                    <w:top w:val="none" w:sz="0" w:space="0" w:color="auto"/>
                    <w:left w:val="none" w:sz="0" w:space="0" w:color="auto"/>
                    <w:bottom w:val="none" w:sz="0" w:space="0" w:color="auto"/>
                    <w:right w:val="none" w:sz="0" w:space="0" w:color="auto"/>
                  </w:divBdr>
                  <w:divsChild>
                    <w:div w:id="379865867">
                      <w:marLeft w:val="0"/>
                      <w:marRight w:val="0"/>
                      <w:marTop w:val="0"/>
                      <w:marBottom w:val="0"/>
                      <w:divBdr>
                        <w:top w:val="none" w:sz="0" w:space="0" w:color="auto"/>
                        <w:left w:val="none" w:sz="0" w:space="0" w:color="auto"/>
                        <w:bottom w:val="none" w:sz="0" w:space="0" w:color="auto"/>
                        <w:right w:val="none" w:sz="0" w:space="0" w:color="auto"/>
                      </w:divBdr>
                      <w:divsChild>
                        <w:div w:id="984629246">
                          <w:marLeft w:val="0"/>
                          <w:marRight w:val="0"/>
                          <w:marTop w:val="0"/>
                          <w:marBottom w:val="0"/>
                          <w:divBdr>
                            <w:top w:val="single" w:sz="6" w:space="0" w:color="828282"/>
                            <w:left w:val="single" w:sz="6" w:space="0" w:color="828282"/>
                            <w:bottom w:val="single" w:sz="6" w:space="0" w:color="828282"/>
                            <w:right w:val="single" w:sz="6" w:space="0" w:color="828282"/>
                          </w:divBdr>
                          <w:divsChild>
                            <w:div w:id="1266768764">
                              <w:marLeft w:val="0"/>
                              <w:marRight w:val="0"/>
                              <w:marTop w:val="0"/>
                              <w:marBottom w:val="0"/>
                              <w:divBdr>
                                <w:top w:val="none" w:sz="0" w:space="0" w:color="auto"/>
                                <w:left w:val="none" w:sz="0" w:space="0" w:color="auto"/>
                                <w:bottom w:val="none" w:sz="0" w:space="0" w:color="auto"/>
                                <w:right w:val="none" w:sz="0" w:space="0" w:color="auto"/>
                              </w:divBdr>
                              <w:divsChild>
                                <w:div w:id="1932811192">
                                  <w:marLeft w:val="0"/>
                                  <w:marRight w:val="0"/>
                                  <w:marTop w:val="0"/>
                                  <w:marBottom w:val="0"/>
                                  <w:divBdr>
                                    <w:top w:val="none" w:sz="0" w:space="0" w:color="auto"/>
                                    <w:left w:val="none" w:sz="0" w:space="0" w:color="auto"/>
                                    <w:bottom w:val="none" w:sz="0" w:space="0" w:color="auto"/>
                                    <w:right w:val="none" w:sz="0" w:space="0" w:color="auto"/>
                                  </w:divBdr>
                                  <w:divsChild>
                                    <w:div w:id="558396564">
                                      <w:marLeft w:val="0"/>
                                      <w:marRight w:val="0"/>
                                      <w:marTop w:val="0"/>
                                      <w:marBottom w:val="0"/>
                                      <w:divBdr>
                                        <w:top w:val="none" w:sz="0" w:space="0" w:color="auto"/>
                                        <w:left w:val="none" w:sz="0" w:space="0" w:color="auto"/>
                                        <w:bottom w:val="none" w:sz="0" w:space="0" w:color="auto"/>
                                        <w:right w:val="none" w:sz="0" w:space="0" w:color="auto"/>
                                      </w:divBdr>
                                      <w:divsChild>
                                        <w:div w:id="712192484">
                                          <w:marLeft w:val="0"/>
                                          <w:marRight w:val="0"/>
                                          <w:marTop w:val="0"/>
                                          <w:marBottom w:val="0"/>
                                          <w:divBdr>
                                            <w:top w:val="none" w:sz="0" w:space="0" w:color="auto"/>
                                            <w:left w:val="none" w:sz="0" w:space="0" w:color="auto"/>
                                            <w:bottom w:val="none" w:sz="0" w:space="0" w:color="auto"/>
                                            <w:right w:val="none" w:sz="0" w:space="0" w:color="auto"/>
                                          </w:divBdr>
                                          <w:divsChild>
                                            <w:div w:id="232619081">
                                              <w:marLeft w:val="0"/>
                                              <w:marRight w:val="0"/>
                                              <w:marTop w:val="0"/>
                                              <w:marBottom w:val="0"/>
                                              <w:divBdr>
                                                <w:top w:val="none" w:sz="0" w:space="0" w:color="auto"/>
                                                <w:left w:val="none" w:sz="0" w:space="0" w:color="auto"/>
                                                <w:bottom w:val="none" w:sz="0" w:space="0" w:color="auto"/>
                                                <w:right w:val="none" w:sz="0" w:space="0" w:color="auto"/>
                                              </w:divBdr>
                                              <w:divsChild>
                                                <w:div w:id="14986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771411">
      <w:bodyDiv w:val="1"/>
      <w:marLeft w:val="0"/>
      <w:marRight w:val="0"/>
      <w:marTop w:val="0"/>
      <w:marBottom w:val="0"/>
      <w:divBdr>
        <w:top w:val="none" w:sz="0" w:space="0" w:color="auto"/>
        <w:left w:val="none" w:sz="0" w:space="0" w:color="auto"/>
        <w:bottom w:val="none" w:sz="0" w:space="0" w:color="auto"/>
        <w:right w:val="none" w:sz="0" w:space="0" w:color="auto"/>
      </w:divBdr>
      <w:divsChild>
        <w:div w:id="1117677217">
          <w:marLeft w:val="0"/>
          <w:marRight w:val="0"/>
          <w:marTop w:val="0"/>
          <w:marBottom w:val="0"/>
          <w:divBdr>
            <w:top w:val="none" w:sz="0" w:space="0" w:color="auto"/>
            <w:left w:val="none" w:sz="0" w:space="0" w:color="auto"/>
            <w:bottom w:val="none" w:sz="0" w:space="0" w:color="auto"/>
            <w:right w:val="none" w:sz="0" w:space="0" w:color="auto"/>
          </w:divBdr>
          <w:divsChild>
            <w:div w:id="919868032">
              <w:marLeft w:val="0"/>
              <w:marRight w:val="0"/>
              <w:marTop w:val="0"/>
              <w:marBottom w:val="0"/>
              <w:divBdr>
                <w:top w:val="none" w:sz="0" w:space="0" w:color="auto"/>
                <w:left w:val="none" w:sz="0" w:space="0" w:color="auto"/>
                <w:bottom w:val="none" w:sz="0" w:space="0" w:color="auto"/>
                <w:right w:val="none" w:sz="0" w:space="0" w:color="auto"/>
              </w:divBdr>
              <w:divsChild>
                <w:div w:id="317732065">
                  <w:marLeft w:val="0"/>
                  <w:marRight w:val="0"/>
                  <w:marTop w:val="0"/>
                  <w:marBottom w:val="0"/>
                  <w:divBdr>
                    <w:top w:val="none" w:sz="0" w:space="0" w:color="auto"/>
                    <w:left w:val="none" w:sz="0" w:space="0" w:color="auto"/>
                    <w:bottom w:val="none" w:sz="0" w:space="0" w:color="auto"/>
                    <w:right w:val="none" w:sz="0" w:space="0" w:color="auto"/>
                  </w:divBdr>
                  <w:divsChild>
                    <w:div w:id="1733891231">
                      <w:marLeft w:val="0"/>
                      <w:marRight w:val="0"/>
                      <w:marTop w:val="0"/>
                      <w:marBottom w:val="0"/>
                      <w:divBdr>
                        <w:top w:val="none" w:sz="0" w:space="0" w:color="auto"/>
                        <w:left w:val="none" w:sz="0" w:space="0" w:color="auto"/>
                        <w:bottom w:val="none" w:sz="0" w:space="0" w:color="auto"/>
                        <w:right w:val="none" w:sz="0" w:space="0" w:color="auto"/>
                      </w:divBdr>
                      <w:divsChild>
                        <w:div w:id="850534528">
                          <w:marLeft w:val="0"/>
                          <w:marRight w:val="0"/>
                          <w:marTop w:val="0"/>
                          <w:marBottom w:val="0"/>
                          <w:divBdr>
                            <w:top w:val="single" w:sz="6" w:space="0" w:color="828282"/>
                            <w:left w:val="single" w:sz="6" w:space="0" w:color="828282"/>
                            <w:bottom w:val="single" w:sz="6" w:space="0" w:color="828282"/>
                            <w:right w:val="single" w:sz="6" w:space="0" w:color="828282"/>
                          </w:divBdr>
                          <w:divsChild>
                            <w:div w:id="652374112">
                              <w:marLeft w:val="0"/>
                              <w:marRight w:val="0"/>
                              <w:marTop w:val="0"/>
                              <w:marBottom w:val="0"/>
                              <w:divBdr>
                                <w:top w:val="none" w:sz="0" w:space="0" w:color="auto"/>
                                <w:left w:val="none" w:sz="0" w:space="0" w:color="auto"/>
                                <w:bottom w:val="none" w:sz="0" w:space="0" w:color="auto"/>
                                <w:right w:val="none" w:sz="0" w:space="0" w:color="auto"/>
                              </w:divBdr>
                              <w:divsChild>
                                <w:div w:id="1176460616">
                                  <w:marLeft w:val="0"/>
                                  <w:marRight w:val="0"/>
                                  <w:marTop w:val="0"/>
                                  <w:marBottom w:val="0"/>
                                  <w:divBdr>
                                    <w:top w:val="none" w:sz="0" w:space="0" w:color="auto"/>
                                    <w:left w:val="none" w:sz="0" w:space="0" w:color="auto"/>
                                    <w:bottom w:val="none" w:sz="0" w:space="0" w:color="auto"/>
                                    <w:right w:val="none" w:sz="0" w:space="0" w:color="auto"/>
                                  </w:divBdr>
                                  <w:divsChild>
                                    <w:div w:id="362441487">
                                      <w:marLeft w:val="0"/>
                                      <w:marRight w:val="0"/>
                                      <w:marTop w:val="0"/>
                                      <w:marBottom w:val="0"/>
                                      <w:divBdr>
                                        <w:top w:val="none" w:sz="0" w:space="0" w:color="auto"/>
                                        <w:left w:val="none" w:sz="0" w:space="0" w:color="auto"/>
                                        <w:bottom w:val="none" w:sz="0" w:space="0" w:color="auto"/>
                                        <w:right w:val="none" w:sz="0" w:space="0" w:color="auto"/>
                                      </w:divBdr>
                                      <w:divsChild>
                                        <w:div w:id="1497841475">
                                          <w:marLeft w:val="0"/>
                                          <w:marRight w:val="0"/>
                                          <w:marTop w:val="0"/>
                                          <w:marBottom w:val="0"/>
                                          <w:divBdr>
                                            <w:top w:val="none" w:sz="0" w:space="0" w:color="auto"/>
                                            <w:left w:val="none" w:sz="0" w:space="0" w:color="auto"/>
                                            <w:bottom w:val="none" w:sz="0" w:space="0" w:color="auto"/>
                                            <w:right w:val="none" w:sz="0" w:space="0" w:color="auto"/>
                                          </w:divBdr>
                                          <w:divsChild>
                                            <w:div w:id="920259297">
                                              <w:marLeft w:val="0"/>
                                              <w:marRight w:val="0"/>
                                              <w:marTop w:val="0"/>
                                              <w:marBottom w:val="0"/>
                                              <w:divBdr>
                                                <w:top w:val="none" w:sz="0" w:space="0" w:color="auto"/>
                                                <w:left w:val="none" w:sz="0" w:space="0" w:color="auto"/>
                                                <w:bottom w:val="none" w:sz="0" w:space="0" w:color="auto"/>
                                                <w:right w:val="none" w:sz="0" w:space="0" w:color="auto"/>
                                              </w:divBdr>
                                              <w:divsChild>
                                                <w:div w:id="865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8394">
      <w:bodyDiv w:val="1"/>
      <w:marLeft w:val="0"/>
      <w:marRight w:val="0"/>
      <w:marTop w:val="0"/>
      <w:marBottom w:val="0"/>
      <w:divBdr>
        <w:top w:val="none" w:sz="0" w:space="0" w:color="auto"/>
        <w:left w:val="none" w:sz="0" w:space="0" w:color="auto"/>
        <w:bottom w:val="none" w:sz="0" w:space="0" w:color="auto"/>
        <w:right w:val="none" w:sz="0" w:space="0" w:color="auto"/>
      </w:divBdr>
      <w:divsChild>
        <w:div w:id="612056287">
          <w:marLeft w:val="0"/>
          <w:marRight w:val="0"/>
          <w:marTop w:val="0"/>
          <w:marBottom w:val="0"/>
          <w:divBdr>
            <w:top w:val="none" w:sz="0" w:space="0" w:color="auto"/>
            <w:left w:val="none" w:sz="0" w:space="0" w:color="auto"/>
            <w:bottom w:val="none" w:sz="0" w:space="0" w:color="auto"/>
            <w:right w:val="none" w:sz="0" w:space="0" w:color="auto"/>
          </w:divBdr>
          <w:divsChild>
            <w:div w:id="789862283">
              <w:marLeft w:val="0"/>
              <w:marRight w:val="0"/>
              <w:marTop w:val="0"/>
              <w:marBottom w:val="0"/>
              <w:divBdr>
                <w:top w:val="none" w:sz="0" w:space="0" w:color="auto"/>
                <w:left w:val="none" w:sz="0" w:space="0" w:color="auto"/>
                <w:bottom w:val="none" w:sz="0" w:space="0" w:color="auto"/>
                <w:right w:val="none" w:sz="0" w:space="0" w:color="auto"/>
              </w:divBdr>
              <w:divsChild>
                <w:div w:id="1454788812">
                  <w:marLeft w:val="0"/>
                  <w:marRight w:val="0"/>
                  <w:marTop w:val="0"/>
                  <w:marBottom w:val="0"/>
                  <w:divBdr>
                    <w:top w:val="none" w:sz="0" w:space="0" w:color="auto"/>
                    <w:left w:val="none" w:sz="0" w:space="0" w:color="auto"/>
                    <w:bottom w:val="none" w:sz="0" w:space="0" w:color="auto"/>
                    <w:right w:val="none" w:sz="0" w:space="0" w:color="auto"/>
                  </w:divBdr>
                  <w:divsChild>
                    <w:div w:id="1509708351">
                      <w:marLeft w:val="0"/>
                      <w:marRight w:val="0"/>
                      <w:marTop w:val="0"/>
                      <w:marBottom w:val="0"/>
                      <w:divBdr>
                        <w:top w:val="none" w:sz="0" w:space="0" w:color="auto"/>
                        <w:left w:val="none" w:sz="0" w:space="0" w:color="auto"/>
                        <w:bottom w:val="none" w:sz="0" w:space="0" w:color="auto"/>
                        <w:right w:val="none" w:sz="0" w:space="0" w:color="auto"/>
                      </w:divBdr>
                      <w:divsChild>
                        <w:div w:id="322511149">
                          <w:marLeft w:val="0"/>
                          <w:marRight w:val="0"/>
                          <w:marTop w:val="0"/>
                          <w:marBottom w:val="0"/>
                          <w:divBdr>
                            <w:top w:val="single" w:sz="6" w:space="0" w:color="828282"/>
                            <w:left w:val="single" w:sz="6" w:space="0" w:color="828282"/>
                            <w:bottom w:val="single" w:sz="6" w:space="0" w:color="828282"/>
                            <w:right w:val="single" w:sz="6" w:space="0" w:color="828282"/>
                          </w:divBdr>
                          <w:divsChild>
                            <w:div w:id="1992368621">
                              <w:marLeft w:val="0"/>
                              <w:marRight w:val="0"/>
                              <w:marTop w:val="0"/>
                              <w:marBottom w:val="0"/>
                              <w:divBdr>
                                <w:top w:val="none" w:sz="0" w:space="0" w:color="auto"/>
                                <w:left w:val="none" w:sz="0" w:space="0" w:color="auto"/>
                                <w:bottom w:val="none" w:sz="0" w:space="0" w:color="auto"/>
                                <w:right w:val="none" w:sz="0" w:space="0" w:color="auto"/>
                              </w:divBdr>
                              <w:divsChild>
                                <w:div w:id="1086463485">
                                  <w:marLeft w:val="0"/>
                                  <w:marRight w:val="0"/>
                                  <w:marTop w:val="0"/>
                                  <w:marBottom w:val="0"/>
                                  <w:divBdr>
                                    <w:top w:val="none" w:sz="0" w:space="0" w:color="auto"/>
                                    <w:left w:val="none" w:sz="0" w:space="0" w:color="auto"/>
                                    <w:bottom w:val="none" w:sz="0" w:space="0" w:color="auto"/>
                                    <w:right w:val="none" w:sz="0" w:space="0" w:color="auto"/>
                                  </w:divBdr>
                                  <w:divsChild>
                                    <w:div w:id="1885628725">
                                      <w:marLeft w:val="0"/>
                                      <w:marRight w:val="0"/>
                                      <w:marTop w:val="0"/>
                                      <w:marBottom w:val="0"/>
                                      <w:divBdr>
                                        <w:top w:val="none" w:sz="0" w:space="0" w:color="auto"/>
                                        <w:left w:val="none" w:sz="0" w:space="0" w:color="auto"/>
                                        <w:bottom w:val="none" w:sz="0" w:space="0" w:color="auto"/>
                                        <w:right w:val="none" w:sz="0" w:space="0" w:color="auto"/>
                                      </w:divBdr>
                                      <w:divsChild>
                                        <w:div w:id="1797718482">
                                          <w:marLeft w:val="0"/>
                                          <w:marRight w:val="0"/>
                                          <w:marTop w:val="0"/>
                                          <w:marBottom w:val="0"/>
                                          <w:divBdr>
                                            <w:top w:val="none" w:sz="0" w:space="0" w:color="auto"/>
                                            <w:left w:val="none" w:sz="0" w:space="0" w:color="auto"/>
                                            <w:bottom w:val="none" w:sz="0" w:space="0" w:color="auto"/>
                                            <w:right w:val="none" w:sz="0" w:space="0" w:color="auto"/>
                                          </w:divBdr>
                                          <w:divsChild>
                                            <w:div w:id="93401104">
                                              <w:marLeft w:val="0"/>
                                              <w:marRight w:val="0"/>
                                              <w:marTop w:val="0"/>
                                              <w:marBottom w:val="0"/>
                                              <w:divBdr>
                                                <w:top w:val="none" w:sz="0" w:space="0" w:color="auto"/>
                                                <w:left w:val="none" w:sz="0" w:space="0" w:color="auto"/>
                                                <w:bottom w:val="none" w:sz="0" w:space="0" w:color="auto"/>
                                                <w:right w:val="none" w:sz="0" w:space="0" w:color="auto"/>
                                              </w:divBdr>
                                              <w:divsChild>
                                                <w:div w:id="14370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175496">
      <w:bodyDiv w:val="1"/>
      <w:marLeft w:val="0"/>
      <w:marRight w:val="0"/>
      <w:marTop w:val="0"/>
      <w:marBottom w:val="0"/>
      <w:divBdr>
        <w:top w:val="none" w:sz="0" w:space="0" w:color="auto"/>
        <w:left w:val="none" w:sz="0" w:space="0" w:color="auto"/>
        <w:bottom w:val="none" w:sz="0" w:space="0" w:color="auto"/>
        <w:right w:val="none" w:sz="0" w:space="0" w:color="auto"/>
      </w:divBdr>
      <w:divsChild>
        <w:div w:id="1849830338">
          <w:marLeft w:val="0"/>
          <w:marRight w:val="0"/>
          <w:marTop w:val="0"/>
          <w:marBottom w:val="0"/>
          <w:divBdr>
            <w:top w:val="none" w:sz="0" w:space="0" w:color="auto"/>
            <w:left w:val="none" w:sz="0" w:space="0" w:color="auto"/>
            <w:bottom w:val="none" w:sz="0" w:space="0" w:color="auto"/>
            <w:right w:val="none" w:sz="0" w:space="0" w:color="auto"/>
          </w:divBdr>
          <w:divsChild>
            <w:div w:id="654915561">
              <w:marLeft w:val="0"/>
              <w:marRight w:val="0"/>
              <w:marTop w:val="0"/>
              <w:marBottom w:val="0"/>
              <w:divBdr>
                <w:top w:val="none" w:sz="0" w:space="0" w:color="auto"/>
                <w:left w:val="none" w:sz="0" w:space="0" w:color="auto"/>
                <w:bottom w:val="none" w:sz="0" w:space="0" w:color="auto"/>
                <w:right w:val="none" w:sz="0" w:space="0" w:color="auto"/>
              </w:divBdr>
              <w:divsChild>
                <w:div w:id="1125581888">
                  <w:marLeft w:val="0"/>
                  <w:marRight w:val="0"/>
                  <w:marTop w:val="0"/>
                  <w:marBottom w:val="0"/>
                  <w:divBdr>
                    <w:top w:val="none" w:sz="0" w:space="0" w:color="auto"/>
                    <w:left w:val="none" w:sz="0" w:space="0" w:color="auto"/>
                    <w:bottom w:val="none" w:sz="0" w:space="0" w:color="auto"/>
                    <w:right w:val="none" w:sz="0" w:space="0" w:color="auto"/>
                  </w:divBdr>
                  <w:divsChild>
                    <w:div w:id="651838994">
                      <w:marLeft w:val="0"/>
                      <w:marRight w:val="0"/>
                      <w:marTop w:val="0"/>
                      <w:marBottom w:val="0"/>
                      <w:divBdr>
                        <w:top w:val="none" w:sz="0" w:space="0" w:color="auto"/>
                        <w:left w:val="none" w:sz="0" w:space="0" w:color="auto"/>
                        <w:bottom w:val="none" w:sz="0" w:space="0" w:color="auto"/>
                        <w:right w:val="none" w:sz="0" w:space="0" w:color="auto"/>
                      </w:divBdr>
                      <w:divsChild>
                        <w:div w:id="1448351516">
                          <w:marLeft w:val="0"/>
                          <w:marRight w:val="0"/>
                          <w:marTop w:val="0"/>
                          <w:marBottom w:val="0"/>
                          <w:divBdr>
                            <w:top w:val="single" w:sz="6" w:space="0" w:color="828282"/>
                            <w:left w:val="single" w:sz="6" w:space="0" w:color="828282"/>
                            <w:bottom w:val="single" w:sz="6" w:space="0" w:color="828282"/>
                            <w:right w:val="single" w:sz="6" w:space="0" w:color="828282"/>
                          </w:divBdr>
                          <w:divsChild>
                            <w:div w:id="1273242128">
                              <w:marLeft w:val="0"/>
                              <w:marRight w:val="0"/>
                              <w:marTop w:val="0"/>
                              <w:marBottom w:val="0"/>
                              <w:divBdr>
                                <w:top w:val="none" w:sz="0" w:space="0" w:color="auto"/>
                                <w:left w:val="none" w:sz="0" w:space="0" w:color="auto"/>
                                <w:bottom w:val="none" w:sz="0" w:space="0" w:color="auto"/>
                                <w:right w:val="none" w:sz="0" w:space="0" w:color="auto"/>
                              </w:divBdr>
                              <w:divsChild>
                                <w:div w:id="2138637898">
                                  <w:marLeft w:val="0"/>
                                  <w:marRight w:val="0"/>
                                  <w:marTop w:val="0"/>
                                  <w:marBottom w:val="0"/>
                                  <w:divBdr>
                                    <w:top w:val="none" w:sz="0" w:space="0" w:color="auto"/>
                                    <w:left w:val="none" w:sz="0" w:space="0" w:color="auto"/>
                                    <w:bottom w:val="none" w:sz="0" w:space="0" w:color="auto"/>
                                    <w:right w:val="none" w:sz="0" w:space="0" w:color="auto"/>
                                  </w:divBdr>
                                  <w:divsChild>
                                    <w:div w:id="494610581">
                                      <w:marLeft w:val="0"/>
                                      <w:marRight w:val="0"/>
                                      <w:marTop w:val="0"/>
                                      <w:marBottom w:val="0"/>
                                      <w:divBdr>
                                        <w:top w:val="none" w:sz="0" w:space="0" w:color="auto"/>
                                        <w:left w:val="none" w:sz="0" w:space="0" w:color="auto"/>
                                        <w:bottom w:val="none" w:sz="0" w:space="0" w:color="auto"/>
                                        <w:right w:val="none" w:sz="0" w:space="0" w:color="auto"/>
                                      </w:divBdr>
                                      <w:divsChild>
                                        <w:div w:id="1016808313">
                                          <w:marLeft w:val="0"/>
                                          <w:marRight w:val="0"/>
                                          <w:marTop w:val="0"/>
                                          <w:marBottom w:val="0"/>
                                          <w:divBdr>
                                            <w:top w:val="none" w:sz="0" w:space="0" w:color="auto"/>
                                            <w:left w:val="none" w:sz="0" w:space="0" w:color="auto"/>
                                            <w:bottom w:val="none" w:sz="0" w:space="0" w:color="auto"/>
                                            <w:right w:val="none" w:sz="0" w:space="0" w:color="auto"/>
                                          </w:divBdr>
                                          <w:divsChild>
                                            <w:div w:id="1068769524">
                                              <w:marLeft w:val="0"/>
                                              <w:marRight w:val="0"/>
                                              <w:marTop w:val="0"/>
                                              <w:marBottom w:val="0"/>
                                              <w:divBdr>
                                                <w:top w:val="none" w:sz="0" w:space="0" w:color="auto"/>
                                                <w:left w:val="none" w:sz="0" w:space="0" w:color="auto"/>
                                                <w:bottom w:val="none" w:sz="0" w:space="0" w:color="auto"/>
                                                <w:right w:val="none" w:sz="0" w:space="0" w:color="auto"/>
                                              </w:divBdr>
                                              <w:divsChild>
                                                <w:div w:id="1491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233455">
      <w:bodyDiv w:val="1"/>
      <w:marLeft w:val="0"/>
      <w:marRight w:val="0"/>
      <w:marTop w:val="0"/>
      <w:marBottom w:val="0"/>
      <w:divBdr>
        <w:top w:val="none" w:sz="0" w:space="0" w:color="auto"/>
        <w:left w:val="none" w:sz="0" w:space="0" w:color="auto"/>
        <w:bottom w:val="none" w:sz="0" w:space="0" w:color="auto"/>
        <w:right w:val="none" w:sz="0" w:space="0" w:color="auto"/>
      </w:divBdr>
      <w:divsChild>
        <w:div w:id="163404208">
          <w:marLeft w:val="0"/>
          <w:marRight w:val="0"/>
          <w:marTop w:val="0"/>
          <w:marBottom w:val="0"/>
          <w:divBdr>
            <w:top w:val="none" w:sz="0" w:space="0" w:color="auto"/>
            <w:left w:val="none" w:sz="0" w:space="0" w:color="auto"/>
            <w:bottom w:val="none" w:sz="0" w:space="0" w:color="auto"/>
            <w:right w:val="none" w:sz="0" w:space="0" w:color="auto"/>
          </w:divBdr>
          <w:divsChild>
            <w:div w:id="1624341790">
              <w:marLeft w:val="0"/>
              <w:marRight w:val="0"/>
              <w:marTop w:val="0"/>
              <w:marBottom w:val="0"/>
              <w:divBdr>
                <w:top w:val="none" w:sz="0" w:space="0" w:color="auto"/>
                <w:left w:val="none" w:sz="0" w:space="0" w:color="auto"/>
                <w:bottom w:val="none" w:sz="0" w:space="0" w:color="auto"/>
                <w:right w:val="none" w:sz="0" w:space="0" w:color="auto"/>
              </w:divBdr>
              <w:divsChild>
                <w:div w:id="73555623">
                  <w:marLeft w:val="0"/>
                  <w:marRight w:val="0"/>
                  <w:marTop w:val="0"/>
                  <w:marBottom w:val="0"/>
                  <w:divBdr>
                    <w:top w:val="none" w:sz="0" w:space="0" w:color="auto"/>
                    <w:left w:val="none" w:sz="0" w:space="0" w:color="auto"/>
                    <w:bottom w:val="none" w:sz="0" w:space="0" w:color="auto"/>
                    <w:right w:val="none" w:sz="0" w:space="0" w:color="auto"/>
                  </w:divBdr>
                  <w:divsChild>
                    <w:div w:id="1985810787">
                      <w:marLeft w:val="0"/>
                      <w:marRight w:val="0"/>
                      <w:marTop w:val="0"/>
                      <w:marBottom w:val="0"/>
                      <w:divBdr>
                        <w:top w:val="none" w:sz="0" w:space="0" w:color="auto"/>
                        <w:left w:val="none" w:sz="0" w:space="0" w:color="auto"/>
                        <w:bottom w:val="none" w:sz="0" w:space="0" w:color="auto"/>
                        <w:right w:val="none" w:sz="0" w:space="0" w:color="auto"/>
                      </w:divBdr>
                      <w:divsChild>
                        <w:div w:id="1753160522">
                          <w:marLeft w:val="0"/>
                          <w:marRight w:val="0"/>
                          <w:marTop w:val="0"/>
                          <w:marBottom w:val="0"/>
                          <w:divBdr>
                            <w:top w:val="single" w:sz="6" w:space="0" w:color="828282"/>
                            <w:left w:val="single" w:sz="6" w:space="0" w:color="828282"/>
                            <w:bottom w:val="single" w:sz="6" w:space="0" w:color="828282"/>
                            <w:right w:val="single" w:sz="6" w:space="0" w:color="828282"/>
                          </w:divBdr>
                          <w:divsChild>
                            <w:div w:id="1309283172">
                              <w:marLeft w:val="0"/>
                              <w:marRight w:val="0"/>
                              <w:marTop w:val="0"/>
                              <w:marBottom w:val="0"/>
                              <w:divBdr>
                                <w:top w:val="none" w:sz="0" w:space="0" w:color="auto"/>
                                <w:left w:val="none" w:sz="0" w:space="0" w:color="auto"/>
                                <w:bottom w:val="none" w:sz="0" w:space="0" w:color="auto"/>
                                <w:right w:val="none" w:sz="0" w:space="0" w:color="auto"/>
                              </w:divBdr>
                              <w:divsChild>
                                <w:div w:id="1012411597">
                                  <w:marLeft w:val="0"/>
                                  <w:marRight w:val="0"/>
                                  <w:marTop w:val="0"/>
                                  <w:marBottom w:val="0"/>
                                  <w:divBdr>
                                    <w:top w:val="none" w:sz="0" w:space="0" w:color="auto"/>
                                    <w:left w:val="none" w:sz="0" w:space="0" w:color="auto"/>
                                    <w:bottom w:val="none" w:sz="0" w:space="0" w:color="auto"/>
                                    <w:right w:val="none" w:sz="0" w:space="0" w:color="auto"/>
                                  </w:divBdr>
                                  <w:divsChild>
                                    <w:div w:id="697589902">
                                      <w:marLeft w:val="0"/>
                                      <w:marRight w:val="0"/>
                                      <w:marTop w:val="0"/>
                                      <w:marBottom w:val="0"/>
                                      <w:divBdr>
                                        <w:top w:val="none" w:sz="0" w:space="0" w:color="auto"/>
                                        <w:left w:val="none" w:sz="0" w:space="0" w:color="auto"/>
                                        <w:bottom w:val="none" w:sz="0" w:space="0" w:color="auto"/>
                                        <w:right w:val="none" w:sz="0" w:space="0" w:color="auto"/>
                                      </w:divBdr>
                                      <w:divsChild>
                                        <w:div w:id="803156346">
                                          <w:marLeft w:val="0"/>
                                          <w:marRight w:val="0"/>
                                          <w:marTop w:val="0"/>
                                          <w:marBottom w:val="0"/>
                                          <w:divBdr>
                                            <w:top w:val="none" w:sz="0" w:space="0" w:color="auto"/>
                                            <w:left w:val="none" w:sz="0" w:space="0" w:color="auto"/>
                                            <w:bottom w:val="none" w:sz="0" w:space="0" w:color="auto"/>
                                            <w:right w:val="none" w:sz="0" w:space="0" w:color="auto"/>
                                          </w:divBdr>
                                          <w:divsChild>
                                            <w:div w:id="785001006">
                                              <w:marLeft w:val="0"/>
                                              <w:marRight w:val="0"/>
                                              <w:marTop w:val="0"/>
                                              <w:marBottom w:val="0"/>
                                              <w:divBdr>
                                                <w:top w:val="none" w:sz="0" w:space="0" w:color="auto"/>
                                                <w:left w:val="none" w:sz="0" w:space="0" w:color="auto"/>
                                                <w:bottom w:val="none" w:sz="0" w:space="0" w:color="auto"/>
                                                <w:right w:val="none" w:sz="0" w:space="0" w:color="auto"/>
                                              </w:divBdr>
                                              <w:divsChild>
                                                <w:div w:id="19046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728071">
      <w:bodyDiv w:val="1"/>
      <w:marLeft w:val="0"/>
      <w:marRight w:val="0"/>
      <w:marTop w:val="0"/>
      <w:marBottom w:val="0"/>
      <w:divBdr>
        <w:top w:val="none" w:sz="0" w:space="0" w:color="auto"/>
        <w:left w:val="none" w:sz="0" w:space="0" w:color="auto"/>
        <w:bottom w:val="none" w:sz="0" w:space="0" w:color="auto"/>
        <w:right w:val="none" w:sz="0" w:space="0" w:color="auto"/>
      </w:divBdr>
      <w:divsChild>
        <w:div w:id="1683512332">
          <w:marLeft w:val="0"/>
          <w:marRight w:val="0"/>
          <w:marTop w:val="0"/>
          <w:marBottom w:val="0"/>
          <w:divBdr>
            <w:top w:val="none" w:sz="0" w:space="0" w:color="auto"/>
            <w:left w:val="none" w:sz="0" w:space="0" w:color="auto"/>
            <w:bottom w:val="none" w:sz="0" w:space="0" w:color="auto"/>
            <w:right w:val="none" w:sz="0" w:space="0" w:color="auto"/>
          </w:divBdr>
          <w:divsChild>
            <w:div w:id="304505488">
              <w:marLeft w:val="0"/>
              <w:marRight w:val="0"/>
              <w:marTop w:val="0"/>
              <w:marBottom w:val="0"/>
              <w:divBdr>
                <w:top w:val="none" w:sz="0" w:space="0" w:color="auto"/>
                <w:left w:val="none" w:sz="0" w:space="0" w:color="auto"/>
                <w:bottom w:val="none" w:sz="0" w:space="0" w:color="auto"/>
                <w:right w:val="none" w:sz="0" w:space="0" w:color="auto"/>
              </w:divBdr>
              <w:divsChild>
                <w:div w:id="318536223">
                  <w:marLeft w:val="0"/>
                  <w:marRight w:val="0"/>
                  <w:marTop w:val="0"/>
                  <w:marBottom w:val="0"/>
                  <w:divBdr>
                    <w:top w:val="none" w:sz="0" w:space="0" w:color="auto"/>
                    <w:left w:val="none" w:sz="0" w:space="0" w:color="auto"/>
                    <w:bottom w:val="none" w:sz="0" w:space="0" w:color="auto"/>
                    <w:right w:val="none" w:sz="0" w:space="0" w:color="auto"/>
                  </w:divBdr>
                  <w:divsChild>
                    <w:div w:id="184952745">
                      <w:marLeft w:val="0"/>
                      <w:marRight w:val="0"/>
                      <w:marTop w:val="0"/>
                      <w:marBottom w:val="0"/>
                      <w:divBdr>
                        <w:top w:val="none" w:sz="0" w:space="0" w:color="auto"/>
                        <w:left w:val="none" w:sz="0" w:space="0" w:color="auto"/>
                        <w:bottom w:val="none" w:sz="0" w:space="0" w:color="auto"/>
                        <w:right w:val="none" w:sz="0" w:space="0" w:color="auto"/>
                      </w:divBdr>
                      <w:divsChild>
                        <w:div w:id="824130134">
                          <w:marLeft w:val="0"/>
                          <w:marRight w:val="0"/>
                          <w:marTop w:val="0"/>
                          <w:marBottom w:val="0"/>
                          <w:divBdr>
                            <w:top w:val="single" w:sz="6" w:space="0" w:color="828282"/>
                            <w:left w:val="single" w:sz="6" w:space="0" w:color="828282"/>
                            <w:bottom w:val="single" w:sz="6" w:space="0" w:color="828282"/>
                            <w:right w:val="single" w:sz="6" w:space="0" w:color="828282"/>
                          </w:divBdr>
                          <w:divsChild>
                            <w:div w:id="172573552">
                              <w:marLeft w:val="0"/>
                              <w:marRight w:val="0"/>
                              <w:marTop w:val="0"/>
                              <w:marBottom w:val="0"/>
                              <w:divBdr>
                                <w:top w:val="none" w:sz="0" w:space="0" w:color="auto"/>
                                <w:left w:val="none" w:sz="0" w:space="0" w:color="auto"/>
                                <w:bottom w:val="none" w:sz="0" w:space="0" w:color="auto"/>
                                <w:right w:val="none" w:sz="0" w:space="0" w:color="auto"/>
                              </w:divBdr>
                              <w:divsChild>
                                <w:div w:id="417866768">
                                  <w:marLeft w:val="0"/>
                                  <w:marRight w:val="0"/>
                                  <w:marTop w:val="0"/>
                                  <w:marBottom w:val="0"/>
                                  <w:divBdr>
                                    <w:top w:val="none" w:sz="0" w:space="0" w:color="auto"/>
                                    <w:left w:val="none" w:sz="0" w:space="0" w:color="auto"/>
                                    <w:bottom w:val="none" w:sz="0" w:space="0" w:color="auto"/>
                                    <w:right w:val="none" w:sz="0" w:space="0" w:color="auto"/>
                                  </w:divBdr>
                                  <w:divsChild>
                                    <w:div w:id="533151919">
                                      <w:marLeft w:val="0"/>
                                      <w:marRight w:val="0"/>
                                      <w:marTop w:val="0"/>
                                      <w:marBottom w:val="0"/>
                                      <w:divBdr>
                                        <w:top w:val="none" w:sz="0" w:space="0" w:color="auto"/>
                                        <w:left w:val="none" w:sz="0" w:space="0" w:color="auto"/>
                                        <w:bottom w:val="none" w:sz="0" w:space="0" w:color="auto"/>
                                        <w:right w:val="none" w:sz="0" w:space="0" w:color="auto"/>
                                      </w:divBdr>
                                      <w:divsChild>
                                        <w:div w:id="327756644">
                                          <w:marLeft w:val="0"/>
                                          <w:marRight w:val="0"/>
                                          <w:marTop w:val="0"/>
                                          <w:marBottom w:val="0"/>
                                          <w:divBdr>
                                            <w:top w:val="none" w:sz="0" w:space="0" w:color="auto"/>
                                            <w:left w:val="none" w:sz="0" w:space="0" w:color="auto"/>
                                            <w:bottom w:val="none" w:sz="0" w:space="0" w:color="auto"/>
                                            <w:right w:val="none" w:sz="0" w:space="0" w:color="auto"/>
                                          </w:divBdr>
                                          <w:divsChild>
                                            <w:div w:id="513882984">
                                              <w:marLeft w:val="0"/>
                                              <w:marRight w:val="0"/>
                                              <w:marTop w:val="0"/>
                                              <w:marBottom w:val="0"/>
                                              <w:divBdr>
                                                <w:top w:val="none" w:sz="0" w:space="0" w:color="auto"/>
                                                <w:left w:val="none" w:sz="0" w:space="0" w:color="auto"/>
                                                <w:bottom w:val="none" w:sz="0" w:space="0" w:color="auto"/>
                                                <w:right w:val="none" w:sz="0" w:space="0" w:color="auto"/>
                                              </w:divBdr>
                                              <w:divsChild>
                                                <w:div w:id="11952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18712382">
      <w:bodyDiv w:val="1"/>
      <w:marLeft w:val="0"/>
      <w:marRight w:val="0"/>
      <w:marTop w:val="0"/>
      <w:marBottom w:val="0"/>
      <w:divBdr>
        <w:top w:val="none" w:sz="0" w:space="0" w:color="auto"/>
        <w:left w:val="none" w:sz="0" w:space="0" w:color="auto"/>
        <w:bottom w:val="none" w:sz="0" w:space="0" w:color="auto"/>
        <w:right w:val="none" w:sz="0" w:space="0" w:color="auto"/>
      </w:divBdr>
      <w:divsChild>
        <w:div w:id="1197351317">
          <w:marLeft w:val="0"/>
          <w:marRight w:val="0"/>
          <w:marTop w:val="0"/>
          <w:marBottom w:val="0"/>
          <w:divBdr>
            <w:top w:val="none" w:sz="0" w:space="0" w:color="auto"/>
            <w:left w:val="none" w:sz="0" w:space="0" w:color="auto"/>
            <w:bottom w:val="none" w:sz="0" w:space="0" w:color="auto"/>
            <w:right w:val="none" w:sz="0" w:space="0" w:color="auto"/>
          </w:divBdr>
          <w:divsChild>
            <w:div w:id="100298415">
              <w:marLeft w:val="0"/>
              <w:marRight w:val="0"/>
              <w:marTop w:val="0"/>
              <w:marBottom w:val="0"/>
              <w:divBdr>
                <w:top w:val="none" w:sz="0" w:space="0" w:color="auto"/>
                <w:left w:val="none" w:sz="0" w:space="0" w:color="auto"/>
                <w:bottom w:val="none" w:sz="0" w:space="0" w:color="auto"/>
                <w:right w:val="none" w:sz="0" w:space="0" w:color="auto"/>
              </w:divBdr>
              <w:divsChild>
                <w:div w:id="1155417950">
                  <w:marLeft w:val="0"/>
                  <w:marRight w:val="0"/>
                  <w:marTop w:val="0"/>
                  <w:marBottom w:val="0"/>
                  <w:divBdr>
                    <w:top w:val="none" w:sz="0" w:space="0" w:color="auto"/>
                    <w:left w:val="none" w:sz="0" w:space="0" w:color="auto"/>
                    <w:bottom w:val="none" w:sz="0" w:space="0" w:color="auto"/>
                    <w:right w:val="none" w:sz="0" w:space="0" w:color="auto"/>
                  </w:divBdr>
                  <w:divsChild>
                    <w:div w:id="1112089187">
                      <w:marLeft w:val="0"/>
                      <w:marRight w:val="0"/>
                      <w:marTop w:val="0"/>
                      <w:marBottom w:val="0"/>
                      <w:divBdr>
                        <w:top w:val="none" w:sz="0" w:space="0" w:color="auto"/>
                        <w:left w:val="none" w:sz="0" w:space="0" w:color="auto"/>
                        <w:bottom w:val="none" w:sz="0" w:space="0" w:color="auto"/>
                        <w:right w:val="none" w:sz="0" w:space="0" w:color="auto"/>
                      </w:divBdr>
                      <w:divsChild>
                        <w:div w:id="1619795425">
                          <w:marLeft w:val="0"/>
                          <w:marRight w:val="0"/>
                          <w:marTop w:val="0"/>
                          <w:marBottom w:val="0"/>
                          <w:divBdr>
                            <w:top w:val="single" w:sz="6" w:space="0" w:color="828282"/>
                            <w:left w:val="single" w:sz="6" w:space="0" w:color="828282"/>
                            <w:bottom w:val="single" w:sz="6" w:space="0" w:color="828282"/>
                            <w:right w:val="single" w:sz="6" w:space="0" w:color="828282"/>
                          </w:divBdr>
                          <w:divsChild>
                            <w:div w:id="1860579921">
                              <w:marLeft w:val="0"/>
                              <w:marRight w:val="0"/>
                              <w:marTop w:val="0"/>
                              <w:marBottom w:val="0"/>
                              <w:divBdr>
                                <w:top w:val="none" w:sz="0" w:space="0" w:color="auto"/>
                                <w:left w:val="none" w:sz="0" w:space="0" w:color="auto"/>
                                <w:bottom w:val="none" w:sz="0" w:space="0" w:color="auto"/>
                                <w:right w:val="none" w:sz="0" w:space="0" w:color="auto"/>
                              </w:divBdr>
                              <w:divsChild>
                                <w:div w:id="1207327903">
                                  <w:marLeft w:val="0"/>
                                  <w:marRight w:val="0"/>
                                  <w:marTop w:val="0"/>
                                  <w:marBottom w:val="0"/>
                                  <w:divBdr>
                                    <w:top w:val="none" w:sz="0" w:space="0" w:color="auto"/>
                                    <w:left w:val="none" w:sz="0" w:space="0" w:color="auto"/>
                                    <w:bottom w:val="none" w:sz="0" w:space="0" w:color="auto"/>
                                    <w:right w:val="none" w:sz="0" w:space="0" w:color="auto"/>
                                  </w:divBdr>
                                  <w:divsChild>
                                    <w:div w:id="1735397750">
                                      <w:marLeft w:val="0"/>
                                      <w:marRight w:val="0"/>
                                      <w:marTop w:val="0"/>
                                      <w:marBottom w:val="0"/>
                                      <w:divBdr>
                                        <w:top w:val="none" w:sz="0" w:space="0" w:color="auto"/>
                                        <w:left w:val="none" w:sz="0" w:space="0" w:color="auto"/>
                                        <w:bottom w:val="none" w:sz="0" w:space="0" w:color="auto"/>
                                        <w:right w:val="none" w:sz="0" w:space="0" w:color="auto"/>
                                      </w:divBdr>
                                      <w:divsChild>
                                        <w:div w:id="1595357120">
                                          <w:marLeft w:val="0"/>
                                          <w:marRight w:val="0"/>
                                          <w:marTop w:val="0"/>
                                          <w:marBottom w:val="0"/>
                                          <w:divBdr>
                                            <w:top w:val="none" w:sz="0" w:space="0" w:color="auto"/>
                                            <w:left w:val="none" w:sz="0" w:space="0" w:color="auto"/>
                                            <w:bottom w:val="none" w:sz="0" w:space="0" w:color="auto"/>
                                            <w:right w:val="none" w:sz="0" w:space="0" w:color="auto"/>
                                          </w:divBdr>
                                          <w:divsChild>
                                            <w:div w:id="1175533114">
                                              <w:marLeft w:val="0"/>
                                              <w:marRight w:val="0"/>
                                              <w:marTop w:val="0"/>
                                              <w:marBottom w:val="0"/>
                                              <w:divBdr>
                                                <w:top w:val="none" w:sz="0" w:space="0" w:color="auto"/>
                                                <w:left w:val="none" w:sz="0" w:space="0" w:color="auto"/>
                                                <w:bottom w:val="none" w:sz="0" w:space="0" w:color="auto"/>
                                                <w:right w:val="none" w:sz="0" w:space="0" w:color="auto"/>
                                              </w:divBdr>
                                              <w:divsChild>
                                                <w:div w:id="4784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8403D-4874-4AD9-A91C-EF9D33F4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Dolphin</dc:creator>
  <cp:lastModifiedBy>jennifer.dolphin</cp:lastModifiedBy>
  <cp:revision>86</cp:revision>
  <cp:lastPrinted>2013-06-23T21:10:00Z</cp:lastPrinted>
  <dcterms:created xsi:type="dcterms:W3CDTF">2014-04-17T05:01:00Z</dcterms:created>
  <dcterms:modified xsi:type="dcterms:W3CDTF">2014-05-21T07:12:00Z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A4170161</vt:lpwstr>
  </property>
  <property fmtid="{D5CDD505-2E9C-101B-9397-08002B2CF9AE}" pid="3" name="Objective-Title">
    <vt:lpwstr>ES to ASIC Market Integrity Rules (ASX 24 Market-Capital) 2014</vt:lpwstr>
  </property>
  <property fmtid="{D5CDD505-2E9C-101B-9397-08002B2CF9AE}" pid="4" name="Objective-Comment">
    <vt:lpwstr>
    </vt:lpwstr>
  </property>
  <property fmtid="{D5CDD505-2E9C-101B-9397-08002B2CF9AE}" pid="5" name="Objective-CreationStamp">
    <vt:filetime>2014-04-16T23:19:05Z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2014-05-20T03:03:06Z</vt:filetime>
  </property>
  <property fmtid="{D5CDD505-2E9C-101B-9397-08002B2CF9AE}" pid="10" name="Objective-Owner">
    <vt:lpwstr>Jennifer Dolphin</vt:lpwstr>
  </property>
  <property fmtid="{D5CDD505-2E9C-101B-9397-08002B2CF9AE}" pid="11" name="Objective-Path">
    <vt:lpwstr>ASIC BCS:POLICY &amp; REGULATORY FRAMEWORK:Policy Development:Markets:Participant Capital Adequacy Project:AA Split of Capital Rules:3 ASX 24 capital rules split:3c ES to ASX 24 new capital rules:</vt:lpwstr>
  </property>
  <property fmtid="{D5CDD505-2E9C-101B-9397-08002B2CF9AE}" pid="12" name="Objective-Parent">
    <vt:lpwstr>3c ES to ASX 24 new capital rules</vt:lpwstr>
  </property>
  <property fmtid="{D5CDD505-2E9C-101B-9397-08002B2CF9AE}" pid="13" name="Objective-State">
    <vt:lpwstr>Being Edited</vt:lpwstr>
  </property>
  <property fmtid="{D5CDD505-2E9C-101B-9397-08002B2CF9AE}" pid="14" name="Objective-Version">
    <vt:lpwstr>0.7</vt:lpwstr>
  </property>
  <property fmtid="{D5CDD505-2E9C-101B-9397-08002B2CF9AE}" pid="15" name="Objective-VersionNumber">
    <vt:i4>7</vt:i4>
  </property>
  <property fmtid="{D5CDD505-2E9C-101B-9397-08002B2CF9AE}" pid="16" name="Objective-VersionComment">
    <vt:lpwstr>
    </vt:lpwstr>
  </property>
  <property fmtid="{D5CDD505-2E9C-101B-9397-08002B2CF9AE}" pid="17" name="Objective-FileNumber">
    <vt:lpwstr>2011 - 005078</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