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04" w:rsidRPr="00464136" w:rsidRDefault="00686104" w:rsidP="00686104">
      <w:pPr>
        <w:pStyle w:val="acentred"/>
      </w:pPr>
      <w:r w:rsidRPr="00464136">
        <w:t>Australian Securities and Investments Commission</w:t>
      </w:r>
      <w:r w:rsidRPr="00464136">
        <w:br/>
        <w:t xml:space="preserve">Corporations Act 2001 — </w:t>
      </w:r>
      <w:r>
        <w:t xml:space="preserve">Subsection 1020F(1) </w:t>
      </w:r>
      <w:r w:rsidRPr="00464136">
        <w:t xml:space="preserve">— </w:t>
      </w:r>
      <w:r>
        <w:t>Exemption</w:t>
      </w:r>
      <w:r w:rsidR="00997818">
        <w:t xml:space="preserve"> and </w:t>
      </w:r>
      <w:r w:rsidR="002D4AEA">
        <w:t>Declaration</w:t>
      </w:r>
    </w:p>
    <w:p w:rsidR="00686104" w:rsidRPr="008B3D8B" w:rsidRDefault="00686104" w:rsidP="00686104">
      <w:pPr>
        <w:pStyle w:val="aheade"/>
        <w:rPr>
          <w:rFonts w:ascii="Times New Roman" w:hAnsi="Times New Roman"/>
          <w:lang w:val="en-US"/>
        </w:rPr>
      </w:pPr>
      <w:r w:rsidRPr="008B3D8B">
        <w:rPr>
          <w:rFonts w:ascii="Times New Roman" w:hAnsi="Times New Roman"/>
          <w:lang w:val="en-US"/>
        </w:rPr>
        <w:t>Enabling legislation</w:t>
      </w:r>
    </w:p>
    <w:p w:rsidR="00686104" w:rsidRPr="00464136" w:rsidRDefault="00686104" w:rsidP="00781756">
      <w:pPr>
        <w:pStyle w:val="Style1"/>
      </w:pPr>
      <w:r w:rsidRPr="00464136">
        <w:t>1.</w:t>
      </w:r>
      <w:r w:rsidRPr="00464136">
        <w:tab/>
        <w:t xml:space="preserve">The Australian Securities and Investments Commission makes this instrument under </w:t>
      </w:r>
      <w:r>
        <w:t xml:space="preserve">subsection </w:t>
      </w:r>
      <w:proofErr w:type="gramStart"/>
      <w:r>
        <w:t>1020F(</w:t>
      </w:r>
      <w:proofErr w:type="gramEnd"/>
      <w:r>
        <w:t xml:space="preserve">1) </w:t>
      </w:r>
      <w:r w:rsidRPr="00A85CD8">
        <w:t xml:space="preserve">of the </w:t>
      </w:r>
      <w:r w:rsidRPr="00A85CD8">
        <w:rPr>
          <w:i/>
        </w:rPr>
        <w:t xml:space="preserve">Corporations Act </w:t>
      </w:r>
      <w:r w:rsidRPr="00A85CD8">
        <w:rPr>
          <w:i/>
          <w:iCs/>
        </w:rPr>
        <w:t xml:space="preserve">2001 </w:t>
      </w:r>
      <w:r w:rsidRPr="00A85CD8">
        <w:t xml:space="preserve">(the </w:t>
      </w:r>
      <w:r w:rsidRPr="00A85CD8">
        <w:rPr>
          <w:b/>
          <w:i/>
        </w:rPr>
        <w:t>Act</w:t>
      </w:r>
      <w:r w:rsidRPr="00464136">
        <w:t>).</w:t>
      </w:r>
    </w:p>
    <w:p w:rsidR="00686104" w:rsidRPr="008B3D8B" w:rsidRDefault="00686104" w:rsidP="00686104">
      <w:pPr>
        <w:pStyle w:val="aheade"/>
        <w:rPr>
          <w:rFonts w:ascii="Times New Roman" w:hAnsi="Times New Roman"/>
          <w:lang w:val="en-US"/>
        </w:rPr>
      </w:pPr>
      <w:r w:rsidRPr="008B3D8B">
        <w:rPr>
          <w:rFonts w:ascii="Times New Roman" w:hAnsi="Times New Roman"/>
          <w:lang w:val="en-US"/>
        </w:rPr>
        <w:t>Title</w:t>
      </w:r>
    </w:p>
    <w:p w:rsidR="00686104" w:rsidRPr="00464136" w:rsidRDefault="00686104" w:rsidP="00781756">
      <w:pPr>
        <w:pStyle w:val="Style1"/>
      </w:pPr>
      <w:r w:rsidRPr="00464136">
        <w:t>2.</w:t>
      </w:r>
      <w:r w:rsidRPr="00464136">
        <w:tab/>
        <w:t xml:space="preserve">This instrument is ASIC </w:t>
      </w:r>
      <w:r>
        <w:t>Class Order</w:t>
      </w:r>
      <w:r w:rsidRPr="00464136">
        <w:t xml:space="preserve"> [</w:t>
      </w:r>
      <w:r>
        <w:t>CO</w:t>
      </w:r>
      <w:r w:rsidR="00AB143D">
        <w:t xml:space="preserve"> </w:t>
      </w:r>
      <w:r w:rsidR="008C02C3">
        <w:t>14/443</w:t>
      </w:r>
      <w:r>
        <w:t>]</w:t>
      </w:r>
      <w:r w:rsidRPr="00464136">
        <w:t>.</w:t>
      </w:r>
    </w:p>
    <w:p w:rsidR="00686104" w:rsidRPr="008B3D8B" w:rsidRDefault="00686104" w:rsidP="00686104">
      <w:pPr>
        <w:pStyle w:val="aheade"/>
        <w:rPr>
          <w:rFonts w:ascii="Times New Roman" w:hAnsi="Times New Roman"/>
          <w:lang w:val="en-US"/>
        </w:rPr>
      </w:pPr>
      <w:r w:rsidRPr="008B3D8B">
        <w:rPr>
          <w:rFonts w:ascii="Times New Roman" w:hAnsi="Times New Roman"/>
          <w:lang w:val="en-US"/>
        </w:rPr>
        <w:t xml:space="preserve">Commencement </w:t>
      </w:r>
      <w:bookmarkStart w:id="0" w:name="_GoBack"/>
      <w:bookmarkEnd w:id="0"/>
    </w:p>
    <w:p w:rsidR="006958C6" w:rsidRDefault="00681A09" w:rsidP="00781756">
      <w:pPr>
        <w:pStyle w:val="Style1"/>
        <w:rPr>
          <w:rFonts w:eastAsia="Calibri"/>
        </w:rPr>
      </w:pPr>
      <w:r>
        <w:rPr>
          <w:rFonts w:eastAsia="Calibri"/>
        </w:rPr>
        <w:t>3</w:t>
      </w:r>
      <w:r w:rsidR="00686104" w:rsidRPr="0086261B">
        <w:rPr>
          <w:rFonts w:eastAsia="Calibri"/>
        </w:rPr>
        <w:t>.</w:t>
      </w:r>
      <w:r w:rsidR="00686104" w:rsidRPr="0086261B">
        <w:rPr>
          <w:rFonts w:eastAsia="Calibri"/>
        </w:rPr>
        <w:tab/>
        <w:t>This instrument commences on the</w:t>
      </w:r>
      <w:r w:rsidR="002A646C">
        <w:rPr>
          <w:rFonts w:eastAsia="Calibri"/>
        </w:rPr>
        <w:t xml:space="preserve"> </w:t>
      </w:r>
      <w:r w:rsidR="006958C6">
        <w:rPr>
          <w:rFonts w:eastAsia="Calibri"/>
        </w:rPr>
        <w:t>date</w:t>
      </w:r>
      <w:r w:rsidR="00686104" w:rsidRPr="0086261B">
        <w:rPr>
          <w:rFonts w:eastAsia="Calibri"/>
        </w:rPr>
        <w:t xml:space="preserve"> it is registered under the </w:t>
      </w:r>
      <w:r w:rsidR="00686104" w:rsidRPr="0086261B">
        <w:rPr>
          <w:rFonts w:eastAsia="Calibri"/>
          <w:i/>
        </w:rPr>
        <w:t>Legislative Instruments Act 2003</w:t>
      </w:r>
      <w:r w:rsidR="006958C6">
        <w:rPr>
          <w:rFonts w:eastAsia="Calibri"/>
        </w:rPr>
        <w:t xml:space="preserve">. </w:t>
      </w:r>
    </w:p>
    <w:p w:rsidR="00686104" w:rsidRPr="0086261B" w:rsidRDefault="00686104" w:rsidP="00781756">
      <w:pPr>
        <w:pStyle w:val="ahist"/>
        <w:ind w:left="1134" w:hanging="567"/>
        <w:rPr>
          <w:rFonts w:eastAsia="Calibri"/>
          <w:b/>
          <w:lang w:val="en-US"/>
        </w:rPr>
      </w:pPr>
      <w:r w:rsidRPr="0086261B">
        <w:rPr>
          <w:rFonts w:eastAsia="Calibri"/>
          <w:lang w:val="en-US"/>
        </w:rPr>
        <w:t>Note:</w:t>
      </w:r>
      <w:r w:rsidRPr="0086261B">
        <w:rPr>
          <w:rFonts w:eastAsia="Calibri"/>
          <w:lang w:val="en-US"/>
        </w:rPr>
        <w:tab/>
        <w:t xml:space="preserve">An instrument is registered when it is recorded on the Federal Register of Legislative Instruments </w:t>
      </w:r>
      <w:r w:rsidRPr="0086261B">
        <w:rPr>
          <w:rFonts w:eastAsia="Calibri"/>
          <w:i/>
          <w:lang w:val="en-US"/>
        </w:rPr>
        <w:t>(</w:t>
      </w:r>
      <w:r w:rsidRPr="0086261B">
        <w:rPr>
          <w:rFonts w:eastAsia="Calibri"/>
          <w:b/>
          <w:bCs/>
          <w:i/>
          <w:lang w:val="en-US"/>
        </w:rPr>
        <w:t>FRLI</w:t>
      </w:r>
      <w:r w:rsidRPr="0086261B">
        <w:rPr>
          <w:rFonts w:eastAsia="Calibri"/>
          <w:i/>
          <w:lang w:val="en-US"/>
        </w:rPr>
        <w:t xml:space="preserve">) </w:t>
      </w:r>
      <w:r w:rsidRPr="0086261B">
        <w:rPr>
          <w:rFonts w:eastAsia="Calibri"/>
          <w:lang w:val="en-US"/>
        </w:rPr>
        <w:t xml:space="preserve">in electronic form: see </w:t>
      </w:r>
      <w:r w:rsidRPr="0086261B">
        <w:rPr>
          <w:rFonts w:eastAsia="Calibri"/>
          <w:i/>
          <w:spacing w:val="4"/>
          <w:lang w:val="en-US"/>
        </w:rPr>
        <w:t xml:space="preserve">Legislative Instruments Act </w:t>
      </w:r>
      <w:r w:rsidRPr="0086261B">
        <w:rPr>
          <w:rFonts w:eastAsia="Calibri"/>
          <w:i/>
          <w:iCs/>
          <w:lang w:val="en-US"/>
        </w:rPr>
        <w:t>2003</w:t>
      </w:r>
      <w:r w:rsidRPr="0086261B">
        <w:rPr>
          <w:rFonts w:eastAsia="Calibri"/>
          <w:lang w:val="en-US"/>
        </w:rPr>
        <w:t xml:space="preserve">, section 4 (definition of </w:t>
      </w:r>
      <w:r w:rsidRPr="0086261B">
        <w:rPr>
          <w:rFonts w:eastAsia="Calibri"/>
          <w:b/>
          <w:bCs/>
          <w:i/>
          <w:iCs/>
          <w:lang w:val="en-US"/>
        </w:rPr>
        <w:t>register</w:t>
      </w:r>
      <w:r w:rsidRPr="0086261B">
        <w:rPr>
          <w:rFonts w:eastAsia="Calibri"/>
          <w:lang w:val="en-US"/>
        </w:rPr>
        <w:t xml:space="preserve">).  The FRLI may be accessed at </w:t>
      </w:r>
      <w:hyperlink r:id="rId8" w:history="1">
        <w:r w:rsidRPr="0086261B">
          <w:rPr>
            <w:rFonts w:eastAsia="Calibri"/>
            <w:color w:val="0000FF"/>
            <w:u w:val="single"/>
          </w:rPr>
          <w:t>http://www.frli.gov.au/</w:t>
        </w:r>
      </w:hyperlink>
      <w:r w:rsidRPr="0086261B">
        <w:rPr>
          <w:rFonts w:eastAsia="Calibri"/>
          <w:lang w:val="en-US"/>
        </w:rPr>
        <w:t>.</w:t>
      </w:r>
    </w:p>
    <w:p w:rsidR="009D68F2" w:rsidRPr="008B3D8B" w:rsidRDefault="00B30802" w:rsidP="00686104">
      <w:pPr>
        <w:pStyle w:val="aheade"/>
        <w:rPr>
          <w:rFonts w:ascii="Times New Roman" w:hAnsi="Times New Roman"/>
          <w:lang w:val="en-US"/>
        </w:rPr>
      </w:pPr>
      <w:r w:rsidRPr="008B3D8B">
        <w:rPr>
          <w:rFonts w:ascii="Times New Roman" w:hAnsi="Times New Roman"/>
          <w:lang w:val="en-US"/>
        </w:rPr>
        <w:t>E</w:t>
      </w:r>
      <w:r w:rsidR="00686104" w:rsidRPr="008B3D8B">
        <w:rPr>
          <w:rFonts w:ascii="Times New Roman" w:hAnsi="Times New Roman"/>
          <w:lang w:val="en-US"/>
        </w:rPr>
        <w:t>xemption</w:t>
      </w:r>
    </w:p>
    <w:p w:rsidR="009D68F2" w:rsidRPr="00CF126A" w:rsidRDefault="00352022" w:rsidP="009D68F2">
      <w:pPr>
        <w:pStyle w:val="HeadF"/>
        <w:rPr>
          <w:lang w:val="en-US"/>
        </w:rPr>
      </w:pPr>
      <w:r>
        <w:rPr>
          <w:lang w:val="en-US"/>
        </w:rPr>
        <w:t xml:space="preserve">Deferral of </w:t>
      </w:r>
      <w:r w:rsidR="009D68F2">
        <w:rPr>
          <w:lang w:val="en-US"/>
        </w:rPr>
        <w:t xml:space="preserve">obligation </w:t>
      </w:r>
      <w:r>
        <w:rPr>
          <w:lang w:val="en-US"/>
        </w:rPr>
        <w:t xml:space="preserve">of trustees </w:t>
      </w:r>
      <w:r w:rsidR="009D68F2">
        <w:rPr>
          <w:lang w:val="en-US"/>
        </w:rPr>
        <w:t xml:space="preserve">to make product dashboards </w:t>
      </w:r>
      <w:r w:rsidR="000C0DEA">
        <w:rPr>
          <w:lang w:val="en-US"/>
        </w:rPr>
        <w:t xml:space="preserve">for choice products </w:t>
      </w:r>
      <w:r w:rsidR="009D68F2">
        <w:rPr>
          <w:lang w:val="en-US"/>
        </w:rPr>
        <w:t>publicly available</w:t>
      </w:r>
    </w:p>
    <w:p w:rsidR="009D68F2" w:rsidRPr="003B0DA7" w:rsidRDefault="004B4DDD" w:rsidP="00781756">
      <w:pPr>
        <w:pStyle w:val="Style1"/>
      </w:pPr>
      <w:r>
        <w:t>4</w:t>
      </w:r>
      <w:r w:rsidR="009D68F2" w:rsidRPr="00464136">
        <w:t>.</w:t>
      </w:r>
      <w:r w:rsidR="009D68F2" w:rsidRPr="00464136">
        <w:tab/>
      </w:r>
      <w:r w:rsidR="009D68F2">
        <w:t xml:space="preserve">A trustee of a regulated superannuation fund </w:t>
      </w:r>
      <w:r w:rsidR="00845579">
        <w:t>that has 5 or more members</w:t>
      </w:r>
      <w:r w:rsidR="009D68F2">
        <w:t xml:space="preserve"> does not have to comply with </w:t>
      </w:r>
      <w:r w:rsidR="00E15869">
        <w:t>sub</w:t>
      </w:r>
      <w:r w:rsidR="009D68F2">
        <w:t xml:space="preserve">section </w:t>
      </w:r>
      <w:proofErr w:type="gramStart"/>
      <w:r w:rsidR="009D68F2">
        <w:t>1017BA</w:t>
      </w:r>
      <w:r w:rsidR="00E15869">
        <w:t>(</w:t>
      </w:r>
      <w:proofErr w:type="gramEnd"/>
      <w:r w:rsidR="00E15869">
        <w:t>1)</w:t>
      </w:r>
      <w:r w:rsidR="009D68F2">
        <w:t xml:space="preserve"> of the </w:t>
      </w:r>
      <w:r w:rsidR="009D68F2" w:rsidRPr="0045063A">
        <w:t>Act</w:t>
      </w:r>
      <w:r w:rsidR="00540A6F">
        <w:t xml:space="preserve"> </w:t>
      </w:r>
      <w:r w:rsidR="00622228">
        <w:t xml:space="preserve">in relation to choice products </w:t>
      </w:r>
      <w:r w:rsidR="00540A6F">
        <w:t xml:space="preserve">until 1 July 2015. </w:t>
      </w:r>
    </w:p>
    <w:p w:rsidR="009D68F2" w:rsidRDefault="009D68F2" w:rsidP="009D68F2">
      <w:pPr>
        <w:pStyle w:val="HeadF"/>
        <w:rPr>
          <w:lang w:val="en-US"/>
        </w:rPr>
      </w:pPr>
      <w:r w:rsidRPr="00CA4C81">
        <w:rPr>
          <w:lang w:val="en-US"/>
        </w:rPr>
        <w:t xml:space="preserve">Deferral </w:t>
      </w:r>
      <w:r w:rsidR="00352022">
        <w:rPr>
          <w:lang w:val="en-US"/>
        </w:rPr>
        <w:t>of</w:t>
      </w:r>
      <w:r>
        <w:rPr>
          <w:lang w:val="en-US"/>
        </w:rPr>
        <w:t xml:space="preserve"> obligation</w:t>
      </w:r>
      <w:r w:rsidR="00352022">
        <w:rPr>
          <w:lang w:val="en-US"/>
        </w:rPr>
        <w:t>s of trustees</w:t>
      </w:r>
      <w:r>
        <w:rPr>
          <w:lang w:val="en-US"/>
        </w:rPr>
        <w:t xml:space="preserve"> to make information relating to investment </w:t>
      </w:r>
      <w:r w:rsidR="008F7862">
        <w:rPr>
          <w:lang w:val="en-US"/>
        </w:rPr>
        <w:t xml:space="preserve">of </w:t>
      </w:r>
      <w:r>
        <w:rPr>
          <w:lang w:val="en-US"/>
        </w:rPr>
        <w:t>assets publicly available</w:t>
      </w:r>
    </w:p>
    <w:p w:rsidR="000A1FD1" w:rsidRDefault="009416C1" w:rsidP="00781756">
      <w:pPr>
        <w:pStyle w:val="Style1"/>
      </w:pPr>
      <w:r>
        <w:t>5</w:t>
      </w:r>
      <w:r w:rsidR="009D68F2" w:rsidRPr="00464136">
        <w:t>.</w:t>
      </w:r>
      <w:r w:rsidR="009D68F2" w:rsidRPr="00464136">
        <w:tab/>
      </w:r>
      <w:r w:rsidR="009D68F2" w:rsidRPr="00DB018B">
        <w:t xml:space="preserve">A trustee of a </w:t>
      </w:r>
      <w:proofErr w:type="spellStart"/>
      <w:r w:rsidR="009D68F2" w:rsidRPr="007112E0">
        <w:t>registrable</w:t>
      </w:r>
      <w:proofErr w:type="spellEnd"/>
      <w:r w:rsidR="009D68F2" w:rsidRPr="007112E0">
        <w:t xml:space="preserve"> superannuation entity</w:t>
      </w:r>
      <w:r w:rsidR="009D68F2" w:rsidRPr="00DB018B">
        <w:t xml:space="preserve"> </w:t>
      </w:r>
      <w:r w:rsidR="009D68F2">
        <w:t xml:space="preserve">(other than a pooled superannuation </w:t>
      </w:r>
      <w:r w:rsidR="00C00AA5">
        <w:t xml:space="preserve">trust) </w:t>
      </w:r>
      <w:r w:rsidR="009D68F2" w:rsidRPr="00DB018B">
        <w:t>does not have to comply with</w:t>
      </w:r>
      <w:r w:rsidR="009D68F2">
        <w:t xml:space="preserve"> </w:t>
      </w:r>
      <w:r w:rsidR="009F78C8">
        <w:t>sub</w:t>
      </w:r>
      <w:r w:rsidR="009D68F2">
        <w:t xml:space="preserve">section </w:t>
      </w:r>
      <w:proofErr w:type="gramStart"/>
      <w:r w:rsidR="009D68F2">
        <w:t>1017BB</w:t>
      </w:r>
      <w:r w:rsidR="009F78C8">
        <w:t>(</w:t>
      </w:r>
      <w:proofErr w:type="gramEnd"/>
      <w:r w:rsidR="009F78C8">
        <w:t>1)</w:t>
      </w:r>
      <w:r w:rsidR="009D68F2">
        <w:t xml:space="preserve"> of the </w:t>
      </w:r>
      <w:r w:rsidR="009D68F2" w:rsidRPr="0045063A">
        <w:t>Act</w:t>
      </w:r>
      <w:r w:rsidR="009D68F2">
        <w:t xml:space="preserve"> </w:t>
      </w:r>
      <w:r w:rsidR="00323D73">
        <w:t>in relation to a reporting day</w:t>
      </w:r>
      <w:r w:rsidR="00573917">
        <w:t xml:space="preserve"> </w:t>
      </w:r>
      <w:r w:rsidR="00536A15">
        <w:t>occurring</w:t>
      </w:r>
      <w:r w:rsidR="00352022">
        <w:t xml:space="preserve"> </w:t>
      </w:r>
      <w:r w:rsidR="00573917">
        <w:t xml:space="preserve">before 1 </w:t>
      </w:r>
      <w:r w:rsidR="001418F1">
        <w:t xml:space="preserve">July </w:t>
      </w:r>
      <w:r w:rsidR="00573917">
        <w:t>2015</w:t>
      </w:r>
      <w:r w:rsidR="009D68F2">
        <w:t>.</w:t>
      </w:r>
    </w:p>
    <w:p w:rsidR="00352022" w:rsidRPr="00352022" w:rsidRDefault="00352022" w:rsidP="00352022">
      <w:pPr>
        <w:pStyle w:val="HeadF"/>
        <w:rPr>
          <w:lang w:val="en-US"/>
        </w:rPr>
      </w:pPr>
      <w:r w:rsidRPr="00CA4C81">
        <w:rPr>
          <w:lang w:val="en-US"/>
        </w:rPr>
        <w:t xml:space="preserve">Deferral </w:t>
      </w:r>
      <w:r>
        <w:rPr>
          <w:lang w:val="en-US"/>
        </w:rPr>
        <w:t>of obligations of second parties to provide information relating to investment of assets</w:t>
      </w:r>
    </w:p>
    <w:p w:rsidR="00536A15" w:rsidRDefault="00323D73" w:rsidP="00A67071">
      <w:pPr>
        <w:pStyle w:val="Style1"/>
      </w:pPr>
      <w:r>
        <w:t>6.</w:t>
      </w:r>
      <w:r>
        <w:tab/>
        <w:t xml:space="preserve">A second party does not have to comply with subsection </w:t>
      </w:r>
      <w:proofErr w:type="gramStart"/>
      <w:r>
        <w:t>1017BC(</w:t>
      </w:r>
      <w:proofErr w:type="gramEnd"/>
      <w:r>
        <w:t xml:space="preserve">3) </w:t>
      </w:r>
      <w:r w:rsidR="00A36542">
        <w:t xml:space="preserve">of the Act </w:t>
      </w:r>
      <w:r>
        <w:t xml:space="preserve">in relation to </w:t>
      </w:r>
      <w:r w:rsidR="00670A77">
        <w:t xml:space="preserve">a reporting day occurring </w:t>
      </w:r>
      <w:r w:rsidR="00F34705">
        <w:t>before 1 July 2015</w:t>
      </w:r>
      <w:r w:rsidR="00536A15">
        <w:t xml:space="preserve">. </w:t>
      </w:r>
      <w:r w:rsidR="00A36542">
        <w:t xml:space="preserve"> </w:t>
      </w:r>
    </w:p>
    <w:p w:rsidR="00781756" w:rsidRPr="008B3D8B" w:rsidRDefault="002D4AEA" w:rsidP="00781756">
      <w:pPr>
        <w:pStyle w:val="aheade"/>
        <w:rPr>
          <w:rFonts w:ascii="Times New Roman" w:hAnsi="Times New Roman"/>
          <w:lang w:val="en-US"/>
        </w:rPr>
      </w:pPr>
      <w:r w:rsidRPr="008B3D8B">
        <w:rPr>
          <w:rFonts w:ascii="Times New Roman" w:hAnsi="Times New Roman"/>
          <w:lang w:val="en-US"/>
        </w:rPr>
        <w:t>Declaration</w:t>
      </w:r>
    </w:p>
    <w:p w:rsidR="009B7067" w:rsidRPr="00781756" w:rsidRDefault="00781756" w:rsidP="00781756">
      <w:pPr>
        <w:pStyle w:val="aheade"/>
        <w:spacing w:before="120"/>
        <w:rPr>
          <w:lang w:val="en-US"/>
        </w:rPr>
      </w:pPr>
      <w:r w:rsidRPr="00781756">
        <w:rPr>
          <w:rFonts w:ascii="Times New Roman" w:hAnsi="Times New Roman"/>
          <w:b w:val="0"/>
          <w:i/>
          <w:lang w:val="en-US"/>
        </w:rPr>
        <w:t xml:space="preserve">Deferral of </w:t>
      </w:r>
      <w:r w:rsidR="00352022">
        <w:rPr>
          <w:rFonts w:ascii="Times New Roman" w:hAnsi="Times New Roman"/>
          <w:b w:val="0"/>
          <w:i/>
          <w:lang w:val="en-US"/>
        </w:rPr>
        <w:t xml:space="preserve">obligations of first parties and agents to give notice relating to investment of assets </w:t>
      </w:r>
    </w:p>
    <w:p w:rsidR="00DB110C" w:rsidRDefault="002D4AEA" w:rsidP="00781756">
      <w:pPr>
        <w:pStyle w:val="Style1"/>
      </w:pPr>
      <w:r>
        <w:t>7</w:t>
      </w:r>
      <w:r w:rsidR="009B7067">
        <w:t>.</w:t>
      </w:r>
      <w:r w:rsidR="009B7067">
        <w:tab/>
      </w:r>
      <w:r w:rsidR="00DB110C">
        <w:t xml:space="preserve">Part 7.9 of Chapter 7 of the Act applies </w:t>
      </w:r>
      <w:r w:rsidR="001418F1">
        <w:t xml:space="preserve">in relation </w:t>
      </w:r>
      <w:r w:rsidR="00DB110C">
        <w:t xml:space="preserve">to a </w:t>
      </w:r>
      <w:r w:rsidR="002C7652">
        <w:t xml:space="preserve">Division 3 </w:t>
      </w:r>
      <w:r w:rsidR="001418F1">
        <w:t>first party</w:t>
      </w:r>
      <w:r w:rsidR="00E0605E">
        <w:t xml:space="preserve"> and</w:t>
      </w:r>
      <w:r w:rsidR="001418F1">
        <w:t xml:space="preserve"> an agent</w:t>
      </w:r>
      <w:r w:rsidR="00DB110C">
        <w:t xml:space="preserve"> as if </w:t>
      </w:r>
      <w:r w:rsidR="001418F1">
        <w:t>that Part</w:t>
      </w:r>
      <w:r w:rsidR="00DB110C">
        <w:t xml:space="preserve"> were modified or varied </w:t>
      </w:r>
      <w:r w:rsidR="00E0605E">
        <w:t>as follows:</w:t>
      </w:r>
    </w:p>
    <w:p w:rsidR="00E0605E" w:rsidRDefault="001418F1" w:rsidP="00781756">
      <w:pPr>
        <w:pStyle w:val="Style2"/>
      </w:pPr>
      <w:r>
        <w:t>(a)</w:t>
      </w:r>
      <w:r>
        <w:tab/>
      </w:r>
      <w:proofErr w:type="gramStart"/>
      <w:r w:rsidR="00DB110C">
        <w:t>in</w:t>
      </w:r>
      <w:proofErr w:type="gramEnd"/>
      <w:r w:rsidR="00DB110C">
        <w:t xml:space="preserve"> subsection 1017BC(2), </w:t>
      </w:r>
      <w:r w:rsidR="00781756">
        <w:t xml:space="preserve">omit </w:t>
      </w:r>
      <w:r w:rsidR="00B232A0">
        <w:t>“</w:t>
      </w:r>
      <w:r w:rsidR="00781756">
        <w:t xml:space="preserve">at </w:t>
      </w:r>
      <w:r w:rsidR="008033DE">
        <w:t xml:space="preserve">the </w:t>
      </w:r>
      <w:r w:rsidR="00DB110C">
        <w:t xml:space="preserve">time the arrangement </w:t>
      </w:r>
      <w:r>
        <w:t>is entered into</w:t>
      </w:r>
      <w:r w:rsidR="00B232A0">
        <w:t>”</w:t>
      </w:r>
      <w:r>
        <w:t xml:space="preserve">, substitute </w:t>
      </w:r>
      <w:r w:rsidR="00B232A0">
        <w:t>“</w:t>
      </w:r>
      <w:r w:rsidR="00DB110C">
        <w:t xml:space="preserve">on or before </w:t>
      </w:r>
      <w:r w:rsidR="005119D2">
        <w:t xml:space="preserve">1 July </w:t>
      </w:r>
      <w:r w:rsidR="00DB110C">
        <w:t>2015</w:t>
      </w:r>
      <w:r w:rsidR="00B232A0">
        <w:t>”</w:t>
      </w:r>
      <w:r>
        <w:t>;</w:t>
      </w:r>
      <w:r w:rsidR="00045432">
        <w:t xml:space="preserve"> </w:t>
      </w:r>
    </w:p>
    <w:p w:rsidR="00D87BF3" w:rsidRDefault="00E0605E" w:rsidP="00D87BF3">
      <w:pPr>
        <w:pStyle w:val="Style2"/>
      </w:pPr>
      <w:r>
        <w:t>(b)</w:t>
      </w:r>
      <w:r>
        <w:tab/>
      </w:r>
      <w:proofErr w:type="gramStart"/>
      <w:r w:rsidR="001418F1">
        <w:t>in</w:t>
      </w:r>
      <w:proofErr w:type="gramEnd"/>
      <w:r w:rsidR="001418F1">
        <w:t xml:space="preserve"> subsections 1017BD(</w:t>
      </w:r>
      <w:r w:rsidR="008033DE">
        <w:t>2</w:t>
      </w:r>
      <w:r w:rsidR="001418F1">
        <w:t>) and 1017B</w:t>
      </w:r>
      <w:r>
        <w:t>E</w:t>
      </w:r>
      <w:r w:rsidR="001418F1">
        <w:t>(</w:t>
      </w:r>
      <w:r w:rsidR="008033DE">
        <w:t>2</w:t>
      </w:r>
      <w:r w:rsidR="001418F1">
        <w:t xml:space="preserve">), omit </w:t>
      </w:r>
      <w:r w:rsidR="00B232A0">
        <w:t>“</w:t>
      </w:r>
      <w:r w:rsidR="001418F1">
        <w:t>at the time the core arrangement is entered into</w:t>
      </w:r>
      <w:r w:rsidR="00B232A0">
        <w:t>”</w:t>
      </w:r>
      <w:r w:rsidR="001418F1">
        <w:t xml:space="preserve">, substitute </w:t>
      </w:r>
      <w:r w:rsidR="00B232A0">
        <w:t>“</w:t>
      </w:r>
      <w:r w:rsidR="001418F1">
        <w:t xml:space="preserve">on or before </w:t>
      </w:r>
      <w:r w:rsidR="005119D2">
        <w:t>1 July</w:t>
      </w:r>
      <w:r w:rsidR="001418F1">
        <w:t xml:space="preserve"> 2015</w:t>
      </w:r>
      <w:r w:rsidR="00B232A0">
        <w:t>”</w:t>
      </w:r>
      <w:r w:rsidR="00045432">
        <w:t>.</w:t>
      </w:r>
    </w:p>
    <w:p w:rsidR="00781756" w:rsidRDefault="00804F1B" w:rsidP="00781756">
      <w:pPr>
        <w:pStyle w:val="Style1"/>
      </w:pPr>
      <w:r>
        <w:lastRenderedPageBreak/>
        <w:t>8.</w:t>
      </w:r>
      <w:r>
        <w:tab/>
      </w:r>
      <w:r w:rsidR="00E0605E">
        <w:t xml:space="preserve">The declaration in paragraph </w:t>
      </w:r>
      <w:r w:rsidR="002D4AEA">
        <w:t>7</w:t>
      </w:r>
      <w:r w:rsidR="00E0605E">
        <w:t xml:space="preserve"> applies in relation to an arrangement entered into between commencement of this instrument and 30 June 2015</w:t>
      </w:r>
      <w:r w:rsidR="005119D2">
        <w:t xml:space="preserve"> (inclusive)</w:t>
      </w:r>
      <w:r w:rsidR="00E0605E">
        <w:t>.</w:t>
      </w:r>
    </w:p>
    <w:p w:rsidR="00686104" w:rsidRPr="008B3D8B" w:rsidRDefault="00686104" w:rsidP="00686104">
      <w:pPr>
        <w:pStyle w:val="aheade"/>
        <w:rPr>
          <w:rFonts w:ascii="Times New Roman" w:hAnsi="Times New Roman"/>
          <w:lang w:val="en-US"/>
        </w:rPr>
      </w:pPr>
      <w:r w:rsidRPr="008B3D8B">
        <w:rPr>
          <w:rFonts w:ascii="Times New Roman" w:hAnsi="Times New Roman"/>
          <w:lang w:val="en-US"/>
        </w:rPr>
        <w:t>Interpretation</w:t>
      </w:r>
    </w:p>
    <w:p w:rsidR="000C0DEA" w:rsidRDefault="005B37E7" w:rsidP="00781756">
      <w:pPr>
        <w:pStyle w:val="Style1"/>
      </w:pPr>
      <w:r>
        <w:t>9</w:t>
      </w:r>
      <w:r w:rsidR="00686104" w:rsidRPr="004D3F40">
        <w:t>.</w:t>
      </w:r>
      <w:r w:rsidR="00686104">
        <w:tab/>
      </w:r>
      <w:proofErr w:type="gramStart"/>
      <w:r w:rsidR="00686104">
        <w:t>In</w:t>
      </w:r>
      <w:proofErr w:type="gramEnd"/>
      <w:r w:rsidR="00686104">
        <w:t xml:space="preserve"> this instrument:</w:t>
      </w:r>
    </w:p>
    <w:p w:rsidR="005119D2" w:rsidRDefault="000C0DEA" w:rsidP="00997818">
      <w:pPr>
        <w:pStyle w:val="ListA"/>
        <w:ind w:left="567" w:firstLine="0"/>
        <w:rPr>
          <w:lang w:val="en-US"/>
        </w:rPr>
      </w:pPr>
      <w:proofErr w:type="gramStart"/>
      <w:r>
        <w:rPr>
          <w:b/>
          <w:i/>
          <w:lang w:val="en-US"/>
        </w:rPr>
        <w:t>agent</w:t>
      </w:r>
      <w:proofErr w:type="gramEnd"/>
      <w:r>
        <w:rPr>
          <w:lang w:val="en-US"/>
        </w:rPr>
        <w:t xml:space="preserve"> has the same meaning as in subsection 1017BC(4) of the Act.</w:t>
      </w:r>
    </w:p>
    <w:p w:rsidR="005119D2" w:rsidRPr="005119D2" w:rsidRDefault="005119D2" w:rsidP="00997818">
      <w:pPr>
        <w:pStyle w:val="ListA"/>
        <w:ind w:left="567" w:firstLine="0"/>
        <w:rPr>
          <w:lang w:val="en-US"/>
        </w:rPr>
      </w:pPr>
      <w:proofErr w:type="gramStart"/>
      <w:r>
        <w:rPr>
          <w:b/>
          <w:i/>
          <w:lang w:val="en-US"/>
        </w:rPr>
        <w:t>arrangement</w:t>
      </w:r>
      <w:proofErr w:type="gramEnd"/>
      <w:r>
        <w:rPr>
          <w:b/>
          <w:i/>
          <w:lang w:val="en-US"/>
        </w:rPr>
        <w:t xml:space="preserve"> </w:t>
      </w:r>
      <w:r w:rsidRPr="005119D2">
        <w:rPr>
          <w:lang w:val="en-US"/>
        </w:rPr>
        <w:t xml:space="preserve">means an arrangement to which </w:t>
      </w:r>
      <w:r w:rsidR="00961331">
        <w:rPr>
          <w:lang w:val="en-US"/>
        </w:rPr>
        <w:t>section</w:t>
      </w:r>
      <w:r w:rsidRPr="005119D2">
        <w:rPr>
          <w:lang w:val="en-US"/>
        </w:rPr>
        <w:t xml:space="preserve"> 1017BC, 1017BD </w:t>
      </w:r>
      <w:r w:rsidR="00961331">
        <w:rPr>
          <w:lang w:val="en-US"/>
        </w:rPr>
        <w:t>or 1017BE of the Act applies</w:t>
      </w:r>
      <w:r w:rsidRPr="005119D2">
        <w:rPr>
          <w:lang w:val="en-US"/>
        </w:rPr>
        <w:t>.</w:t>
      </w:r>
    </w:p>
    <w:p w:rsidR="000C0DEA" w:rsidRDefault="00E6557D" w:rsidP="00997818">
      <w:pPr>
        <w:pStyle w:val="ListB"/>
        <w:ind w:left="567" w:firstLine="0"/>
      </w:pPr>
      <w:proofErr w:type="gramStart"/>
      <w:r>
        <w:rPr>
          <w:b/>
          <w:bCs/>
          <w:i/>
          <w:iCs/>
        </w:rPr>
        <w:t>choice</w:t>
      </w:r>
      <w:proofErr w:type="gramEnd"/>
      <w:r>
        <w:rPr>
          <w:b/>
          <w:bCs/>
          <w:i/>
          <w:iCs/>
        </w:rPr>
        <w:t xml:space="preserve"> product</w:t>
      </w:r>
      <w:r w:rsidR="00711E3C" w:rsidRPr="00EE6BFA">
        <w:rPr>
          <w:b/>
          <w:bCs/>
          <w:i/>
          <w:iCs/>
        </w:rPr>
        <w:t xml:space="preserve"> </w:t>
      </w:r>
      <w:r w:rsidR="00711E3C" w:rsidRPr="00EE6BFA">
        <w:t xml:space="preserve">has the same meaning as in the </w:t>
      </w:r>
      <w:r w:rsidR="00711E3C" w:rsidRPr="00EE6BFA">
        <w:rPr>
          <w:i/>
          <w:iCs/>
        </w:rPr>
        <w:t>Superannuation Industry (Supervision) Act 1993</w:t>
      </w:r>
      <w:r w:rsidR="00711E3C" w:rsidRPr="00EE6BFA">
        <w:t>.</w:t>
      </w:r>
    </w:p>
    <w:p w:rsidR="00997818" w:rsidRDefault="002C7652" w:rsidP="00997818">
      <w:pPr>
        <w:pStyle w:val="ListB"/>
        <w:ind w:left="567" w:firstLine="0"/>
        <w:rPr>
          <w:bCs/>
          <w:iCs/>
        </w:rPr>
      </w:pPr>
      <w:r>
        <w:rPr>
          <w:b/>
          <w:bCs/>
          <w:i/>
          <w:iCs/>
        </w:rPr>
        <w:t xml:space="preserve">Division 3 first </w:t>
      </w:r>
      <w:proofErr w:type="gramStart"/>
      <w:r>
        <w:rPr>
          <w:b/>
          <w:bCs/>
          <w:i/>
          <w:iCs/>
        </w:rPr>
        <w:t>party</w:t>
      </w:r>
      <w:proofErr w:type="gramEnd"/>
      <w:r>
        <w:rPr>
          <w:b/>
          <w:bCs/>
          <w:i/>
          <w:iCs/>
        </w:rPr>
        <w:t xml:space="preserve"> </w:t>
      </w:r>
      <w:r w:rsidRPr="002C7652">
        <w:rPr>
          <w:bCs/>
          <w:iCs/>
        </w:rPr>
        <w:t xml:space="preserve">means a </w:t>
      </w:r>
      <w:r w:rsidR="005119D2" w:rsidRPr="00A86EEA">
        <w:rPr>
          <w:bCs/>
          <w:iCs/>
        </w:rPr>
        <w:t xml:space="preserve">person who is a </w:t>
      </w:r>
      <w:r w:rsidR="005119D2" w:rsidRPr="00A86EEA">
        <w:rPr>
          <w:b/>
          <w:bCs/>
          <w:i/>
          <w:iCs/>
        </w:rPr>
        <w:t>first party</w:t>
      </w:r>
      <w:r w:rsidR="005119D2" w:rsidRPr="00A86EEA">
        <w:rPr>
          <w:bCs/>
          <w:iCs/>
        </w:rPr>
        <w:t xml:space="preserve"> for the purposes of sec</w:t>
      </w:r>
      <w:r w:rsidR="00323D73">
        <w:rPr>
          <w:bCs/>
          <w:iCs/>
        </w:rPr>
        <w:t>tion 1017BC, 1017BD or 1017BE</w:t>
      </w:r>
      <w:r w:rsidR="005119D2" w:rsidRPr="00A86EEA">
        <w:rPr>
          <w:bCs/>
          <w:iCs/>
        </w:rPr>
        <w:t xml:space="preserve"> of the Act.</w:t>
      </w:r>
      <w:r w:rsidR="005119D2" w:rsidRPr="005119D2">
        <w:rPr>
          <w:bCs/>
          <w:iCs/>
        </w:rPr>
        <w:t xml:space="preserve"> </w:t>
      </w:r>
    </w:p>
    <w:p w:rsidR="00997818" w:rsidRDefault="00686104" w:rsidP="00997818">
      <w:pPr>
        <w:pStyle w:val="ListB"/>
        <w:ind w:left="567" w:firstLine="0"/>
        <w:rPr>
          <w:szCs w:val="24"/>
          <w:lang w:val="en-US"/>
        </w:rPr>
      </w:pPr>
      <w:proofErr w:type="spellStart"/>
      <w:proofErr w:type="gramStart"/>
      <w:r w:rsidRPr="008F5AE5">
        <w:rPr>
          <w:b/>
          <w:i/>
          <w:szCs w:val="24"/>
          <w:lang w:val="en-US"/>
        </w:rPr>
        <w:t>registrable</w:t>
      </w:r>
      <w:proofErr w:type="spellEnd"/>
      <w:proofErr w:type="gramEnd"/>
      <w:r>
        <w:rPr>
          <w:szCs w:val="24"/>
          <w:lang w:val="en-US"/>
        </w:rPr>
        <w:t xml:space="preserve"> </w:t>
      </w:r>
      <w:r w:rsidRPr="003A2ACE">
        <w:rPr>
          <w:b/>
          <w:i/>
          <w:szCs w:val="24"/>
          <w:lang w:val="en-US"/>
        </w:rPr>
        <w:t>superannuation entity</w:t>
      </w:r>
      <w:r>
        <w:rPr>
          <w:szCs w:val="24"/>
          <w:lang w:val="en-US"/>
        </w:rPr>
        <w:t xml:space="preserve"> has the same meaning as in the </w:t>
      </w:r>
      <w:r w:rsidRPr="003A2ACE">
        <w:rPr>
          <w:i/>
          <w:szCs w:val="24"/>
          <w:lang w:val="en-US"/>
        </w:rPr>
        <w:t>Superannuation Industry (Supervision) Act 1993</w:t>
      </w:r>
      <w:r>
        <w:rPr>
          <w:szCs w:val="24"/>
          <w:lang w:val="en-US"/>
        </w:rPr>
        <w:t>.</w:t>
      </w:r>
    </w:p>
    <w:p w:rsidR="00686104" w:rsidRPr="00997818" w:rsidRDefault="006A68C4" w:rsidP="00997818">
      <w:pPr>
        <w:pStyle w:val="ListB"/>
        <w:ind w:left="567" w:firstLine="0"/>
        <w:rPr>
          <w:szCs w:val="24"/>
          <w:lang w:val="en-US"/>
        </w:rPr>
      </w:pPr>
      <w:proofErr w:type="gramStart"/>
      <w:r>
        <w:rPr>
          <w:b/>
          <w:i/>
        </w:rPr>
        <w:t>reporting</w:t>
      </w:r>
      <w:proofErr w:type="gramEnd"/>
      <w:r>
        <w:rPr>
          <w:b/>
          <w:i/>
        </w:rPr>
        <w:t xml:space="preserve"> day </w:t>
      </w:r>
      <w:r>
        <w:t xml:space="preserve">has the same meaning as </w:t>
      </w:r>
      <w:r w:rsidR="00C443CA">
        <w:t xml:space="preserve">subsection 1017BB(6) of the Act. </w:t>
      </w:r>
    </w:p>
    <w:p w:rsidR="00686104" w:rsidRDefault="00686104" w:rsidP="00997818">
      <w:pPr>
        <w:pStyle w:val="ListB"/>
        <w:ind w:left="567" w:firstLine="0"/>
      </w:pPr>
      <w:proofErr w:type="gramStart"/>
      <w:r w:rsidRPr="00E443A7">
        <w:rPr>
          <w:b/>
          <w:i/>
        </w:rPr>
        <w:t>regulated</w:t>
      </w:r>
      <w:proofErr w:type="gramEnd"/>
      <w:r w:rsidRPr="00E443A7">
        <w:rPr>
          <w:b/>
          <w:i/>
        </w:rPr>
        <w:t xml:space="preserve"> superannuation fund</w:t>
      </w:r>
      <w:r>
        <w:t xml:space="preserve"> has the same meaning as in the </w:t>
      </w:r>
      <w:r w:rsidRPr="0045063A">
        <w:rPr>
          <w:i/>
        </w:rPr>
        <w:t>Superannuation Industry (Supervision) Act 1993</w:t>
      </w:r>
      <w:r>
        <w:t>.</w:t>
      </w:r>
    </w:p>
    <w:p w:rsidR="00285677" w:rsidRDefault="000C0DEA" w:rsidP="00997818">
      <w:pPr>
        <w:pStyle w:val="ListB"/>
        <w:ind w:left="567" w:firstLine="0"/>
      </w:pPr>
      <w:proofErr w:type="gramStart"/>
      <w:r>
        <w:rPr>
          <w:b/>
          <w:i/>
        </w:rPr>
        <w:t>second</w:t>
      </w:r>
      <w:proofErr w:type="gramEnd"/>
      <w:r>
        <w:rPr>
          <w:b/>
          <w:i/>
        </w:rPr>
        <w:t xml:space="preserve"> party</w:t>
      </w:r>
      <w:r w:rsidR="005B37E7">
        <w:t xml:space="preserve"> has the same meaning as in subsection 1017BC(1) of the Act.</w:t>
      </w:r>
    </w:p>
    <w:p w:rsidR="00353285" w:rsidRDefault="00353285" w:rsidP="00997818">
      <w:pPr>
        <w:pStyle w:val="definition"/>
      </w:pPr>
      <w:r>
        <w:t xml:space="preserve">Dated this </w:t>
      </w:r>
      <w:r w:rsidR="00B232A0">
        <w:t>16</w:t>
      </w:r>
      <w:r w:rsidR="00B232A0" w:rsidRPr="00B232A0">
        <w:rPr>
          <w:vertAlign w:val="superscript"/>
        </w:rPr>
        <w:t>th</w:t>
      </w:r>
      <w:r>
        <w:t xml:space="preserve"> day of </w:t>
      </w:r>
      <w:r w:rsidR="008C02C3">
        <w:t xml:space="preserve">May </w:t>
      </w:r>
      <w:r>
        <w:t>2014</w:t>
      </w:r>
    </w:p>
    <w:p w:rsidR="00353285" w:rsidRDefault="00353285" w:rsidP="00381658">
      <w:pPr>
        <w:pStyle w:val="definition"/>
      </w:pPr>
    </w:p>
    <w:p w:rsidR="00B232A0" w:rsidRDefault="00B232A0" w:rsidP="00381658">
      <w:pPr>
        <w:pStyle w:val="definition"/>
      </w:pPr>
    </w:p>
    <w:p w:rsidR="00353285" w:rsidRDefault="00353285" w:rsidP="00997818">
      <w:pPr>
        <w:pStyle w:val="definition"/>
        <w:spacing w:before="0" w:beforeAutospacing="0" w:after="0" w:afterAutospacing="0"/>
      </w:pPr>
      <w:r>
        <w:t>Signed by Stephen Yen PSM</w:t>
      </w:r>
    </w:p>
    <w:p w:rsidR="007F2022" w:rsidRDefault="00353285" w:rsidP="00997818">
      <w:pPr>
        <w:pStyle w:val="definition"/>
        <w:spacing w:before="0" w:beforeAutospacing="0" w:after="0" w:afterAutospacing="0"/>
      </w:pPr>
      <w:proofErr w:type="gramStart"/>
      <w:r>
        <w:t>as</w:t>
      </w:r>
      <w:proofErr w:type="gramEnd"/>
      <w:r>
        <w:t xml:space="preserve"> a delegate of the Australian Securities and Investments Commission</w:t>
      </w:r>
    </w:p>
    <w:sectPr w:rsidR="007F2022" w:rsidSect="00171ED5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28" w:rsidRDefault="00623028" w:rsidP="00171ED5">
      <w:pPr>
        <w:spacing w:before="0" w:after="0"/>
      </w:pPr>
      <w:r>
        <w:separator/>
      </w:r>
    </w:p>
  </w:endnote>
  <w:endnote w:type="continuationSeparator" w:id="0">
    <w:p w:rsidR="00623028" w:rsidRDefault="00623028" w:rsidP="00171E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28" w:rsidRDefault="00623028" w:rsidP="00171ED5">
      <w:pPr>
        <w:spacing w:before="0" w:after="0"/>
      </w:pPr>
      <w:r>
        <w:separator/>
      </w:r>
    </w:p>
  </w:footnote>
  <w:footnote w:type="continuationSeparator" w:id="0">
    <w:p w:rsidR="00623028" w:rsidRDefault="00623028" w:rsidP="00171E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31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ED5" w:rsidRDefault="00171E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1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1ED5" w:rsidRPr="00534130" w:rsidRDefault="00534130" w:rsidP="00534130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14-0443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30" w:rsidRDefault="00534130" w:rsidP="00534130">
    <w:pPr>
      <w:pStyle w:val="Header"/>
      <w:jc w:val="right"/>
      <w:rPr>
        <w:b/>
        <w:sz w:val="28"/>
        <w:szCs w:val="28"/>
      </w:rPr>
    </w:pPr>
  </w:p>
  <w:p w:rsidR="00534130" w:rsidRPr="00534130" w:rsidRDefault="00534130" w:rsidP="00534130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14-0443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397"/>
    <w:multiLevelType w:val="hybridMultilevel"/>
    <w:tmpl w:val="9CA4C162"/>
    <w:lvl w:ilvl="0" w:tplc="3FB6981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41516A7"/>
    <w:multiLevelType w:val="hybridMultilevel"/>
    <w:tmpl w:val="B1D6CD9A"/>
    <w:lvl w:ilvl="0" w:tplc="17B277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ED"/>
    <w:rsid w:val="00005F31"/>
    <w:rsid w:val="00045432"/>
    <w:rsid w:val="0006072B"/>
    <w:rsid w:val="00071F38"/>
    <w:rsid w:val="000A0555"/>
    <w:rsid w:val="000A1FD1"/>
    <w:rsid w:val="000C064E"/>
    <w:rsid w:val="000C0DEA"/>
    <w:rsid w:val="001418F1"/>
    <w:rsid w:val="00171ED5"/>
    <w:rsid w:val="001A0FDA"/>
    <w:rsid w:val="001A7DBA"/>
    <w:rsid w:val="001B6F91"/>
    <w:rsid w:val="001E587B"/>
    <w:rsid w:val="00240C94"/>
    <w:rsid w:val="00252DCF"/>
    <w:rsid w:val="00261F3E"/>
    <w:rsid w:val="00285677"/>
    <w:rsid w:val="00296765"/>
    <w:rsid w:val="002A646C"/>
    <w:rsid w:val="002C7652"/>
    <w:rsid w:val="002D4AEA"/>
    <w:rsid w:val="002F10EA"/>
    <w:rsid w:val="002F1AB8"/>
    <w:rsid w:val="002F6863"/>
    <w:rsid w:val="00305E3B"/>
    <w:rsid w:val="00323D73"/>
    <w:rsid w:val="0034251E"/>
    <w:rsid w:val="00352022"/>
    <w:rsid w:val="00353285"/>
    <w:rsid w:val="00356259"/>
    <w:rsid w:val="00381658"/>
    <w:rsid w:val="003873BC"/>
    <w:rsid w:val="00391A24"/>
    <w:rsid w:val="0039512B"/>
    <w:rsid w:val="004411D3"/>
    <w:rsid w:val="0045063A"/>
    <w:rsid w:val="004545A4"/>
    <w:rsid w:val="00464435"/>
    <w:rsid w:val="004825E2"/>
    <w:rsid w:val="00494441"/>
    <w:rsid w:val="004B4DDD"/>
    <w:rsid w:val="004B75B5"/>
    <w:rsid w:val="004C5339"/>
    <w:rsid w:val="004D3F40"/>
    <w:rsid w:val="005061ED"/>
    <w:rsid w:val="005119D2"/>
    <w:rsid w:val="00530FEC"/>
    <w:rsid w:val="00534130"/>
    <w:rsid w:val="00536A15"/>
    <w:rsid w:val="00540A6F"/>
    <w:rsid w:val="00573917"/>
    <w:rsid w:val="005B37E7"/>
    <w:rsid w:val="005C5791"/>
    <w:rsid w:val="005E3DE9"/>
    <w:rsid w:val="00602861"/>
    <w:rsid w:val="00617CDD"/>
    <w:rsid w:val="00622228"/>
    <w:rsid w:val="00623028"/>
    <w:rsid w:val="0066148B"/>
    <w:rsid w:val="00670A77"/>
    <w:rsid w:val="00676406"/>
    <w:rsid w:val="00681A09"/>
    <w:rsid w:val="00686104"/>
    <w:rsid w:val="006958C6"/>
    <w:rsid w:val="006A68C4"/>
    <w:rsid w:val="006C2A3C"/>
    <w:rsid w:val="00711E3C"/>
    <w:rsid w:val="00741428"/>
    <w:rsid w:val="00760472"/>
    <w:rsid w:val="007713F8"/>
    <w:rsid w:val="00781756"/>
    <w:rsid w:val="007C2EA3"/>
    <w:rsid w:val="007C30BB"/>
    <w:rsid w:val="007C5BBD"/>
    <w:rsid w:val="007F2022"/>
    <w:rsid w:val="007F48C5"/>
    <w:rsid w:val="00801CAF"/>
    <w:rsid w:val="008033DE"/>
    <w:rsid w:val="00803B80"/>
    <w:rsid w:val="00804F1B"/>
    <w:rsid w:val="008207BE"/>
    <w:rsid w:val="00845579"/>
    <w:rsid w:val="00860AA6"/>
    <w:rsid w:val="008A3021"/>
    <w:rsid w:val="008B3D8B"/>
    <w:rsid w:val="008B5F44"/>
    <w:rsid w:val="008C0205"/>
    <w:rsid w:val="008C02C3"/>
    <w:rsid w:val="008E66ED"/>
    <w:rsid w:val="008F7862"/>
    <w:rsid w:val="00904B1E"/>
    <w:rsid w:val="00940515"/>
    <w:rsid w:val="009416C1"/>
    <w:rsid w:val="00961331"/>
    <w:rsid w:val="00997818"/>
    <w:rsid w:val="009A719C"/>
    <w:rsid w:val="009B7067"/>
    <w:rsid w:val="009D1A77"/>
    <w:rsid w:val="009D68F2"/>
    <w:rsid w:val="009F78C8"/>
    <w:rsid w:val="00A00E79"/>
    <w:rsid w:val="00A01928"/>
    <w:rsid w:val="00A024F1"/>
    <w:rsid w:val="00A22178"/>
    <w:rsid w:val="00A36542"/>
    <w:rsid w:val="00A61458"/>
    <w:rsid w:val="00A67071"/>
    <w:rsid w:val="00A82CE9"/>
    <w:rsid w:val="00A86EEA"/>
    <w:rsid w:val="00AB143D"/>
    <w:rsid w:val="00AC2E3D"/>
    <w:rsid w:val="00AC6338"/>
    <w:rsid w:val="00B101D3"/>
    <w:rsid w:val="00B232A0"/>
    <w:rsid w:val="00B30802"/>
    <w:rsid w:val="00B51752"/>
    <w:rsid w:val="00B622FE"/>
    <w:rsid w:val="00B6741C"/>
    <w:rsid w:val="00B75BA2"/>
    <w:rsid w:val="00B9229E"/>
    <w:rsid w:val="00B92D5E"/>
    <w:rsid w:val="00BB5982"/>
    <w:rsid w:val="00BD3AB0"/>
    <w:rsid w:val="00C00AA5"/>
    <w:rsid w:val="00C07AC3"/>
    <w:rsid w:val="00C153CF"/>
    <w:rsid w:val="00C25F52"/>
    <w:rsid w:val="00C443CA"/>
    <w:rsid w:val="00CC544C"/>
    <w:rsid w:val="00CF394A"/>
    <w:rsid w:val="00CF5278"/>
    <w:rsid w:val="00D16B61"/>
    <w:rsid w:val="00D66FEB"/>
    <w:rsid w:val="00D80CFF"/>
    <w:rsid w:val="00D87BF3"/>
    <w:rsid w:val="00DA253A"/>
    <w:rsid w:val="00DB110C"/>
    <w:rsid w:val="00DC2D3D"/>
    <w:rsid w:val="00DC5AA4"/>
    <w:rsid w:val="00DE4C1A"/>
    <w:rsid w:val="00E04AF5"/>
    <w:rsid w:val="00E0605E"/>
    <w:rsid w:val="00E15869"/>
    <w:rsid w:val="00E6557D"/>
    <w:rsid w:val="00E72F61"/>
    <w:rsid w:val="00E962FE"/>
    <w:rsid w:val="00ED3694"/>
    <w:rsid w:val="00EE6BFA"/>
    <w:rsid w:val="00F062FE"/>
    <w:rsid w:val="00F072C4"/>
    <w:rsid w:val="00F34705"/>
    <w:rsid w:val="00FB7064"/>
    <w:rsid w:val="00FD7314"/>
    <w:rsid w:val="00FF2FD7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04"/>
    <w:pPr>
      <w:overflowPunct w:val="0"/>
      <w:autoSpaceDE w:val="0"/>
      <w:autoSpaceDN w:val="0"/>
      <w:adjustRightInd w:val="0"/>
      <w:spacing w:before="40" w:after="16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ist">
    <w:name w:val="ahist"/>
    <w:rsid w:val="00686104"/>
    <w:pPr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ListA">
    <w:name w:val="ListA"/>
    <w:link w:val="ListAChar"/>
    <w:rsid w:val="00686104"/>
    <w:pPr>
      <w:overflowPunct w:val="0"/>
      <w:autoSpaceDE w:val="0"/>
      <w:autoSpaceDN w:val="0"/>
      <w:adjustRightInd w:val="0"/>
      <w:spacing w:before="120"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heade">
    <w:name w:val="aheade"/>
    <w:rsid w:val="00686104"/>
    <w:pPr>
      <w:keepNext/>
      <w:widowControl w:val="0"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ListB">
    <w:name w:val="ListB"/>
    <w:rsid w:val="00686104"/>
    <w:pPr>
      <w:overflowPunct w:val="0"/>
      <w:autoSpaceDE w:val="0"/>
      <w:autoSpaceDN w:val="0"/>
      <w:adjustRightInd w:val="0"/>
      <w:spacing w:before="120" w:after="120" w:line="240" w:lineRule="auto"/>
      <w:ind w:left="850" w:hanging="425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ntred">
    <w:name w:val="acentred"/>
    <w:rsid w:val="00686104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HeadF">
    <w:name w:val="HeadF"/>
    <w:basedOn w:val="Normal"/>
    <w:rsid w:val="00686104"/>
    <w:pPr>
      <w:keepNext/>
      <w:spacing w:before="240" w:after="0"/>
    </w:pPr>
    <w:rPr>
      <w:i/>
    </w:rPr>
  </w:style>
  <w:style w:type="paragraph" w:customStyle="1" w:styleId="definition">
    <w:name w:val="definition"/>
    <w:basedOn w:val="Normal"/>
    <w:rsid w:val="005E3D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E3D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D3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3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31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31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ListA"/>
    <w:link w:val="Style1Char"/>
    <w:qFormat/>
    <w:rsid w:val="00781756"/>
    <w:pPr>
      <w:ind w:left="567" w:hanging="567"/>
    </w:pPr>
    <w:rPr>
      <w:lang w:val="en-US"/>
    </w:rPr>
  </w:style>
  <w:style w:type="paragraph" w:customStyle="1" w:styleId="Style2">
    <w:name w:val="Style2"/>
    <w:basedOn w:val="ListA"/>
    <w:link w:val="Style2Char"/>
    <w:qFormat/>
    <w:rsid w:val="00781756"/>
    <w:pPr>
      <w:ind w:left="1134" w:hanging="567"/>
    </w:pPr>
    <w:rPr>
      <w:lang w:val="en-US"/>
    </w:rPr>
  </w:style>
  <w:style w:type="character" w:customStyle="1" w:styleId="ListAChar">
    <w:name w:val="ListA Char"/>
    <w:basedOn w:val="DefaultParagraphFont"/>
    <w:link w:val="ListA"/>
    <w:rsid w:val="00781756"/>
    <w:rPr>
      <w:rFonts w:ascii="Times New Roman" w:eastAsia="Times New Roman" w:hAnsi="Times New Roman" w:cs="Times New Roman"/>
      <w:sz w:val="24"/>
      <w:szCs w:val="20"/>
    </w:rPr>
  </w:style>
  <w:style w:type="character" w:customStyle="1" w:styleId="Style1Char">
    <w:name w:val="Style1 Char"/>
    <w:basedOn w:val="ListAChar"/>
    <w:link w:val="Style1"/>
    <w:rsid w:val="007817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tyle2Char">
    <w:name w:val="Style2 Char"/>
    <w:basedOn w:val="ListAChar"/>
    <w:link w:val="Style2"/>
    <w:rsid w:val="007817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1ED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1ED5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1ED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1ED5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04"/>
    <w:pPr>
      <w:overflowPunct w:val="0"/>
      <w:autoSpaceDE w:val="0"/>
      <w:autoSpaceDN w:val="0"/>
      <w:adjustRightInd w:val="0"/>
      <w:spacing w:before="40" w:after="16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ist">
    <w:name w:val="ahist"/>
    <w:rsid w:val="00686104"/>
    <w:pPr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ListA">
    <w:name w:val="ListA"/>
    <w:link w:val="ListAChar"/>
    <w:rsid w:val="00686104"/>
    <w:pPr>
      <w:overflowPunct w:val="0"/>
      <w:autoSpaceDE w:val="0"/>
      <w:autoSpaceDN w:val="0"/>
      <w:adjustRightInd w:val="0"/>
      <w:spacing w:before="120"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heade">
    <w:name w:val="aheade"/>
    <w:rsid w:val="00686104"/>
    <w:pPr>
      <w:keepNext/>
      <w:widowControl w:val="0"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ListB">
    <w:name w:val="ListB"/>
    <w:rsid w:val="00686104"/>
    <w:pPr>
      <w:overflowPunct w:val="0"/>
      <w:autoSpaceDE w:val="0"/>
      <w:autoSpaceDN w:val="0"/>
      <w:adjustRightInd w:val="0"/>
      <w:spacing w:before="120" w:after="120" w:line="240" w:lineRule="auto"/>
      <w:ind w:left="850" w:hanging="425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ntred">
    <w:name w:val="acentred"/>
    <w:rsid w:val="00686104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HeadF">
    <w:name w:val="HeadF"/>
    <w:basedOn w:val="Normal"/>
    <w:rsid w:val="00686104"/>
    <w:pPr>
      <w:keepNext/>
      <w:spacing w:before="240" w:after="0"/>
    </w:pPr>
    <w:rPr>
      <w:i/>
    </w:rPr>
  </w:style>
  <w:style w:type="paragraph" w:customStyle="1" w:styleId="definition">
    <w:name w:val="definition"/>
    <w:basedOn w:val="Normal"/>
    <w:rsid w:val="005E3D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E3D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D3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3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31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31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ListA"/>
    <w:link w:val="Style1Char"/>
    <w:qFormat/>
    <w:rsid w:val="00781756"/>
    <w:pPr>
      <w:ind w:left="567" w:hanging="567"/>
    </w:pPr>
    <w:rPr>
      <w:lang w:val="en-US"/>
    </w:rPr>
  </w:style>
  <w:style w:type="paragraph" w:customStyle="1" w:styleId="Style2">
    <w:name w:val="Style2"/>
    <w:basedOn w:val="ListA"/>
    <w:link w:val="Style2Char"/>
    <w:qFormat/>
    <w:rsid w:val="00781756"/>
    <w:pPr>
      <w:ind w:left="1134" w:hanging="567"/>
    </w:pPr>
    <w:rPr>
      <w:lang w:val="en-US"/>
    </w:rPr>
  </w:style>
  <w:style w:type="character" w:customStyle="1" w:styleId="ListAChar">
    <w:name w:val="ListA Char"/>
    <w:basedOn w:val="DefaultParagraphFont"/>
    <w:link w:val="ListA"/>
    <w:rsid w:val="00781756"/>
    <w:rPr>
      <w:rFonts w:ascii="Times New Roman" w:eastAsia="Times New Roman" w:hAnsi="Times New Roman" w:cs="Times New Roman"/>
      <w:sz w:val="24"/>
      <w:szCs w:val="20"/>
    </w:rPr>
  </w:style>
  <w:style w:type="character" w:customStyle="1" w:styleId="Style1Char">
    <w:name w:val="Style1 Char"/>
    <w:basedOn w:val="ListAChar"/>
    <w:link w:val="Style1"/>
    <w:rsid w:val="007817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tyle2Char">
    <w:name w:val="Style2 Char"/>
    <w:basedOn w:val="ListAChar"/>
    <w:link w:val="Style2"/>
    <w:rsid w:val="007817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1ED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1ED5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1ED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1ED5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sarah.richter</dc:creator>
  <cp:lastModifiedBy>james.grapsas</cp:lastModifiedBy>
  <cp:revision>3</cp:revision>
  <cp:lastPrinted>2014-05-16T04:33:00Z</cp:lastPrinted>
  <dcterms:created xsi:type="dcterms:W3CDTF">2014-05-19T04:36:00Z</dcterms:created>
  <dcterms:modified xsi:type="dcterms:W3CDTF">2014-05-19T04:41:00Z</dcterms:modified>
</cp:coreProperties>
</file>