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67" w:rsidRDefault="007F2367" w:rsidP="007F2367">
      <w:bookmarkStart w:id="0" w:name="_GoBack"/>
      <w:bookmarkEnd w:id="0"/>
    </w:p>
    <w:p w:rsidR="007F2367" w:rsidRDefault="007F2367" w:rsidP="007F2367">
      <w:pPr>
        <w:framePr w:w="4958" w:h="732" w:hSpace="180" w:wrap="around" w:vAnchor="page" w:hAnchor="page" w:x="6371" w:y="2341"/>
        <w:pBdr>
          <w:top w:val="single" w:sz="12" w:space="1" w:color="auto"/>
          <w:left w:val="single" w:sz="12" w:space="1" w:color="auto"/>
          <w:bottom w:val="single" w:sz="12" w:space="1" w:color="auto"/>
          <w:right w:val="single" w:sz="12" w:space="1" w:color="auto"/>
        </w:pBdr>
        <w:jc w:val="center"/>
        <w:rPr>
          <w:rFonts w:cs="Arial"/>
          <w:sz w:val="20"/>
        </w:rPr>
      </w:pPr>
      <w:bookmarkStart w:id="1" w:name="AType"/>
      <w:r>
        <w:rPr>
          <w:rFonts w:cs="Arial"/>
          <w:sz w:val="20"/>
        </w:rPr>
        <w:t>Australian Taxation Office Legislative Instrument</w:t>
      </w:r>
    </w:p>
    <w:p w:rsidR="007F2367" w:rsidRDefault="007F2367" w:rsidP="007F2367">
      <w:pPr>
        <w:framePr w:w="4958" w:h="732" w:hSpace="180" w:wrap="around" w:vAnchor="page" w:hAnchor="page" w:x="6371" w:y="2341"/>
        <w:pBdr>
          <w:top w:val="single" w:sz="12" w:space="1" w:color="auto"/>
          <w:left w:val="single" w:sz="12" w:space="1" w:color="auto"/>
          <w:bottom w:val="single" w:sz="12" w:space="1" w:color="auto"/>
          <w:right w:val="single" w:sz="12" w:space="1" w:color="auto"/>
        </w:pBdr>
        <w:jc w:val="center"/>
        <w:rPr>
          <w:rFonts w:cs="Arial"/>
          <w:b/>
          <w:sz w:val="32"/>
          <w:szCs w:val="32"/>
        </w:rPr>
      </w:pPr>
      <w:bookmarkStart w:id="2" w:name="BPrefix"/>
      <w:bookmarkEnd w:id="1"/>
      <w:r>
        <w:rPr>
          <w:rFonts w:cs="Arial"/>
          <w:b/>
          <w:sz w:val="32"/>
          <w:szCs w:val="32"/>
        </w:rPr>
        <w:t>Inst</w:t>
      </w:r>
      <w:bookmarkStart w:id="3" w:name="CDocnum"/>
      <w:bookmarkEnd w:id="2"/>
      <w:bookmarkEnd w:id="3"/>
      <w:r>
        <w:rPr>
          <w:rFonts w:cs="Arial"/>
          <w:b/>
          <w:sz w:val="32"/>
          <w:szCs w:val="32"/>
        </w:rPr>
        <w:t>rument ID: 2014/ITX/0015</w:t>
      </w:r>
    </w:p>
    <w:p w:rsidR="007F2367" w:rsidRDefault="007F2367" w:rsidP="007F2367">
      <w:pPr>
        <w:framePr w:w="4958" w:h="732" w:hSpace="180" w:wrap="around" w:vAnchor="page" w:hAnchor="page" w:x="6371" w:y="2341"/>
        <w:pBdr>
          <w:top w:val="single" w:sz="12" w:space="1" w:color="auto"/>
          <w:left w:val="single" w:sz="12" w:space="1" w:color="auto"/>
          <w:bottom w:val="single" w:sz="12" w:space="1" w:color="auto"/>
          <w:right w:val="single" w:sz="12" w:space="1" w:color="auto"/>
        </w:pBdr>
        <w:rPr>
          <w:rFonts w:cs="Arial"/>
          <w:sz w:val="20"/>
        </w:rPr>
      </w:pPr>
    </w:p>
    <w:p w:rsidR="007F2367" w:rsidRDefault="007F2367" w:rsidP="007F2367">
      <w:r>
        <w:rPr>
          <w:noProof/>
        </w:rPr>
        <w:drawing>
          <wp:inline distT="0" distB="0" distL="0" distR="0" wp14:anchorId="4165B641" wp14:editId="760DB3F3">
            <wp:extent cx="24765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628650"/>
                    </a:xfrm>
                    <a:prstGeom prst="rect">
                      <a:avLst/>
                    </a:prstGeom>
                    <a:noFill/>
                    <a:ln>
                      <a:noFill/>
                    </a:ln>
                  </pic:spPr>
                </pic:pic>
              </a:graphicData>
            </a:graphic>
          </wp:inline>
        </w:drawing>
      </w:r>
    </w:p>
    <w:p w:rsidR="007F2367" w:rsidRDefault="007F2367" w:rsidP="007F2367"/>
    <w:p w:rsidR="007F2367" w:rsidRPr="00C76B70" w:rsidRDefault="007F2367" w:rsidP="007F2367">
      <w:pPr>
        <w:pStyle w:val="Header"/>
        <w:pBdr>
          <w:top w:val="double" w:sz="4" w:space="0" w:color="auto"/>
          <w:bottom w:val="double" w:sz="4" w:space="1" w:color="auto"/>
        </w:pBdr>
        <w:jc w:val="center"/>
        <w:rPr>
          <w:rFonts w:ascii="Verdana" w:hAnsi="Verdana" w:cs="Arial"/>
          <w:sz w:val="36"/>
          <w:szCs w:val="36"/>
        </w:rPr>
      </w:pPr>
      <w:bookmarkStart w:id="4" w:name="FDocName"/>
      <w:r w:rsidRPr="00C76B70">
        <w:rPr>
          <w:rFonts w:ascii="Arial" w:hAnsi="Arial" w:cs="Arial"/>
          <w:sz w:val="36"/>
          <w:szCs w:val="36"/>
        </w:rPr>
        <w:t xml:space="preserve">A </w:t>
      </w:r>
      <w:r w:rsidRPr="00C76B70">
        <w:rPr>
          <w:rFonts w:ascii="Arial" w:hAnsi="Arial" w:cs="Arial"/>
          <w:iCs/>
          <w:sz w:val="36"/>
          <w:szCs w:val="36"/>
        </w:rPr>
        <w:t>New Tax System (Goods and Services Tax) Waiver of Tax Invoice Requirement (</w:t>
      </w:r>
      <w:r w:rsidRPr="008051FE">
        <w:rPr>
          <w:rFonts w:ascii="Arial" w:hAnsi="Arial" w:cs="Arial"/>
          <w:iCs/>
          <w:sz w:val="36"/>
          <w:szCs w:val="36"/>
        </w:rPr>
        <w:t xml:space="preserve">Motor Vehicle Incentive Payment Made </w:t>
      </w:r>
      <w:r>
        <w:rPr>
          <w:rFonts w:ascii="Arial" w:hAnsi="Arial" w:cs="Arial"/>
          <w:iCs/>
          <w:sz w:val="36"/>
          <w:szCs w:val="36"/>
        </w:rPr>
        <w:t>to Motor Vehicle Dealer</w:t>
      </w:r>
      <w:r w:rsidRPr="00C76B70">
        <w:rPr>
          <w:rFonts w:ascii="Arial" w:hAnsi="Arial" w:cs="Arial"/>
          <w:iCs/>
          <w:sz w:val="36"/>
          <w:szCs w:val="36"/>
        </w:rPr>
        <w:t>) Legislative Instrument 201</w:t>
      </w:r>
      <w:r>
        <w:rPr>
          <w:rFonts w:ascii="Arial" w:hAnsi="Arial" w:cs="Arial"/>
          <w:iCs/>
          <w:sz w:val="36"/>
          <w:szCs w:val="36"/>
        </w:rPr>
        <w:t>4</w:t>
      </w:r>
      <w:r w:rsidRPr="00C76B70">
        <w:rPr>
          <w:rFonts w:ascii="Arial" w:hAnsi="Arial" w:cs="Arial"/>
          <w:sz w:val="36"/>
          <w:szCs w:val="36"/>
        </w:rPr>
        <w:fldChar w:fldCharType="begin"/>
      </w:r>
      <w:r w:rsidRPr="00C76B70">
        <w:rPr>
          <w:rFonts w:ascii="Arial" w:hAnsi="Arial" w:cs="Arial"/>
          <w:sz w:val="36"/>
          <w:szCs w:val="36"/>
        </w:rPr>
        <w:instrText xml:space="preserve"> FILLIN  "[Click Here to Enter Text Title]"  \* MERGEFORMAT </w:instrText>
      </w:r>
      <w:r w:rsidRPr="00C76B70">
        <w:rPr>
          <w:rFonts w:ascii="Arial" w:hAnsi="Arial" w:cs="Arial"/>
          <w:sz w:val="36"/>
          <w:szCs w:val="36"/>
        </w:rPr>
        <w:fldChar w:fldCharType="end"/>
      </w:r>
      <w:bookmarkEnd w:id="4"/>
    </w:p>
    <w:p w:rsidR="007F2367" w:rsidRPr="002B6A43" w:rsidRDefault="007F2367" w:rsidP="007F2367">
      <w:pPr>
        <w:pStyle w:val="Header"/>
        <w:tabs>
          <w:tab w:val="clear" w:pos="4153"/>
          <w:tab w:val="clear" w:pos="8306"/>
        </w:tabs>
        <w:jc w:val="center"/>
        <w:rPr>
          <w:rFonts w:ascii="Arial" w:hAnsi="Arial" w:cs="Arial"/>
        </w:rPr>
      </w:pPr>
      <w:bookmarkStart w:id="5" w:name="IComments"/>
    </w:p>
    <w:p w:rsidR="007F2367" w:rsidRPr="0072676D" w:rsidRDefault="007F2367" w:rsidP="007F2367">
      <w:pPr>
        <w:pStyle w:val="Header"/>
        <w:tabs>
          <w:tab w:val="clear" w:pos="4153"/>
          <w:tab w:val="clear" w:pos="8306"/>
        </w:tabs>
        <w:jc w:val="center"/>
        <w:rPr>
          <w:rFonts w:ascii="Arial" w:hAnsi="Arial" w:cs="Arial"/>
          <w:sz w:val="48"/>
          <w:szCs w:val="48"/>
        </w:rPr>
      </w:pPr>
      <w:r w:rsidRPr="0072676D">
        <w:rPr>
          <w:rFonts w:ascii="Arial" w:hAnsi="Arial" w:cs="Arial"/>
          <w:sz w:val="48"/>
          <w:szCs w:val="48"/>
        </w:rPr>
        <w:t>Explanatory Statement</w:t>
      </w:r>
    </w:p>
    <w:p w:rsidR="007F2367" w:rsidRDefault="007F2367" w:rsidP="007F2367">
      <w:pPr>
        <w:spacing w:after="120"/>
        <w:rPr>
          <w:rFonts w:cs="Arial"/>
          <w:sz w:val="22"/>
          <w:szCs w:val="22"/>
        </w:rPr>
      </w:pPr>
    </w:p>
    <w:p w:rsidR="007F2367" w:rsidRDefault="007F2367" w:rsidP="007F2367">
      <w:pPr>
        <w:spacing w:after="120"/>
        <w:rPr>
          <w:rFonts w:cs="Arial"/>
          <w:sz w:val="22"/>
          <w:szCs w:val="22"/>
        </w:rPr>
      </w:pPr>
    </w:p>
    <w:p w:rsidR="007F2367" w:rsidRDefault="007F2367" w:rsidP="007F2367">
      <w:pPr>
        <w:pStyle w:val="Heading2"/>
        <w:rPr>
          <w:rFonts w:cs="Arial"/>
          <w:szCs w:val="22"/>
        </w:rPr>
      </w:pPr>
      <w:bookmarkStart w:id="6" w:name="EDisclaimer"/>
      <w:bookmarkEnd w:id="6"/>
      <w:r>
        <w:rPr>
          <w:rFonts w:cs="Arial"/>
          <w:szCs w:val="22"/>
        </w:rPr>
        <w:t>General outline of this instrument</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 xml:space="preserve">This legislative instrument is made under subsection 29-10(3) of the </w:t>
      </w:r>
      <w:r>
        <w:rPr>
          <w:rFonts w:cs="Arial"/>
          <w:i/>
          <w:iCs/>
          <w:sz w:val="22"/>
          <w:szCs w:val="22"/>
        </w:rPr>
        <w:t>A New Tax System (Goods and Services Tax) Act 1999</w:t>
      </w:r>
      <w:r>
        <w:rPr>
          <w:rFonts w:cs="Arial"/>
          <w:sz w:val="22"/>
          <w:szCs w:val="22"/>
        </w:rPr>
        <w:t xml:space="preserve"> (GST Act)</w:t>
      </w:r>
      <w:r>
        <w:rPr>
          <w:rFonts w:cs="Arial"/>
          <w:i/>
          <w:iCs/>
          <w:sz w:val="22"/>
          <w:szCs w:val="22"/>
        </w:rPr>
        <w:t>.</w:t>
      </w:r>
    </w:p>
    <w:p w:rsidR="007F2367" w:rsidRDefault="007F2367" w:rsidP="007F2367">
      <w:pPr>
        <w:numPr>
          <w:ilvl w:val="0"/>
          <w:numId w:val="1"/>
        </w:numPr>
        <w:tabs>
          <w:tab w:val="clear" w:pos="4380"/>
        </w:tabs>
        <w:spacing w:after="120"/>
        <w:ind w:left="0" w:firstLine="0"/>
        <w:rPr>
          <w:sz w:val="22"/>
          <w:szCs w:val="22"/>
        </w:rPr>
      </w:pPr>
      <w:r w:rsidRPr="004A4E2C">
        <w:rPr>
          <w:rFonts w:cs="Arial"/>
          <w:iCs/>
          <w:sz w:val="22"/>
          <w:szCs w:val="22"/>
        </w:rPr>
        <w:t xml:space="preserve">This instrument </w:t>
      </w:r>
      <w:r>
        <w:rPr>
          <w:rFonts w:cs="Arial"/>
          <w:iCs/>
          <w:sz w:val="22"/>
          <w:szCs w:val="22"/>
        </w:rPr>
        <w:t>waives the requirement for</w:t>
      </w:r>
      <w:r w:rsidRPr="004A4E2C">
        <w:rPr>
          <w:rFonts w:cs="Arial"/>
          <w:iCs/>
          <w:sz w:val="22"/>
          <w:szCs w:val="22"/>
        </w:rPr>
        <w:t xml:space="preserve"> </w:t>
      </w:r>
      <w:r w:rsidRPr="004A4E2C">
        <w:rPr>
          <w:sz w:val="22"/>
          <w:szCs w:val="22"/>
        </w:rPr>
        <w:t xml:space="preserve">a recipient </w:t>
      </w:r>
      <w:r>
        <w:rPr>
          <w:sz w:val="22"/>
          <w:szCs w:val="22"/>
        </w:rPr>
        <w:t xml:space="preserve">making a creditable acquisition </w:t>
      </w:r>
      <w:r w:rsidRPr="004A4E2C">
        <w:rPr>
          <w:sz w:val="22"/>
          <w:szCs w:val="22"/>
        </w:rPr>
        <w:t xml:space="preserve">to hold a tax invoice </w:t>
      </w:r>
      <w:r>
        <w:rPr>
          <w:rFonts w:cs="Arial"/>
          <w:iCs/>
          <w:sz w:val="22"/>
          <w:szCs w:val="22"/>
        </w:rPr>
        <w:t xml:space="preserve">for an input tax credit to be attributable to a tax period, </w:t>
      </w:r>
      <w:r w:rsidRPr="004A4E2C">
        <w:rPr>
          <w:sz w:val="22"/>
          <w:szCs w:val="22"/>
        </w:rPr>
        <w:t>where</w:t>
      </w:r>
      <w:r>
        <w:rPr>
          <w:sz w:val="22"/>
          <w:szCs w:val="22"/>
        </w:rPr>
        <w:t>:</w:t>
      </w:r>
      <w:r w:rsidRPr="004A4E2C">
        <w:rPr>
          <w:sz w:val="22"/>
          <w:szCs w:val="22"/>
        </w:rPr>
        <w:t xml:space="preserve"> </w:t>
      </w:r>
    </w:p>
    <w:p w:rsidR="007F2367" w:rsidRPr="008051FE" w:rsidRDefault="007F2367" w:rsidP="007F2367">
      <w:pPr>
        <w:spacing w:after="120"/>
        <w:ind w:left="720"/>
        <w:rPr>
          <w:sz w:val="22"/>
          <w:szCs w:val="22"/>
        </w:rPr>
      </w:pPr>
      <w:r>
        <w:rPr>
          <w:sz w:val="22"/>
          <w:szCs w:val="22"/>
        </w:rPr>
        <w:t xml:space="preserve">(a) </w:t>
      </w:r>
      <w:r>
        <w:rPr>
          <w:sz w:val="22"/>
          <w:szCs w:val="22"/>
        </w:rPr>
        <w:tab/>
      </w:r>
      <w:proofErr w:type="gramStart"/>
      <w:r w:rsidRPr="004A4E2C">
        <w:rPr>
          <w:sz w:val="22"/>
          <w:szCs w:val="22"/>
        </w:rPr>
        <w:t>the</w:t>
      </w:r>
      <w:proofErr w:type="gramEnd"/>
      <w:r w:rsidRPr="004A4E2C">
        <w:rPr>
          <w:sz w:val="22"/>
          <w:szCs w:val="22"/>
        </w:rPr>
        <w:t xml:space="preserve"> </w:t>
      </w:r>
      <w:r w:rsidRPr="008051FE">
        <w:rPr>
          <w:sz w:val="22"/>
          <w:szCs w:val="22"/>
        </w:rPr>
        <w:t>recipient makes a creditable acquisition of a motor vehicle from a motor vehicle dealer</w:t>
      </w:r>
      <w:r>
        <w:rPr>
          <w:sz w:val="22"/>
          <w:szCs w:val="22"/>
        </w:rPr>
        <w:t xml:space="preserve"> (the supplier);</w:t>
      </w:r>
      <w:r w:rsidRPr="008051FE">
        <w:rPr>
          <w:sz w:val="22"/>
          <w:szCs w:val="22"/>
        </w:rPr>
        <w:t xml:space="preserve"> and </w:t>
      </w:r>
    </w:p>
    <w:p w:rsidR="007F2367" w:rsidRDefault="007F2367" w:rsidP="007F2367">
      <w:pPr>
        <w:spacing w:after="120"/>
        <w:ind w:left="720"/>
        <w:rPr>
          <w:rFonts w:cs="Arial"/>
          <w:iCs/>
          <w:sz w:val="22"/>
          <w:szCs w:val="22"/>
        </w:rPr>
      </w:pPr>
      <w:r w:rsidRPr="008051FE">
        <w:rPr>
          <w:bCs/>
          <w:sz w:val="22"/>
          <w:szCs w:val="22"/>
        </w:rPr>
        <w:t>(b)</w:t>
      </w:r>
      <w:r w:rsidRPr="008051FE">
        <w:rPr>
          <w:sz w:val="22"/>
          <w:szCs w:val="22"/>
        </w:rPr>
        <w:t xml:space="preserve"> </w:t>
      </w:r>
      <w:r w:rsidRPr="008051FE">
        <w:rPr>
          <w:sz w:val="22"/>
          <w:szCs w:val="22"/>
        </w:rPr>
        <w:tab/>
        <w:t xml:space="preserve">the supplier receives </w:t>
      </w:r>
      <w:r>
        <w:rPr>
          <w:sz w:val="22"/>
          <w:szCs w:val="22"/>
        </w:rPr>
        <w:t xml:space="preserve">or is entitled to receive </w:t>
      </w:r>
      <w:r w:rsidRPr="008051FE">
        <w:rPr>
          <w:sz w:val="22"/>
          <w:szCs w:val="22"/>
        </w:rPr>
        <w:t xml:space="preserve">a motor vehicle incentive payment </w:t>
      </w:r>
      <w:r>
        <w:rPr>
          <w:sz w:val="22"/>
          <w:szCs w:val="22"/>
        </w:rPr>
        <w:t xml:space="preserve">for the supply of the motor vehicle to the recipient </w:t>
      </w:r>
      <w:r w:rsidRPr="008051FE">
        <w:rPr>
          <w:sz w:val="22"/>
          <w:szCs w:val="22"/>
        </w:rPr>
        <w:t>in addition to the consideration it receives from the recipient</w:t>
      </w:r>
      <w:r>
        <w:rPr>
          <w:sz w:val="22"/>
          <w:szCs w:val="22"/>
        </w:rPr>
        <w:t>; and</w:t>
      </w:r>
      <w:r>
        <w:rPr>
          <w:rFonts w:cs="Arial"/>
          <w:iCs/>
          <w:sz w:val="22"/>
          <w:szCs w:val="22"/>
        </w:rPr>
        <w:t xml:space="preserve"> </w:t>
      </w:r>
    </w:p>
    <w:p w:rsidR="007F2367" w:rsidRPr="004A4E2C" w:rsidRDefault="007F2367" w:rsidP="007F2367">
      <w:pPr>
        <w:spacing w:after="120"/>
        <w:ind w:left="720"/>
        <w:rPr>
          <w:rFonts w:cs="Arial"/>
          <w:sz w:val="22"/>
          <w:szCs w:val="22"/>
        </w:rPr>
      </w:pPr>
      <w:r>
        <w:rPr>
          <w:rFonts w:cs="Arial"/>
          <w:iCs/>
          <w:sz w:val="22"/>
          <w:szCs w:val="22"/>
        </w:rPr>
        <w:t xml:space="preserve">(c) </w:t>
      </w:r>
      <w:r>
        <w:rPr>
          <w:rFonts w:cs="Arial"/>
          <w:iCs/>
          <w:sz w:val="22"/>
          <w:szCs w:val="22"/>
        </w:rPr>
        <w:tab/>
      </w:r>
      <w:proofErr w:type="gramStart"/>
      <w:r>
        <w:rPr>
          <w:rFonts w:cs="Arial"/>
          <w:iCs/>
          <w:sz w:val="22"/>
          <w:szCs w:val="22"/>
        </w:rPr>
        <w:t>the</w:t>
      </w:r>
      <w:proofErr w:type="gramEnd"/>
      <w:r>
        <w:rPr>
          <w:rFonts w:cs="Arial"/>
          <w:iCs/>
          <w:sz w:val="22"/>
          <w:szCs w:val="22"/>
        </w:rPr>
        <w:t xml:space="preserve"> recipient holds</w:t>
      </w:r>
      <w:r w:rsidRPr="00820681">
        <w:rPr>
          <w:rFonts w:cs="Arial"/>
          <w:iCs/>
          <w:sz w:val="22"/>
          <w:szCs w:val="22"/>
        </w:rPr>
        <w:t xml:space="preserve"> a document that meets the requirements prescribed in this instrument</w:t>
      </w:r>
      <w:r w:rsidRPr="004A4E2C">
        <w:rPr>
          <w:sz w:val="22"/>
          <w:szCs w:val="22"/>
        </w:rPr>
        <w:t>.</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 xml:space="preserve">This instrument is a legislative instrument for the purposes of the </w:t>
      </w:r>
      <w:r>
        <w:rPr>
          <w:rFonts w:cs="Arial"/>
          <w:i/>
          <w:sz w:val="22"/>
          <w:szCs w:val="22"/>
        </w:rPr>
        <w:t>Legislative Instruments Act 2003</w:t>
      </w:r>
      <w:r>
        <w:rPr>
          <w:rFonts w:cs="Arial"/>
          <w:sz w:val="22"/>
          <w:szCs w:val="22"/>
        </w:rPr>
        <w:t>.</w:t>
      </w:r>
    </w:p>
    <w:p w:rsidR="007F2367" w:rsidRDefault="007F2367" w:rsidP="007F2367">
      <w:pPr>
        <w:numPr>
          <w:ilvl w:val="0"/>
          <w:numId w:val="1"/>
        </w:numPr>
        <w:tabs>
          <w:tab w:val="clear" w:pos="4380"/>
        </w:tabs>
        <w:spacing w:after="120"/>
        <w:ind w:left="0" w:firstLine="0"/>
        <w:rPr>
          <w:rFonts w:cs="Arial"/>
          <w:sz w:val="22"/>
          <w:szCs w:val="22"/>
        </w:rPr>
      </w:pPr>
      <w:r w:rsidRPr="00254323">
        <w:rPr>
          <w:rFonts w:cs="Arial"/>
          <w:sz w:val="22"/>
          <w:szCs w:val="22"/>
        </w:rPr>
        <w:t>All legislative references in this explanatory statement a</w:t>
      </w:r>
      <w:r>
        <w:rPr>
          <w:rFonts w:cs="Arial"/>
          <w:sz w:val="22"/>
          <w:szCs w:val="22"/>
        </w:rPr>
        <w:t>re to provisions in the GST Act</w:t>
      </w:r>
      <w:r w:rsidRPr="00254323">
        <w:rPr>
          <w:rFonts w:cs="Arial"/>
          <w:sz w:val="22"/>
          <w:szCs w:val="22"/>
        </w:rPr>
        <w:t xml:space="preserve"> unless otherwise specified.</w:t>
      </w:r>
    </w:p>
    <w:bookmarkEnd w:id="5"/>
    <w:p w:rsidR="007F2367" w:rsidRDefault="007F2367" w:rsidP="007F2367">
      <w:pPr>
        <w:spacing w:after="120"/>
        <w:rPr>
          <w:rFonts w:cs="Arial"/>
          <w:sz w:val="22"/>
          <w:szCs w:val="22"/>
        </w:rPr>
      </w:pPr>
    </w:p>
    <w:p w:rsidR="007F2367" w:rsidRDefault="007F2367" w:rsidP="007F2367">
      <w:pPr>
        <w:pStyle w:val="Heading2"/>
        <w:rPr>
          <w:rFonts w:cs="Arial"/>
          <w:szCs w:val="22"/>
        </w:rPr>
      </w:pPr>
      <w:r>
        <w:rPr>
          <w:rFonts w:cs="Arial"/>
          <w:szCs w:val="22"/>
        </w:rPr>
        <w:t>Commencement and application of this instrument</w:t>
      </w:r>
    </w:p>
    <w:p w:rsidR="007F2367" w:rsidRPr="0013594C" w:rsidRDefault="007F2367" w:rsidP="007F2367">
      <w:pPr>
        <w:numPr>
          <w:ilvl w:val="0"/>
          <w:numId w:val="1"/>
        </w:numPr>
        <w:tabs>
          <w:tab w:val="clear" w:pos="4380"/>
        </w:tabs>
        <w:spacing w:after="120"/>
        <w:ind w:left="0" w:firstLine="0"/>
        <w:rPr>
          <w:rFonts w:cs="Arial"/>
          <w:iCs/>
          <w:sz w:val="22"/>
          <w:szCs w:val="22"/>
        </w:rPr>
      </w:pPr>
      <w:r w:rsidRPr="0013594C">
        <w:rPr>
          <w:rFonts w:cs="Arial"/>
          <w:iCs/>
          <w:sz w:val="22"/>
          <w:szCs w:val="22"/>
        </w:rPr>
        <w:t>This instrument commence</w:t>
      </w:r>
      <w:r>
        <w:rPr>
          <w:rFonts w:cs="Arial"/>
          <w:iCs/>
          <w:sz w:val="22"/>
          <w:szCs w:val="22"/>
        </w:rPr>
        <w:t>d</w:t>
      </w:r>
      <w:r w:rsidRPr="0013594C">
        <w:rPr>
          <w:rFonts w:cs="Arial"/>
          <w:iCs/>
          <w:sz w:val="22"/>
          <w:szCs w:val="22"/>
        </w:rPr>
        <w:t xml:space="preserve"> on 1 May 2014 and applies to tax periods for which the GST return is </w:t>
      </w:r>
      <w:r>
        <w:rPr>
          <w:rFonts w:cs="Arial"/>
          <w:iCs/>
          <w:sz w:val="22"/>
          <w:szCs w:val="22"/>
        </w:rPr>
        <w:t xml:space="preserve">required to be </w:t>
      </w:r>
      <w:r w:rsidRPr="0013594C">
        <w:rPr>
          <w:rFonts w:cs="Arial"/>
          <w:iCs/>
          <w:sz w:val="22"/>
          <w:szCs w:val="22"/>
        </w:rPr>
        <w:t>given to the Commissioner on or after 1 May 2014.</w:t>
      </w:r>
    </w:p>
    <w:p w:rsidR="007F2367" w:rsidRPr="0013594C" w:rsidRDefault="007F2367" w:rsidP="007F2367">
      <w:pPr>
        <w:numPr>
          <w:ilvl w:val="0"/>
          <w:numId w:val="1"/>
        </w:numPr>
        <w:tabs>
          <w:tab w:val="clear" w:pos="4380"/>
        </w:tabs>
        <w:spacing w:after="120"/>
        <w:ind w:left="0" w:firstLine="0"/>
        <w:rPr>
          <w:rFonts w:cs="Arial"/>
          <w:iCs/>
          <w:sz w:val="22"/>
          <w:szCs w:val="22"/>
        </w:rPr>
      </w:pPr>
      <w:r w:rsidRPr="0013594C">
        <w:rPr>
          <w:rFonts w:cs="Arial"/>
          <w:sz w:val="22"/>
          <w:szCs w:val="22"/>
        </w:rPr>
        <w:t>The retrospective application of this instrument does not have an adverse effect on the rights or liabilities of any person other than the Commonwealth.</w:t>
      </w:r>
      <w:r w:rsidRPr="0013594C">
        <w:rPr>
          <w:rFonts w:cs="Arial"/>
          <w:sz w:val="22"/>
          <w:szCs w:val="22"/>
          <w:vertAlign w:val="superscript"/>
        </w:rPr>
        <w:footnoteReference w:id="1"/>
      </w:r>
      <w:r w:rsidRPr="0013594C">
        <w:rPr>
          <w:rFonts w:cs="Arial"/>
          <w:iCs/>
          <w:sz w:val="22"/>
          <w:szCs w:val="22"/>
        </w:rPr>
        <w:t xml:space="preserve"> The effect of this instrument is to the advantage of affected parties. It waives the requirement for a recipient to hold a tax invoice</w:t>
      </w:r>
      <w:r w:rsidRPr="0013594C">
        <w:rPr>
          <w:rFonts w:cs="Arial"/>
          <w:iCs/>
          <w:szCs w:val="22"/>
        </w:rPr>
        <w:t xml:space="preserve"> </w:t>
      </w:r>
      <w:r w:rsidRPr="0013594C">
        <w:rPr>
          <w:rFonts w:cs="Arial"/>
          <w:iCs/>
          <w:sz w:val="22"/>
          <w:szCs w:val="22"/>
        </w:rPr>
        <w:t>before an input tax credit is attributable to a tax period when the recipient holds a document that meets the requirements prescribed in this instrument.</w:t>
      </w:r>
    </w:p>
    <w:p w:rsidR="007F2367" w:rsidRPr="0013594C" w:rsidRDefault="007F2367" w:rsidP="007F2367">
      <w:pPr>
        <w:numPr>
          <w:ilvl w:val="0"/>
          <w:numId w:val="1"/>
        </w:numPr>
        <w:tabs>
          <w:tab w:val="clear" w:pos="4380"/>
        </w:tabs>
        <w:spacing w:after="120"/>
        <w:ind w:left="0" w:firstLine="0"/>
        <w:rPr>
          <w:rFonts w:cs="Arial"/>
          <w:iCs/>
          <w:sz w:val="22"/>
          <w:szCs w:val="22"/>
        </w:rPr>
      </w:pPr>
      <w:r w:rsidRPr="0013594C">
        <w:rPr>
          <w:rFonts w:cs="Arial"/>
          <w:iCs/>
          <w:sz w:val="22"/>
          <w:szCs w:val="22"/>
        </w:rPr>
        <w:lastRenderedPageBreak/>
        <w:t>These prescribed requirements are not substantively different to the documents motor vehicle dealers have been providing as tax invoices to customers</w:t>
      </w:r>
      <w:r>
        <w:rPr>
          <w:rFonts w:cs="Arial"/>
          <w:iCs/>
          <w:sz w:val="22"/>
          <w:szCs w:val="22"/>
        </w:rPr>
        <w:t xml:space="preserve"> (recipients)</w:t>
      </w:r>
      <w:r w:rsidRPr="0013594C">
        <w:rPr>
          <w:rFonts w:cs="Arial"/>
          <w:iCs/>
          <w:sz w:val="22"/>
          <w:szCs w:val="22"/>
        </w:rPr>
        <w:t xml:space="preserve"> before the decision of the Full Federal Court in </w:t>
      </w:r>
      <w:r w:rsidRPr="0013594C">
        <w:rPr>
          <w:rFonts w:cs="Arial"/>
          <w:i/>
          <w:iCs/>
          <w:sz w:val="22"/>
          <w:szCs w:val="22"/>
        </w:rPr>
        <w:t>AP Group Limited v. Commissioner of Taxation</w:t>
      </w:r>
      <w:r w:rsidRPr="0013594C">
        <w:rPr>
          <w:rFonts w:cs="Arial"/>
          <w:iCs/>
          <w:sz w:val="22"/>
          <w:szCs w:val="22"/>
        </w:rPr>
        <w:t xml:space="preserve"> [2013] FCAFC 105 (</w:t>
      </w:r>
      <w:r w:rsidRPr="0013594C">
        <w:rPr>
          <w:rFonts w:cs="Arial"/>
          <w:i/>
          <w:iCs/>
          <w:sz w:val="22"/>
          <w:szCs w:val="22"/>
        </w:rPr>
        <w:t>AP Group</w:t>
      </w:r>
      <w:r w:rsidRPr="0013594C">
        <w:rPr>
          <w:rFonts w:cs="Arial"/>
          <w:iCs/>
          <w:sz w:val="22"/>
          <w:szCs w:val="22"/>
        </w:rPr>
        <w:t>).</w:t>
      </w:r>
      <w:r w:rsidRPr="0013594C">
        <w:rPr>
          <w:sz w:val="22"/>
          <w:szCs w:val="22"/>
        </w:rPr>
        <w:t xml:space="preserve"> This means that </w:t>
      </w:r>
      <w:r w:rsidRPr="0013594C">
        <w:rPr>
          <w:rFonts w:cs="Arial"/>
          <w:iCs/>
          <w:sz w:val="22"/>
          <w:szCs w:val="22"/>
        </w:rPr>
        <w:t xml:space="preserve">suppliers do not have to change </w:t>
      </w:r>
      <w:r>
        <w:rPr>
          <w:rFonts w:cs="Arial"/>
          <w:iCs/>
          <w:sz w:val="22"/>
          <w:szCs w:val="22"/>
        </w:rPr>
        <w:t xml:space="preserve">the documents they issue to recipients. This will </w:t>
      </w:r>
      <w:r w:rsidRPr="0013594C">
        <w:rPr>
          <w:rFonts w:cs="Arial"/>
          <w:iCs/>
          <w:sz w:val="22"/>
          <w:szCs w:val="22"/>
        </w:rPr>
        <w:t>allow a recipient to attribute the input tax credit as would otherwise be the case.</w:t>
      </w:r>
    </w:p>
    <w:p w:rsidR="007F2367" w:rsidRPr="0013594C" w:rsidRDefault="007F2367" w:rsidP="007F2367">
      <w:pPr>
        <w:numPr>
          <w:ilvl w:val="0"/>
          <w:numId w:val="1"/>
        </w:numPr>
        <w:tabs>
          <w:tab w:val="clear" w:pos="4380"/>
        </w:tabs>
        <w:spacing w:after="120"/>
        <w:ind w:left="0" w:firstLine="0"/>
        <w:rPr>
          <w:rFonts w:cs="Arial"/>
          <w:sz w:val="22"/>
          <w:szCs w:val="22"/>
        </w:rPr>
      </w:pPr>
      <w:r w:rsidRPr="0013594C">
        <w:rPr>
          <w:rFonts w:cs="Arial"/>
          <w:iCs/>
          <w:sz w:val="22"/>
          <w:szCs w:val="22"/>
        </w:rPr>
        <w:t xml:space="preserve">This instrument applies retrospectively to align to the date from which the Commissioner agreed for motor vehicle dealers to have modified </w:t>
      </w:r>
      <w:r>
        <w:rPr>
          <w:rFonts w:cs="Arial"/>
          <w:iCs/>
          <w:sz w:val="22"/>
          <w:szCs w:val="22"/>
        </w:rPr>
        <w:t>documentation</w:t>
      </w:r>
      <w:r w:rsidRPr="0013594C">
        <w:rPr>
          <w:rFonts w:cs="Arial"/>
          <w:iCs/>
          <w:sz w:val="22"/>
          <w:szCs w:val="22"/>
        </w:rPr>
        <w:t xml:space="preserve"> to implement the decision of the Full Federal Court. </w:t>
      </w:r>
      <w:r w:rsidRPr="0013594C">
        <w:rPr>
          <w:rFonts w:cs="Arial"/>
          <w:sz w:val="22"/>
          <w:szCs w:val="22"/>
        </w:rPr>
        <w:t xml:space="preserve">The Commissioner recognised that entities were required to modify their </w:t>
      </w:r>
      <w:r>
        <w:rPr>
          <w:rFonts w:cs="Arial"/>
          <w:sz w:val="22"/>
          <w:szCs w:val="22"/>
        </w:rPr>
        <w:t xml:space="preserve">documentation </w:t>
      </w:r>
      <w:r w:rsidRPr="0013594C">
        <w:rPr>
          <w:rFonts w:cs="Arial"/>
          <w:sz w:val="22"/>
          <w:szCs w:val="22"/>
        </w:rPr>
        <w:t>to implement the Court’s decision and allowed until 1 May 2014 for this to be done.</w:t>
      </w:r>
    </w:p>
    <w:p w:rsidR="007F2367" w:rsidRPr="006E3BC5" w:rsidRDefault="007F2367" w:rsidP="007F2367">
      <w:pPr>
        <w:spacing w:after="120"/>
        <w:rPr>
          <w:rFonts w:cs="Arial"/>
          <w:sz w:val="22"/>
          <w:szCs w:val="22"/>
        </w:rPr>
      </w:pPr>
    </w:p>
    <w:p w:rsidR="007F2367" w:rsidRDefault="007F2367" w:rsidP="007F2367">
      <w:pPr>
        <w:pStyle w:val="Heading2"/>
        <w:rPr>
          <w:rFonts w:cs="Arial"/>
          <w:szCs w:val="22"/>
        </w:rPr>
      </w:pPr>
      <w:r>
        <w:rPr>
          <w:rFonts w:cs="Arial"/>
          <w:szCs w:val="22"/>
        </w:rPr>
        <w:t>What is this instrument about?</w:t>
      </w:r>
    </w:p>
    <w:p w:rsidR="007F2367" w:rsidRDefault="007F2367" w:rsidP="007F2367">
      <w:pPr>
        <w:numPr>
          <w:ilvl w:val="0"/>
          <w:numId w:val="1"/>
        </w:numPr>
        <w:tabs>
          <w:tab w:val="clear" w:pos="4380"/>
        </w:tabs>
        <w:spacing w:after="120"/>
        <w:ind w:left="0" w:firstLine="0"/>
        <w:rPr>
          <w:rFonts w:cs="Arial"/>
          <w:iCs/>
          <w:sz w:val="22"/>
          <w:szCs w:val="22"/>
        </w:rPr>
      </w:pPr>
      <w:r>
        <w:rPr>
          <w:rFonts w:eastAsia="Helvetica Neue" w:cs="Arial"/>
          <w:sz w:val="22"/>
          <w:szCs w:val="22"/>
        </w:rPr>
        <w:t xml:space="preserve">This instrument provides for an input tax credit for a creditable acquisition to be attributable to a tax period for acquisitions of a motor vehicle </w:t>
      </w:r>
      <w:r w:rsidRPr="004A4E2C">
        <w:rPr>
          <w:sz w:val="22"/>
          <w:szCs w:val="22"/>
        </w:rPr>
        <w:t xml:space="preserve">where the total price </w:t>
      </w:r>
      <w:r>
        <w:rPr>
          <w:sz w:val="22"/>
          <w:szCs w:val="22"/>
        </w:rPr>
        <w:t>of the supply and the amount of GST payable on the supply is not stated on the</w:t>
      </w:r>
      <w:r>
        <w:rPr>
          <w:rFonts w:eastAsia="Helvetica Neue" w:cs="Arial"/>
          <w:sz w:val="22"/>
          <w:szCs w:val="22"/>
        </w:rPr>
        <w:t xml:space="preserve"> document held by the recipient. This circumstance arises where a motor vehicle incentive payment is made to the supplier by a motor vehicle manufacturer, distributor or importer and is part of the consideration for the supply to the recipient (sometimes referred to as ‘third party consideration’). This instrument also sets out the particular information that must be included in the document held by the recipient for the input tax credit to be attributable to that tax period.</w:t>
      </w:r>
    </w:p>
    <w:p w:rsidR="007F2367" w:rsidRDefault="007F2367" w:rsidP="007F2367">
      <w:pPr>
        <w:spacing w:after="120"/>
        <w:rPr>
          <w:rFonts w:cs="Arial"/>
          <w:sz w:val="22"/>
          <w:szCs w:val="22"/>
        </w:rPr>
      </w:pPr>
    </w:p>
    <w:p w:rsidR="007F2367" w:rsidRDefault="007F2367" w:rsidP="007F2367">
      <w:pPr>
        <w:pStyle w:val="Heading2"/>
        <w:rPr>
          <w:rFonts w:cs="Arial"/>
          <w:szCs w:val="22"/>
        </w:rPr>
      </w:pPr>
      <w:r>
        <w:rPr>
          <w:rFonts w:cs="Arial"/>
          <w:szCs w:val="22"/>
        </w:rPr>
        <w:t>What is the effect of this instrument?</w:t>
      </w:r>
    </w:p>
    <w:p w:rsidR="007F2367" w:rsidRDefault="007F2367" w:rsidP="007F2367">
      <w:pPr>
        <w:numPr>
          <w:ilvl w:val="0"/>
          <w:numId w:val="1"/>
        </w:numPr>
        <w:tabs>
          <w:tab w:val="clear" w:pos="4380"/>
        </w:tabs>
        <w:spacing w:after="120"/>
        <w:ind w:left="0" w:firstLine="0"/>
        <w:rPr>
          <w:rFonts w:cs="Arial"/>
          <w:sz w:val="22"/>
          <w:szCs w:val="22"/>
        </w:rPr>
      </w:pPr>
      <w:r>
        <w:rPr>
          <w:rFonts w:cs="Arial"/>
          <w:iCs/>
          <w:sz w:val="22"/>
          <w:szCs w:val="22"/>
        </w:rPr>
        <w:t xml:space="preserve">This instrument waives the requirement for a recipient </w:t>
      </w:r>
      <w:r>
        <w:rPr>
          <w:rFonts w:cs="Arial"/>
          <w:sz w:val="22"/>
          <w:szCs w:val="22"/>
        </w:rPr>
        <w:t xml:space="preserve">to hold a tax invoice before an input tax credit for a creditable acquisition is attributable to a tax period when the recipient </w:t>
      </w:r>
      <w:r>
        <w:rPr>
          <w:rFonts w:cs="Arial"/>
          <w:iCs/>
          <w:sz w:val="22"/>
          <w:szCs w:val="22"/>
        </w:rPr>
        <w:t xml:space="preserve">holds a </w:t>
      </w:r>
      <w:r>
        <w:rPr>
          <w:rFonts w:cs="Arial"/>
          <w:sz w:val="22"/>
          <w:szCs w:val="22"/>
        </w:rPr>
        <w:t xml:space="preserve">document that </w:t>
      </w:r>
      <w:r>
        <w:rPr>
          <w:sz w:val="22"/>
          <w:szCs w:val="22"/>
        </w:rPr>
        <w:t>meets the requirements of this instrument</w:t>
      </w:r>
      <w:r>
        <w:rPr>
          <w:rFonts w:cs="Arial"/>
          <w:sz w:val="22"/>
          <w:szCs w:val="22"/>
        </w:rPr>
        <w:t>.</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 xml:space="preserve">This instrument is a response to industry concerns. It addresses the practical implications of the Full Federal Court’s decision in </w:t>
      </w:r>
      <w:r>
        <w:rPr>
          <w:rFonts w:cs="Arial"/>
          <w:i/>
          <w:sz w:val="22"/>
          <w:szCs w:val="22"/>
        </w:rPr>
        <w:t>AP Group</w:t>
      </w:r>
      <w:r>
        <w:rPr>
          <w:rFonts w:cs="Arial"/>
          <w:sz w:val="22"/>
          <w:szCs w:val="22"/>
        </w:rPr>
        <w:t xml:space="preserve"> where the documents motor vehicle dealers provide do not satisfy all of the requirements under subsection 29-70(1) to be a tax invoice.</w:t>
      </w:r>
    </w:p>
    <w:p w:rsidR="007F2367" w:rsidRPr="003B2C3B" w:rsidRDefault="007F2367" w:rsidP="007F2367">
      <w:pPr>
        <w:numPr>
          <w:ilvl w:val="0"/>
          <w:numId w:val="1"/>
        </w:numPr>
        <w:tabs>
          <w:tab w:val="clear" w:pos="4380"/>
        </w:tabs>
        <w:spacing w:after="120"/>
        <w:ind w:left="0" w:firstLine="0"/>
        <w:rPr>
          <w:rFonts w:cs="Arial"/>
          <w:sz w:val="22"/>
          <w:szCs w:val="22"/>
        </w:rPr>
      </w:pPr>
      <w:r w:rsidRPr="003B2C3B">
        <w:rPr>
          <w:sz w:val="22"/>
          <w:szCs w:val="22"/>
        </w:rPr>
        <w:t>Compliance cost impact: No change/low – minor or machinery in nature.  A compliance cost assessment indicates a minor impact to both implementation and on-going compliance costs.</w:t>
      </w:r>
    </w:p>
    <w:p w:rsidR="007F2367" w:rsidRDefault="007F2367" w:rsidP="007F2367">
      <w:pPr>
        <w:spacing w:after="120"/>
        <w:rPr>
          <w:rFonts w:cs="Arial"/>
          <w:sz w:val="22"/>
          <w:szCs w:val="22"/>
        </w:rPr>
      </w:pPr>
    </w:p>
    <w:p w:rsidR="007F2367" w:rsidRPr="00DD251F" w:rsidRDefault="007F2367" w:rsidP="007F2367">
      <w:pPr>
        <w:pStyle w:val="Heading2"/>
        <w:rPr>
          <w:rFonts w:cs="Arial"/>
          <w:szCs w:val="22"/>
        </w:rPr>
      </w:pPr>
      <w:r>
        <w:rPr>
          <w:rFonts w:cs="Arial"/>
          <w:szCs w:val="22"/>
        </w:rPr>
        <w:t>Background</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Generally, when a recipient makes a creditable acquisition, an input tax credit for the acquisition is not attributable to a tax period until they hold a tax invoice.</w:t>
      </w:r>
      <w:r>
        <w:rPr>
          <w:rStyle w:val="FootnoteReference"/>
          <w:sz w:val="22"/>
          <w:szCs w:val="22"/>
        </w:rPr>
        <w:footnoteReference w:id="2"/>
      </w:r>
      <w:r>
        <w:rPr>
          <w:rFonts w:cs="Arial"/>
          <w:sz w:val="22"/>
          <w:szCs w:val="22"/>
        </w:rPr>
        <w:t xml:space="preserve"> A tax invoice is a document that meets the requirements in subsection 29-70(1).</w:t>
      </w:r>
    </w:p>
    <w:p w:rsidR="007F2367" w:rsidRPr="006E3BC5" w:rsidRDefault="007F2367" w:rsidP="007F2367">
      <w:pPr>
        <w:keepLines/>
        <w:numPr>
          <w:ilvl w:val="0"/>
          <w:numId w:val="1"/>
        </w:numPr>
        <w:tabs>
          <w:tab w:val="clear" w:pos="4380"/>
        </w:tabs>
        <w:spacing w:after="120"/>
        <w:ind w:left="0" w:firstLine="0"/>
        <w:rPr>
          <w:rFonts w:cs="Arial"/>
          <w:sz w:val="22"/>
          <w:szCs w:val="22"/>
        </w:rPr>
      </w:pPr>
      <w:r w:rsidRPr="007A39C6">
        <w:rPr>
          <w:rFonts w:cs="Arial"/>
          <w:sz w:val="22"/>
          <w:szCs w:val="22"/>
        </w:rPr>
        <w:t xml:space="preserve">In some cases, the </w:t>
      </w:r>
      <w:r>
        <w:rPr>
          <w:rFonts w:cs="Arial"/>
          <w:sz w:val="22"/>
          <w:szCs w:val="22"/>
        </w:rPr>
        <w:t>necessity</w:t>
      </w:r>
      <w:r w:rsidRPr="007A39C6">
        <w:rPr>
          <w:rFonts w:cs="Arial"/>
          <w:sz w:val="22"/>
          <w:szCs w:val="22"/>
        </w:rPr>
        <w:t xml:space="preserve"> for the recipient to hold a document that meets the requirements of subsection 29-70(1) may impose a disproportionate burden </w:t>
      </w:r>
      <w:r>
        <w:rPr>
          <w:rFonts w:cs="Arial"/>
          <w:sz w:val="22"/>
          <w:szCs w:val="22"/>
        </w:rPr>
        <w:t>or other commercial difficulties</w:t>
      </w:r>
      <w:r w:rsidRPr="007A39C6">
        <w:rPr>
          <w:rFonts w:cs="Arial"/>
          <w:sz w:val="22"/>
          <w:szCs w:val="22"/>
        </w:rPr>
        <w:t xml:space="preserve"> on a supplier or a recipient, particularly if the document </w:t>
      </w:r>
      <w:r>
        <w:rPr>
          <w:rFonts w:cs="Arial"/>
          <w:sz w:val="22"/>
          <w:szCs w:val="22"/>
        </w:rPr>
        <w:t xml:space="preserve">that they do hold </w:t>
      </w:r>
      <w:r w:rsidRPr="007A39C6">
        <w:rPr>
          <w:rFonts w:cs="Arial"/>
          <w:sz w:val="22"/>
          <w:szCs w:val="22"/>
        </w:rPr>
        <w:t>has most of the required features of a tax invoice.</w:t>
      </w:r>
      <w:r>
        <w:rPr>
          <w:rFonts w:cs="Arial"/>
          <w:sz w:val="22"/>
          <w:szCs w:val="22"/>
        </w:rPr>
        <w:t xml:space="preserve"> </w:t>
      </w:r>
      <w:r w:rsidRPr="006E3BC5">
        <w:rPr>
          <w:rFonts w:cs="Arial"/>
          <w:sz w:val="22"/>
          <w:szCs w:val="22"/>
        </w:rPr>
        <w:t xml:space="preserve">The sale of motor vehicles to retail </w:t>
      </w:r>
      <w:r>
        <w:rPr>
          <w:rFonts w:cs="Arial"/>
          <w:sz w:val="22"/>
          <w:szCs w:val="22"/>
        </w:rPr>
        <w:t>recipient</w:t>
      </w:r>
      <w:r w:rsidRPr="006E3BC5">
        <w:rPr>
          <w:rFonts w:cs="Arial"/>
          <w:sz w:val="22"/>
          <w:szCs w:val="22"/>
        </w:rPr>
        <w:t xml:space="preserve">s </w:t>
      </w:r>
      <w:r>
        <w:rPr>
          <w:rFonts w:cs="Arial"/>
          <w:sz w:val="22"/>
          <w:szCs w:val="22"/>
        </w:rPr>
        <w:t xml:space="preserve">where a motor vehicle incentive payment is also made </w:t>
      </w:r>
      <w:r w:rsidRPr="006E3BC5">
        <w:rPr>
          <w:rFonts w:cs="Arial"/>
          <w:sz w:val="22"/>
          <w:szCs w:val="22"/>
        </w:rPr>
        <w:t>has become such a case.</w:t>
      </w:r>
    </w:p>
    <w:p w:rsidR="007F2367" w:rsidRDefault="007F2367" w:rsidP="007F2367">
      <w:pPr>
        <w:numPr>
          <w:ilvl w:val="0"/>
          <w:numId w:val="1"/>
        </w:numPr>
        <w:tabs>
          <w:tab w:val="clear" w:pos="4380"/>
        </w:tabs>
        <w:spacing w:after="120"/>
        <w:ind w:left="0" w:firstLine="0"/>
        <w:rPr>
          <w:rFonts w:cs="Arial"/>
          <w:sz w:val="22"/>
          <w:szCs w:val="22"/>
        </w:rPr>
      </w:pPr>
      <w:r w:rsidRPr="00F12F7B">
        <w:rPr>
          <w:rFonts w:cs="Arial"/>
          <w:sz w:val="22"/>
          <w:szCs w:val="22"/>
        </w:rPr>
        <w:t xml:space="preserve">The Commissioner had interpreted the GST law so that particular </w:t>
      </w:r>
      <w:r>
        <w:rPr>
          <w:rFonts w:cs="Arial"/>
          <w:sz w:val="22"/>
          <w:szCs w:val="22"/>
        </w:rPr>
        <w:t xml:space="preserve">motor vehicle </w:t>
      </w:r>
      <w:r w:rsidRPr="00F12F7B">
        <w:rPr>
          <w:rFonts w:cs="Arial"/>
          <w:sz w:val="22"/>
          <w:szCs w:val="22"/>
        </w:rPr>
        <w:t xml:space="preserve">incentive payments were consideration for a supply made by the </w:t>
      </w:r>
      <w:r>
        <w:rPr>
          <w:rFonts w:cs="Arial"/>
          <w:sz w:val="22"/>
          <w:szCs w:val="22"/>
        </w:rPr>
        <w:t xml:space="preserve">motor vehicle </w:t>
      </w:r>
      <w:r w:rsidRPr="00F12F7B">
        <w:rPr>
          <w:rFonts w:cs="Arial"/>
          <w:sz w:val="22"/>
          <w:szCs w:val="22"/>
        </w:rPr>
        <w:t xml:space="preserve">dealer to </w:t>
      </w:r>
      <w:r w:rsidRPr="00F12F7B">
        <w:rPr>
          <w:rFonts w:cs="Arial"/>
          <w:sz w:val="22"/>
          <w:szCs w:val="22"/>
        </w:rPr>
        <w:lastRenderedPageBreak/>
        <w:t>the manufacturer</w:t>
      </w:r>
      <w:r>
        <w:rPr>
          <w:rFonts w:cs="Arial"/>
          <w:sz w:val="22"/>
          <w:szCs w:val="22"/>
        </w:rPr>
        <w:t xml:space="preserve">, importer or distributor (manufacturer). It was considered that such payments were not </w:t>
      </w:r>
      <w:r w:rsidRPr="00F12F7B">
        <w:rPr>
          <w:rFonts w:cs="Arial"/>
          <w:sz w:val="22"/>
          <w:szCs w:val="22"/>
        </w:rPr>
        <w:t xml:space="preserve">part of the </w:t>
      </w:r>
      <w:r>
        <w:rPr>
          <w:rFonts w:cs="Arial"/>
          <w:sz w:val="22"/>
          <w:szCs w:val="22"/>
        </w:rPr>
        <w:t>‘</w:t>
      </w:r>
      <w:r w:rsidRPr="00F12F7B">
        <w:rPr>
          <w:rFonts w:cs="Arial"/>
          <w:sz w:val="22"/>
          <w:szCs w:val="22"/>
        </w:rPr>
        <w:t>price</w:t>
      </w:r>
      <w:r>
        <w:rPr>
          <w:rFonts w:cs="Arial"/>
          <w:sz w:val="22"/>
          <w:szCs w:val="22"/>
        </w:rPr>
        <w:t>’</w:t>
      </w:r>
      <w:r w:rsidRPr="00F12F7B">
        <w:rPr>
          <w:rFonts w:cs="Arial"/>
          <w:sz w:val="22"/>
          <w:szCs w:val="22"/>
        </w:rPr>
        <w:t xml:space="preserve"> of the motor vehicle supplied to the </w:t>
      </w:r>
      <w:r>
        <w:rPr>
          <w:rFonts w:cs="Arial"/>
          <w:sz w:val="22"/>
          <w:szCs w:val="22"/>
        </w:rPr>
        <w:t>recipient</w:t>
      </w:r>
      <w:r w:rsidRPr="00F12F7B">
        <w:rPr>
          <w:rFonts w:cs="Arial"/>
          <w:sz w:val="22"/>
          <w:szCs w:val="22"/>
        </w:rPr>
        <w:t>. Therefore</w:t>
      </w:r>
      <w:r>
        <w:rPr>
          <w:rFonts w:cs="Arial"/>
          <w:sz w:val="22"/>
          <w:szCs w:val="22"/>
        </w:rPr>
        <w:t>,</w:t>
      </w:r>
      <w:r w:rsidRPr="00F12F7B">
        <w:rPr>
          <w:rFonts w:cs="Arial"/>
          <w:sz w:val="22"/>
          <w:szCs w:val="22"/>
        </w:rPr>
        <w:t xml:space="preserve"> a document provided by the dealer to the </w:t>
      </w:r>
      <w:r>
        <w:rPr>
          <w:rFonts w:cs="Arial"/>
          <w:sz w:val="22"/>
          <w:szCs w:val="22"/>
        </w:rPr>
        <w:t>recipient</w:t>
      </w:r>
      <w:r w:rsidRPr="00F12F7B">
        <w:rPr>
          <w:rFonts w:cs="Arial"/>
          <w:sz w:val="22"/>
          <w:szCs w:val="22"/>
        </w:rPr>
        <w:t xml:space="preserve"> </w:t>
      </w:r>
      <w:proofErr w:type="gramStart"/>
      <w:r w:rsidRPr="00F12F7B">
        <w:rPr>
          <w:rFonts w:cs="Arial"/>
          <w:sz w:val="22"/>
          <w:szCs w:val="22"/>
        </w:rPr>
        <w:t>which</w:t>
      </w:r>
      <w:proofErr w:type="gramEnd"/>
      <w:r w:rsidRPr="00F12F7B">
        <w:rPr>
          <w:rFonts w:cs="Arial"/>
          <w:sz w:val="22"/>
          <w:szCs w:val="22"/>
        </w:rPr>
        <w:t xml:space="preserve"> set</w:t>
      </w:r>
      <w:r>
        <w:rPr>
          <w:rFonts w:cs="Arial"/>
          <w:sz w:val="22"/>
          <w:szCs w:val="22"/>
        </w:rPr>
        <w:t>s</w:t>
      </w:r>
      <w:r w:rsidRPr="00F12F7B">
        <w:rPr>
          <w:rFonts w:cs="Arial"/>
          <w:sz w:val="22"/>
          <w:szCs w:val="22"/>
        </w:rPr>
        <w:t xml:space="preserve"> out the consideration provided by the </w:t>
      </w:r>
      <w:r>
        <w:rPr>
          <w:rFonts w:cs="Arial"/>
          <w:sz w:val="22"/>
          <w:szCs w:val="22"/>
        </w:rPr>
        <w:t>recipient</w:t>
      </w:r>
      <w:r w:rsidRPr="00F12F7B">
        <w:rPr>
          <w:rFonts w:cs="Arial"/>
          <w:sz w:val="22"/>
          <w:szCs w:val="22"/>
        </w:rPr>
        <w:t xml:space="preserve"> as the relevant price</w:t>
      </w:r>
      <w:r>
        <w:rPr>
          <w:rFonts w:cs="Arial"/>
          <w:sz w:val="22"/>
          <w:szCs w:val="22"/>
        </w:rPr>
        <w:t xml:space="preserve"> and the GST payable on this amount, in addition to all the other requirements in subsection 29-70(1),</w:t>
      </w:r>
      <w:r w:rsidRPr="00F12F7B">
        <w:rPr>
          <w:rFonts w:cs="Arial"/>
          <w:sz w:val="22"/>
          <w:szCs w:val="22"/>
        </w:rPr>
        <w:t xml:space="preserve"> was a valid tax invoice.</w:t>
      </w:r>
    </w:p>
    <w:p w:rsidR="007F2367" w:rsidRDefault="007F2367" w:rsidP="007F2367">
      <w:pPr>
        <w:numPr>
          <w:ilvl w:val="0"/>
          <w:numId w:val="1"/>
        </w:numPr>
        <w:tabs>
          <w:tab w:val="clear" w:pos="4380"/>
        </w:tabs>
        <w:spacing w:after="120"/>
        <w:ind w:left="0" w:firstLine="0"/>
        <w:rPr>
          <w:rFonts w:cs="Arial"/>
          <w:sz w:val="22"/>
          <w:szCs w:val="22"/>
        </w:rPr>
      </w:pPr>
      <w:r w:rsidRPr="007F79C3">
        <w:rPr>
          <w:rFonts w:cs="Arial"/>
          <w:sz w:val="22"/>
          <w:szCs w:val="22"/>
        </w:rPr>
        <w:t xml:space="preserve">However, in </w:t>
      </w:r>
      <w:r w:rsidRPr="007F79C3">
        <w:rPr>
          <w:rFonts w:cs="Arial"/>
          <w:i/>
          <w:sz w:val="22"/>
          <w:szCs w:val="22"/>
        </w:rPr>
        <w:t>AP Group</w:t>
      </w:r>
      <w:r w:rsidRPr="007F79C3">
        <w:rPr>
          <w:rFonts w:cs="Arial"/>
          <w:sz w:val="22"/>
          <w:szCs w:val="22"/>
        </w:rPr>
        <w:t xml:space="preserve"> the Full Federal Court on appeal </w:t>
      </w:r>
      <w:r>
        <w:rPr>
          <w:rFonts w:cs="Arial"/>
          <w:sz w:val="22"/>
          <w:szCs w:val="22"/>
        </w:rPr>
        <w:t xml:space="preserve">held </w:t>
      </w:r>
      <w:r w:rsidRPr="007F79C3">
        <w:rPr>
          <w:rFonts w:cs="Arial"/>
          <w:sz w:val="22"/>
          <w:szCs w:val="22"/>
        </w:rPr>
        <w:t>that particular ‘fleet rebates’ and ‘run-out model support’ payments considered in the case were consideration provided by the manufacturer for the supply of motor vehicles to the dealer’s customers (that is, third party consideration).</w:t>
      </w:r>
      <w:r>
        <w:rPr>
          <w:rFonts w:cs="Arial"/>
          <w:sz w:val="22"/>
          <w:szCs w:val="22"/>
        </w:rPr>
        <w:t xml:space="preserve"> </w:t>
      </w:r>
      <w:r w:rsidRPr="007F79C3">
        <w:rPr>
          <w:rFonts w:cs="Arial"/>
          <w:sz w:val="22"/>
          <w:szCs w:val="22"/>
        </w:rPr>
        <w:t xml:space="preserve">Consequently, such payments form part of the </w:t>
      </w:r>
      <w:r>
        <w:rPr>
          <w:rFonts w:cs="Arial"/>
          <w:sz w:val="22"/>
          <w:szCs w:val="22"/>
        </w:rPr>
        <w:t xml:space="preserve">price </w:t>
      </w:r>
      <w:r w:rsidRPr="007F79C3">
        <w:rPr>
          <w:rFonts w:cs="Arial"/>
          <w:sz w:val="22"/>
          <w:szCs w:val="22"/>
        </w:rPr>
        <w:t>for the supply of a motor vehicle.</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 xml:space="preserve">As noted, the documents that have been provided by the motor vehicle dealer to the recipient only set out the consideration provided by the recipient and the amount of GST payable in relation to that consideration, not the full price and GST payable on that price. The consequence of this, following the decision in </w:t>
      </w:r>
      <w:r w:rsidRPr="006E3BC5">
        <w:rPr>
          <w:rFonts w:cs="Arial"/>
          <w:i/>
          <w:sz w:val="22"/>
          <w:szCs w:val="22"/>
        </w:rPr>
        <w:t>AP Group</w:t>
      </w:r>
      <w:r>
        <w:rPr>
          <w:rFonts w:cs="Arial"/>
          <w:sz w:val="22"/>
          <w:szCs w:val="22"/>
        </w:rPr>
        <w:t>, is that the requirements in subparagraphs 29-70(1</w:t>
      </w:r>
      <w:proofErr w:type="gramStart"/>
      <w:r>
        <w:rPr>
          <w:rFonts w:cs="Arial"/>
          <w:sz w:val="22"/>
          <w:szCs w:val="22"/>
        </w:rPr>
        <w:t>)(</w:t>
      </w:r>
      <w:proofErr w:type="gramEnd"/>
      <w:r>
        <w:rPr>
          <w:rFonts w:cs="Arial"/>
          <w:sz w:val="22"/>
          <w:szCs w:val="22"/>
        </w:rPr>
        <w:t>c)(iii) and 29-70(1)(c)(vi) are not satisfied. That is, such documents are not tax invoices under subsection 29-70(1).</w:t>
      </w:r>
    </w:p>
    <w:p w:rsidR="007F2367" w:rsidRDefault="007F2367" w:rsidP="007F2367">
      <w:pPr>
        <w:numPr>
          <w:ilvl w:val="0"/>
          <w:numId w:val="1"/>
        </w:numPr>
        <w:tabs>
          <w:tab w:val="clear" w:pos="4380"/>
        </w:tabs>
        <w:spacing w:after="120"/>
        <w:ind w:left="0" w:firstLine="0"/>
        <w:rPr>
          <w:rFonts w:cs="Arial"/>
          <w:sz w:val="22"/>
          <w:szCs w:val="22"/>
        </w:rPr>
      </w:pPr>
      <w:r w:rsidRPr="007F79C3">
        <w:rPr>
          <w:rFonts w:cs="Arial"/>
          <w:sz w:val="22"/>
          <w:szCs w:val="22"/>
        </w:rPr>
        <w:t xml:space="preserve">The </w:t>
      </w:r>
      <w:r>
        <w:rPr>
          <w:rFonts w:cs="Arial"/>
          <w:sz w:val="22"/>
          <w:szCs w:val="22"/>
        </w:rPr>
        <w:t>recipient</w:t>
      </w:r>
      <w:r w:rsidRPr="007F79C3">
        <w:rPr>
          <w:rFonts w:cs="Arial"/>
          <w:sz w:val="22"/>
          <w:szCs w:val="22"/>
        </w:rPr>
        <w:t xml:space="preserve"> generally will not know that such third party consideration has been </w:t>
      </w:r>
      <w:r>
        <w:rPr>
          <w:rFonts w:cs="Arial"/>
          <w:sz w:val="22"/>
          <w:szCs w:val="22"/>
        </w:rPr>
        <w:t>provided by the manufacturer to the motor vehicle dealer</w:t>
      </w:r>
      <w:r w:rsidRPr="007F79C3">
        <w:rPr>
          <w:rFonts w:cs="Arial"/>
          <w:sz w:val="22"/>
          <w:szCs w:val="22"/>
        </w:rPr>
        <w:t xml:space="preserve">. Therefore, the </w:t>
      </w:r>
      <w:r>
        <w:rPr>
          <w:rFonts w:cs="Arial"/>
          <w:sz w:val="22"/>
          <w:szCs w:val="22"/>
        </w:rPr>
        <w:t>recipient</w:t>
      </w:r>
      <w:r w:rsidRPr="007F79C3">
        <w:rPr>
          <w:rFonts w:cs="Arial"/>
          <w:sz w:val="22"/>
          <w:szCs w:val="22"/>
        </w:rPr>
        <w:t xml:space="preserve"> generally will not kno</w:t>
      </w:r>
      <w:r>
        <w:rPr>
          <w:rFonts w:cs="Arial"/>
          <w:sz w:val="22"/>
          <w:szCs w:val="22"/>
        </w:rPr>
        <w:t>w that the document they hold does</w:t>
      </w:r>
      <w:r w:rsidRPr="007F79C3">
        <w:rPr>
          <w:rFonts w:cs="Arial"/>
          <w:sz w:val="22"/>
          <w:szCs w:val="22"/>
        </w:rPr>
        <w:t xml:space="preserve"> not </w:t>
      </w:r>
      <w:r>
        <w:rPr>
          <w:rFonts w:cs="Arial"/>
          <w:sz w:val="22"/>
          <w:szCs w:val="22"/>
        </w:rPr>
        <w:t xml:space="preserve">meet the requirements of </w:t>
      </w:r>
      <w:r w:rsidRPr="007F79C3">
        <w:rPr>
          <w:rFonts w:cs="Arial"/>
          <w:sz w:val="22"/>
          <w:szCs w:val="22"/>
        </w:rPr>
        <w:t xml:space="preserve">a tax invoice. </w:t>
      </w:r>
      <w:r>
        <w:rPr>
          <w:rFonts w:cs="Arial"/>
          <w:sz w:val="22"/>
          <w:szCs w:val="22"/>
        </w:rPr>
        <w:t>However, this does not affect the requirement in subsection 29-10(3).</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Requiring the amounts of third party consideration to be stated on the tax invoice may lead to confusion by the recipient regarding the extent to which they are liable to provide the consideration for their acquisition and the amount of the input tax credit to which they are entitled.</w:t>
      </w:r>
      <w:r>
        <w:rPr>
          <w:rStyle w:val="FootnoteReference"/>
          <w:sz w:val="22"/>
          <w:szCs w:val="22"/>
        </w:rPr>
        <w:footnoteReference w:id="3"/>
      </w:r>
      <w:r>
        <w:rPr>
          <w:rFonts w:cs="Arial"/>
          <w:sz w:val="22"/>
          <w:szCs w:val="22"/>
        </w:rPr>
        <w:t xml:space="preserve"> In addition, motor vehicle dealers would have an increased compliance burden to comply with the requirements because of the need to update their documentation they provide to recipients to comply with the requirements of subsection 29-70(1). For these reasons it is not appropriate to require a recipient to hold a tax invoice before they are able to attribute the input tax credit for the creditable acquisition.</w:t>
      </w:r>
    </w:p>
    <w:p w:rsidR="007F2367" w:rsidRDefault="007F2367" w:rsidP="007F2367">
      <w:pPr>
        <w:spacing w:after="120"/>
        <w:rPr>
          <w:rFonts w:cs="Arial"/>
          <w:sz w:val="22"/>
          <w:szCs w:val="22"/>
        </w:rPr>
      </w:pPr>
    </w:p>
    <w:p w:rsidR="007F2367" w:rsidRPr="00DD251F" w:rsidRDefault="007F2367" w:rsidP="007F2367">
      <w:pPr>
        <w:pStyle w:val="Heading2"/>
        <w:rPr>
          <w:rFonts w:cs="Arial"/>
          <w:szCs w:val="22"/>
        </w:rPr>
      </w:pPr>
      <w:r w:rsidRPr="00DD251F">
        <w:rPr>
          <w:rFonts w:cs="Arial"/>
          <w:szCs w:val="22"/>
        </w:rPr>
        <w:t>Explanation</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U</w:t>
      </w:r>
      <w:r w:rsidRPr="00B01253">
        <w:rPr>
          <w:rFonts w:cs="Arial"/>
          <w:sz w:val="22"/>
          <w:szCs w:val="22"/>
        </w:rPr>
        <w:t xml:space="preserve">nder subsection 29-10(3), an input tax credit </w:t>
      </w:r>
      <w:r>
        <w:rPr>
          <w:rFonts w:cs="Arial"/>
          <w:sz w:val="22"/>
          <w:szCs w:val="22"/>
        </w:rPr>
        <w:t xml:space="preserve">is not attributable to a tax period </w:t>
      </w:r>
      <w:r w:rsidRPr="00B01253">
        <w:rPr>
          <w:rFonts w:cs="Arial"/>
          <w:sz w:val="22"/>
          <w:szCs w:val="22"/>
        </w:rPr>
        <w:t xml:space="preserve">unless the recipient holds a tax invoice. </w:t>
      </w:r>
    </w:p>
    <w:p w:rsidR="007F2367" w:rsidRPr="00D14F10" w:rsidRDefault="007F2367" w:rsidP="007F2367">
      <w:pPr>
        <w:numPr>
          <w:ilvl w:val="0"/>
          <w:numId w:val="1"/>
        </w:numPr>
        <w:tabs>
          <w:tab w:val="clear" w:pos="4380"/>
        </w:tabs>
        <w:spacing w:after="120"/>
        <w:ind w:left="0" w:firstLine="0"/>
        <w:rPr>
          <w:rFonts w:cs="Arial"/>
          <w:sz w:val="22"/>
          <w:szCs w:val="22"/>
        </w:rPr>
      </w:pPr>
      <w:r>
        <w:rPr>
          <w:rFonts w:cs="Arial"/>
          <w:sz w:val="22"/>
          <w:szCs w:val="22"/>
        </w:rPr>
        <w:t>This instrument ensures that the recipient</w:t>
      </w:r>
      <w:r w:rsidRPr="00D14F10">
        <w:rPr>
          <w:rFonts w:cs="Arial"/>
          <w:sz w:val="22"/>
          <w:szCs w:val="22"/>
        </w:rPr>
        <w:t xml:space="preserve"> will be able to attribute the input tax credit for their creditable acquisition to the tax period </w:t>
      </w:r>
      <w:r>
        <w:rPr>
          <w:rFonts w:cs="Arial"/>
          <w:sz w:val="22"/>
          <w:szCs w:val="22"/>
        </w:rPr>
        <w:t>in which they hold a document that meets the requirements set out in the instrument, without needing to hold a tax invoice.</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The instrument waives the requirement to hold a tax invoice if a recipient (the recipient) makes a creditable acquisition of a motor vehicle from a motor vehicle dealer (the supplier), the supplier receives a motor vehicle incentive payment</w:t>
      </w:r>
      <w:r w:rsidRPr="002462FE">
        <w:rPr>
          <w:rFonts w:cs="Arial"/>
          <w:color w:val="auto"/>
          <w:sz w:val="22"/>
          <w:szCs w:val="22"/>
        </w:rPr>
        <w:t xml:space="preserve"> </w:t>
      </w:r>
      <w:r w:rsidRPr="002462FE">
        <w:rPr>
          <w:rFonts w:cs="Arial"/>
          <w:sz w:val="22"/>
          <w:szCs w:val="22"/>
        </w:rPr>
        <w:t>for the supply of the motor vehicle to the recipient in addition to the consideration payable by the recipient</w:t>
      </w:r>
      <w:r>
        <w:rPr>
          <w:rFonts w:cs="Arial"/>
          <w:sz w:val="22"/>
          <w:szCs w:val="22"/>
        </w:rPr>
        <w:t xml:space="preserve"> (third party consideration), and the requirements of the instrument are satisfied.</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For the purposes of the instrument, ‘motor vehicle incentive payment’ is limited to incentive payments that are third party consideration. That is w</w:t>
      </w:r>
      <w:r w:rsidRPr="00D748A0">
        <w:rPr>
          <w:rFonts w:cs="Arial"/>
          <w:sz w:val="22"/>
          <w:szCs w:val="22"/>
        </w:rPr>
        <w:t>here</w:t>
      </w:r>
      <w:r>
        <w:rPr>
          <w:rFonts w:cs="Arial"/>
          <w:sz w:val="22"/>
          <w:szCs w:val="22"/>
        </w:rPr>
        <w:t xml:space="preserve"> the incentive payment is part payment for the supply of the motor vehicle to the recipient. </w:t>
      </w:r>
      <w:r w:rsidRPr="00D748A0">
        <w:rPr>
          <w:rFonts w:cs="Arial"/>
          <w:sz w:val="22"/>
          <w:szCs w:val="22"/>
        </w:rPr>
        <w:t xml:space="preserve"> </w:t>
      </w:r>
    </w:p>
    <w:p w:rsidR="007F2367" w:rsidRDefault="007F2367" w:rsidP="007F2367">
      <w:pPr>
        <w:numPr>
          <w:ilvl w:val="0"/>
          <w:numId w:val="1"/>
        </w:numPr>
        <w:tabs>
          <w:tab w:val="clear" w:pos="4380"/>
        </w:tabs>
        <w:spacing w:after="120"/>
        <w:ind w:left="0" w:firstLine="0"/>
        <w:rPr>
          <w:rFonts w:cs="Arial"/>
          <w:sz w:val="22"/>
          <w:szCs w:val="22"/>
        </w:rPr>
      </w:pPr>
      <w:r>
        <w:rPr>
          <w:rFonts w:cs="Arial"/>
          <w:sz w:val="22"/>
          <w:szCs w:val="22"/>
        </w:rPr>
        <w:t>For the requirement to hold the tax invoice to be waived, the recipient must hold a document that meets the information requirements set out in clause 5 of the instrument.</w:t>
      </w:r>
    </w:p>
    <w:p w:rsidR="007F2367" w:rsidRDefault="007F2367" w:rsidP="007F2367">
      <w:pPr>
        <w:numPr>
          <w:ilvl w:val="0"/>
          <w:numId w:val="1"/>
        </w:numPr>
        <w:tabs>
          <w:tab w:val="clear" w:pos="4380"/>
        </w:tabs>
        <w:spacing w:after="120"/>
        <w:ind w:left="0" w:firstLine="0"/>
        <w:rPr>
          <w:sz w:val="22"/>
          <w:szCs w:val="22"/>
        </w:rPr>
      </w:pPr>
      <w:r w:rsidRPr="00D748A0">
        <w:rPr>
          <w:rFonts w:cs="Arial"/>
          <w:sz w:val="22"/>
          <w:szCs w:val="22"/>
        </w:rPr>
        <w:lastRenderedPageBreak/>
        <w:t>This requires that the</w:t>
      </w:r>
      <w:r>
        <w:rPr>
          <w:rFonts w:cs="Arial"/>
          <w:sz w:val="22"/>
          <w:szCs w:val="22"/>
        </w:rPr>
        <w:t xml:space="preserve"> </w:t>
      </w:r>
      <w:r w:rsidRPr="00D748A0">
        <w:rPr>
          <w:sz w:val="22"/>
          <w:szCs w:val="22"/>
        </w:rPr>
        <w:t>document satisfies the requirements of paragraphs 29</w:t>
      </w:r>
      <w:r w:rsidRPr="00D748A0">
        <w:rPr>
          <w:sz w:val="22"/>
          <w:szCs w:val="22"/>
        </w:rPr>
        <w:noBreakHyphen/>
        <w:t xml:space="preserve">70(1)(a) and 29-70(1)(c), </w:t>
      </w:r>
      <w:r>
        <w:rPr>
          <w:sz w:val="22"/>
          <w:szCs w:val="22"/>
        </w:rPr>
        <w:t>other than:</w:t>
      </w:r>
    </w:p>
    <w:p w:rsidR="007F2367" w:rsidRPr="0042627E" w:rsidRDefault="007F2367" w:rsidP="007F2367">
      <w:pPr>
        <w:spacing w:after="120"/>
        <w:ind w:left="1418" w:hanging="709"/>
        <w:rPr>
          <w:sz w:val="22"/>
          <w:szCs w:val="22"/>
        </w:rPr>
      </w:pPr>
      <w:r w:rsidRPr="0042627E">
        <w:rPr>
          <w:sz w:val="22"/>
          <w:szCs w:val="22"/>
        </w:rPr>
        <w:t>(a</w:t>
      </w:r>
      <w:r>
        <w:rPr>
          <w:sz w:val="22"/>
          <w:szCs w:val="22"/>
        </w:rPr>
        <w:t xml:space="preserve">) </w:t>
      </w:r>
      <w:r>
        <w:rPr>
          <w:sz w:val="22"/>
          <w:szCs w:val="22"/>
        </w:rPr>
        <w:tab/>
      </w:r>
      <w:proofErr w:type="gramStart"/>
      <w:r w:rsidRPr="0042627E">
        <w:rPr>
          <w:sz w:val="22"/>
          <w:szCs w:val="22"/>
        </w:rPr>
        <w:t>the</w:t>
      </w:r>
      <w:proofErr w:type="gramEnd"/>
      <w:r w:rsidRPr="0042627E">
        <w:rPr>
          <w:sz w:val="22"/>
          <w:szCs w:val="22"/>
        </w:rPr>
        <w:t xml:space="preserve"> requirement in subparagraph 29-70(1)(c)(iii) that the document contains enough information for the price of the supply to be clearly ascertained; and</w:t>
      </w:r>
    </w:p>
    <w:p w:rsidR="007F2367" w:rsidRPr="0042627E" w:rsidRDefault="007F2367" w:rsidP="007F2367">
      <w:pPr>
        <w:spacing w:after="120"/>
        <w:ind w:left="1418" w:hanging="709"/>
        <w:rPr>
          <w:sz w:val="22"/>
          <w:szCs w:val="22"/>
        </w:rPr>
      </w:pPr>
      <w:r w:rsidRPr="0042627E">
        <w:rPr>
          <w:sz w:val="22"/>
          <w:szCs w:val="22"/>
        </w:rPr>
        <w:t>(b)</w:t>
      </w:r>
      <w:r w:rsidRPr="0042627E">
        <w:rPr>
          <w:sz w:val="22"/>
          <w:szCs w:val="22"/>
        </w:rPr>
        <w:tab/>
      </w:r>
      <w:proofErr w:type="gramStart"/>
      <w:r w:rsidRPr="0042627E">
        <w:rPr>
          <w:sz w:val="22"/>
          <w:szCs w:val="22"/>
        </w:rPr>
        <w:t>the</w:t>
      </w:r>
      <w:proofErr w:type="gramEnd"/>
      <w:r w:rsidRPr="0042627E">
        <w:rPr>
          <w:sz w:val="22"/>
          <w:szCs w:val="22"/>
        </w:rPr>
        <w:t xml:space="preserve"> requirement in</w:t>
      </w:r>
      <w:r>
        <w:rPr>
          <w:sz w:val="22"/>
          <w:szCs w:val="22"/>
        </w:rPr>
        <w:t xml:space="preserve"> subparagraph 29-70(1)(c)(vi) that the document contains enough information for the amount of GST (if any) payable in relation to each supply to be clearly ascertained.</w:t>
      </w:r>
    </w:p>
    <w:p w:rsidR="007F2367" w:rsidRDefault="007F2367" w:rsidP="007F2367">
      <w:pPr>
        <w:numPr>
          <w:ilvl w:val="0"/>
          <w:numId w:val="1"/>
        </w:numPr>
        <w:tabs>
          <w:tab w:val="clear" w:pos="4380"/>
        </w:tabs>
        <w:spacing w:after="120"/>
        <w:ind w:left="0" w:firstLine="0"/>
        <w:rPr>
          <w:sz w:val="22"/>
          <w:szCs w:val="22"/>
        </w:rPr>
      </w:pPr>
      <w:r>
        <w:rPr>
          <w:sz w:val="22"/>
          <w:szCs w:val="22"/>
        </w:rPr>
        <w:t>Instead of these two requirements, the document must contain enough information to enable the following to be clearly ascertained:</w:t>
      </w:r>
    </w:p>
    <w:p w:rsidR="007F2367" w:rsidRPr="0042627E" w:rsidRDefault="007F2367" w:rsidP="007F2367">
      <w:pPr>
        <w:spacing w:after="120"/>
        <w:ind w:left="1418" w:hanging="709"/>
        <w:rPr>
          <w:sz w:val="22"/>
          <w:szCs w:val="22"/>
        </w:rPr>
      </w:pPr>
      <w:r w:rsidRPr="0042627E">
        <w:rPr>
          <w:sz w:val="22"/>
          <w:szCs w:val="22"/>
        </w:rPr>
        <w:t>(a</w:t>
      </w:r>
      <w:r>
        <w:rPr>
          <w:sz w:val="22"/>
          <w:szCs w:val="22"/>
        </w:rPr>
        <w:t>)</w:t>
      </w:r>
      <w:r>
        <w:rPr>
          <w:sz w:val="22"/>
          <w:szCs w:val="22"/>
        </w:rPr>
        <w:tab/>
      </w:r>
      <w:proofErr w:type="gramStart"/>
      <w:r w:rsidRPr="0042627E">
        <w:rPr>
          <w:sz w:val="22"/>
          <w:szCs w:val="22"/>
        </w:rPr>
        <w:t>the</w:t>
      </w:r>
      <w:proofErr w:type="gramEnd"/>
      <w:r w:rsidRPr="0042627E">
        <w:rPr>
          <w:sz w:val="22"/>
          <w:szCs w:val="22"/>
        </w:rPr>
        <w:t xml:space="preserve"> amount of consideration payable by the recipient </w:t>
      </w:r>
      <w:r>
        <w:rPr>
          <w:sz w:val="22"/>
          <w:szCs w:val="22"/>
        </w:rPr>
        <w:t>of</w:t>
      </w:r>
      <w:r w:rsidRPr="0042627E">
        <w:rPr>
          <w:sz w:val="22"/>
          <w:szCs w:val="22"/>
        </w:rPr>
        <w:t xml:space="preserve"> the supply; and</w:t>
      </w:r>
    </w:p>
    <w:p w:rsidR="007F2367" w:rsidRPr="0042627E" w:rsidRDefault="007F2367" w:rsidP="007F2367">
      <w:pPr>
        <w:spacing w:after="120"/>
        <w:ind w:left="1418" w:hanging="709"/>
        <w:rPr>
          <w:sz w:val="22"/>
          <w:szCs w:val="22"/>
        </w:rPr>
      </w:pPr>
      <w:r>
        <w:rPr>
          <w:sz w:val="22"/>
          <w:szCs w:val="22"/>
        </w:rPr>
        <w:t xml:space="preserve">(b) </w:t>
      </w:r>
      <w:r>
        <w:rPr>
          <w:sz w:val="22"/>
          <w:szCs w:val="22"/>
        </w:rPr>
        <w:tab/>
      </w:r>
      <w:proofErr w:type="gramStart"/>
      <w:r w:rsidRPr="0042627E">
        <w:rPr>
          <w:sz w:val="22"/>
          <w:szCs w:val="22"/>
        </w:rPr>
        <w:t>the</w:t>
      </w:r>
      <w:proofErr w:type="gramEnd"/>
      <w:r w:rsidRPr="0042627E">
        <w:rPr>
          <w:sz w:val="22"/>
          <w:szCs w:val="22"/>
        </w:rPr>
        <w:t xml:space="preserve"> amount of GST payable </w:t>
      </w:r>
      <w:r>
        <w:rPr>
          <w:sz w:val="22"/>
          <w:szCs w:val="22"/>
        </w:rPr>
        <w:t xml:space="preserve">that is referrable </w:t>
      </w:r>
      <w:r w:rsidRPr="0042627E">
        <w:rPr>
          <w:sz w:val="22"/>
          <w:szCs w:val="22"/>
        </w:rPr>
        <w:t>to the consideration payable by the recipient</w:t>
      </w:r>
      <w:r>
        <w:rPr>
          <w:sz w:val="22"/>
          <w:szCs w:val="22"/>
        </w:rPr>
        <w:t>.</w:t>
      </w:r>
    </w:p>
    <w:p w:rsidR="007F2367" w:rsidRDefault="007F2367" w:rsidP="007F2367">
      <w:pPr>
        <w:numPr>
          <w:ilvl w:val="0"/>
          <w:numId w:val="1"/>
        </w:numPr>
        <w:tabs>
          <w:tab w:val="clear" w:pos="4380"/>
        </w:tabs>
        <w:spacing w:after="120"/>
        <w:ind w:left="0" w:firstLine="0"/>
        <w:rPr>
          <w:sz w:val="22"/>
          <w:szCs w:val="22"/>
        </w:rPr>
      </w:pPr>
      <w:r>
        <w:rPr>
          <w:sz w:val="22"/>
          <w:szCs w:val="22"/>
        </w:rPr>
        <w:t>In effect, this ensures that the information required on the document is the same as that which would be required for a tax invoice if the incentive payment the supplier receives from the manufacturer was not third party consideration for the supply to the recipient.</w:t>
      </w:r>
    </w:p>
    <w:p w:rsidR="007F2367" w:rsidRDefault="007F2367" w:rsidP="007F2367">
      <w:pPr>
        <w:numPr>
          <w:ilvl w:val="0"/>
          <w:numId w:val="1"/>
        </w:numPr>
        <w:tabs>
          <w:tab w:val="clear" w:pos="4380"/>
        </w:tabs>
        <w:spacing w:after="120"/>
        <w:ind w:left="0" w:firstLine="0"/>
        <w:rPr>
          <w:sz w:val="22"/>
          <w:szCs w:val="22"/>
        </w:rPr>
      </w:pPr>
      <w:r>
        <w:rPr>
          <w:sz w:val="22"/>
          <w:szCs w:val="22"/>
        </w:rPr>
        <w:t xml:space="preserve">The document requirements of paragraphs 29-70(1)(a) and 29-70(1)(c) that are not altered by this instrument are </w:t>
      </w:r>
      <w:r w:rsidRPr="00795C51">
        <w:rPr>
          <w:sz w:val="22"/>
          <w:szCs w:val="22"/>
        </w:rPr>
        <w:t>(noting that this instrument will not apply in circumstances where a recipient created tax invoice is issued)</w:t>
      </w:r>
      <w:r>
        <w:rPr>
          <w:sz w:val="22"/>
          <w:szCs w:val="22"/>
        </w:rPr>
        <w:t>:</w:t>
      </w:r>
    </w:p>
    <w:p w:rsidR="007F2367" w:rsidRDefault="007F2367" w:rsidP="007F2367">
      <w:pPr>
        <w:pStyle w:val="ListParagraph"/>
        <w:numPr>
          <w:ilvl w:val="0"/>
          <w:numId w:val="3"/>
        </w:numPr>
        <w:spacing w:after="120"/>
        <w:rPr>
          <w:sz w:val="22"/>
          <w:szCs w:val="22"/>
        </w:rPr>
      </w:pPr>
      <w:r w:rsidRPr="00795C51">
        <w:rPr>
          <w:sz w:val="22"/>
          <w:szCs w:val="22"/>
        </w:rPr>
        <w:t>it is issued by the supplier of the supply or supplies to which the document relates;</w:t>
      </w:r>
    </w:p>
    <w:p w:rsidR="007F2367" w:rsidRDefault="007F2367" w:rsidP="007F2367">
      <w:pPr>
        <w:pStyle w:val="ListParagraph"/>
        <w:numPr>
          <w:ilvl w:val="0"/>
          <w:numId w:val="3"/>
        </w:numPr>
        <w:spacing w:after="120"/>
        <w:rPr>
          <w:sz w:val="22"/>
          <w:szCs w:val="22"/>
        </w:rPr>
      </w:pPr>
      <w:r w:rsidRPr="00795C51">
        <w:rPr>
          <w:sz w:val="22"/>
          <w:szCs w:val="22"/>
        </w:rPr>
        <w:t>it contains enough information for the following to be clearly ascertained:</w:t>
      </w:r>
    </w:p>
    <w:p w:rsidR="007F2367" w:rsidRDefault="007F2367" w:rsidP="007F2367">
      <w:pPr>
        <w:pStyle w:val="ListParagraph"/>
        <w:numPr>
          <w:ilvl w:val="1"/>
          <w:numId w:val="3"/>
        </w:numPr>
        <w:spacing w:after="120"/>
        <w:rPr>
          <w:sz w:val="22"/>
          <w:szCs w:val="22"/>
        </w:rPr>
      </w:pPr>
      <w:r>
        <w:rPr>
          <w:sz w:val="22"/>
          <w:szCs w:val="22"/>
        </w:rPr>
        <w:t>the supplier’s identity and the supplier’s ABN;</w:t>
      </w:r>
    </w:p>
    <w:p w:rsidR="007F2367" w:rsidRDefault="007F2367" w:rsidP="007F2367">
      <w:pPr>
        <w:pStyle w:val="ListParagraph"/>
        <w:numPr>
          <w:ilvl w:val="1"/>
          <w:numId w:val="3"/>
        </w:numPr>
        <w:spacing w:after="120"/>
        <w:rPr>
          <w:sz w:val="22"/>
          <w:szCs w:val="22"/>
        </w:rPr>
      </w:pPr>
      <w:r>
        <w:rPr>
          <w:sz w:val="22"/>
          <w:szCs w:val="22"/>
        </w:rPr>
        <w:t>if the total price of the supply or supplies is at least $1,000 or such higher amount as the regulations specify – the recipient’s identity or the recipient’s ABN;</w:t>
      </w:r>
    </w:p>
    <w:p w:rsidR="007F2367" w:rsidRDefault="007F2367" w:rsidP="007F2367">
      <w:pPr>
        <w:pStyle w:val="ListParagraph"/>
        <w:numPr>
          <w:ilvl w:val="1"/>
          <w:numId w:val="3"/>
        </w:numPr>
        <w:spacing w:after="120"/>
        <w:rPr>
          <w:sz w:val="22"/>
          <w:szCs w:val="22"/>
        </w:rPr>
      </w:pPr>
      <w:r>
        <w:rPr>
          <w:sz w:val="22"/>
          <w:szCs w:val="22"/>
        </w:rPr>
        <w:t>what is supplied, including the quantity (if applicable) of what is supplied;</w:t>
      </w:r>
    </w:p>
    <w:p w:rsidR="007F2367" w:rsidRDefault="007F2367" w:rsidP="007F2367">
      <w:pPr>
        <w:pStyle w:val="ListParagraph"/>
        <w:numPr>
          <w:ilvl w:val="1"/>
          <w:numId w:val="3"/>
        </w:numPr>
        <w:spacing w:after="120"/>
        <w:rPr>
          <w:sz w:val="22"/>
          <w:szCs w:val="22"/>
        </w:rPr>
      </w:pPr>
      <w:r>
        <w:rPr>
          <w:sz w:val="22"/>
          <w:szCs w:val="22"/>
        </w:rPr>
        <w:t>the extent to which each supply to which the document relates is a taxable supply;</w:t>
      </w:r>
    </w:p>
    <w:p w:rsidR="007F2367" w:rsidRDefault="007F2367" w:rsidP="007F2367">
      <w:pPr>
        <w:pStyle w:val="ListParagraph"/>
        <w:numPr>
          <w:ilvl w:val="1"/>
          <w:numId w:val="3"/>
        </w:numPr>
        <w:spacing w:after="120"/>
        <w:rPr>
          <w:sz w:val="22"/>
          <w:szCs w:val="22"/>
        </w:rPr>
      </w:pPr>
      <w:r>
        <w:rPr>
          <w:sz w:val="22"/>
          <w:szCs w:val="22"/>
        </w:rPr>
        <w:t>the date the document is issued;</w:t>
      </w:r>
    </w:p>
    <w:p w:rsidR="007F2367" w:rsidRPr="00795C51" w:rsidRDefault="007F2367" w:rsidP="007F2367">
      <w:pPr>
        <w:pStyle w:val="ListParagraph"/>
        <w:numPr>
          <w:ilvl w:val="1"/>
          <w:numId w:val="3"/>
        </w:numPr>
        <w:spacing w:after="120"/>
        <w:rPr>
          <w:sz w:val="22"/>
          <w:szCs w:val="22"/>
        </w:rPr>
      </w:pPr>
      <w:proofErr w:type="gramStart"/>
      <w:r>
        <w:rPr>
          <w:sz w:val="22"/>
          <w:szCs w:val="22"/>
        </w:rPr>
        <w:t>such</w:t>
      </w:r>
      <w:proofErr w:type="gramEnd"/>
      <w:r>
        <w:rPr>
          <w:sz w:val="22"/>
          <w:szCs w:val="22"/>
        </w:rPr>
        <w:t xml:space="preserve"> other matters as the regulations specify.</w:t>
      </w:r>
    </w:p>
    <w:p w:rsidR="007F2367" w:rsidRDefault="007F2367" w:rsidP="007F2367">
      <w:pPr>
        <w:spacing w:after="120"/>
        <w:rPr>
          <w:rFonts w:cs="Arial"/>
          <w:sz w:val="22"/>
          <w:szCs w:val="22"/>
        </w:rPr>
      </w:pPr>
      <w:bookmarkStart w:id="7" w:name="_Toc100476116"/>
      <w:bookmarkStart w:id="8" w:name="_Toc100476376"/>
    </w:p>
    <w:p w:rsidR="007F2367" w:rsidRPr="00DD251F" w:rsidRDefault="007F2367" w:rsidP="007F2367">
      <w:pPr>
        <w:pStyle w:val="Heading2"/>
        <w:rPr>
          <w:rFonts w:cs="Arial"/>
          <w:szCs w:val="22"/>
        </w:rPr>
      </w:pPr>
      <w:r w:rsidRPr="00DD251F">
        <w:rPr>
          <w:rFonts w:cs="Arial"/>
          <w:szCs w:val="22"/>
        </w:rPr>
        <w:t>Consultation</w:t>
      </w:r>
      <w:bookmarkEnd w:id="7"/>
      <w:bookmarkEnd w:id="8"/>
    </w:p>
    <w:p w:rsidR="007F2367" w:rsidRDefault="007F2367" w:rsidP="007F2367">
      <w:pPr>
        <w:numPr>
          <w:ilvl w:val="0"/>
          <w:numId w:val="1"/>
        </w:numPr>
        <w:tabs>
          <w:tab w:val="clear" w:pos="4380"/>
        </w:tabs>
        <w:spacing w:after="120"/>
        <w:ind w:left="0" w:firstLine="0"/>
        <w:rPr>
          <w:rFonts w:cs="Arial"/>
          <w:sz w:val="22"/>
          <w:szCs w:val="22"/>
        </w:rPr>
      </w:pPr>
      <w:bookmarkStart w:id="9" w:name="JSign"/>
      <w:r w:rsidRPr="005E1A7C">
        <w:rPr>
          <w:rFonts w:cs="Arial"/>
          <w:sz w:val="22"/>
          <w:szCs w:val="22"/>
        </w:rPr>
        <w:t xml:space="preserve">Section 18 of the </w:t>
      </w:r>
      <w:r w:rsidRPr="005E1A7C">
        <w:rPr>
          <w:rFonts w:cs="Arial"/>
          <w:i/>
          <w:sz w:val="22"/>
          <w:szCs w:val="22"/>
        </w:rPr>
        <w:t>Legislative Instruments Act</w:t>
      </w:r>
      <w:r w:rsidRPr="005E1A7C">
        <w:rPr>
          <w:rFonts w:cs="Arial"/>
          <w:sz w:val="22"/>
          <w:szCs w:val="22"/>
        </w:rPr>
        <w:t xml:space="preserve"> </w:t>
      </w:r>
      <w:r w:rsidRPr="005E1A7C">
        <w:rPr>
          <w:rFonts w:cs="Arial"/>
          <w:i/>
          <w:sz w:val="22"/>
          <w:szCs w:val="22"/>
        </w:rPr>
        <w:t>2003</w:t>
      </w:r>
      <w:r w:rsidRPr="005E1A7C">
        <w:rPr>
          <w:rFonts w:cs="Arial"/>
          <w:sz w:val="22"/>
          <w:szCs w:val="22"/>
        </w:rPr>
        <w:t xml:space="preserve"> specifically provides for circumstances where consultation may no</w:t>
      </w:r>
      <w:r>
        <w:rPr>
          <w:rFonts w:cs="Arial"/>
          <w:sz w:val="22"/>
          <w:szCs w:val="22"/>
        </w:rPr>
        <w:t xml:space="preserve">t be necessary or appropriate. </w:t>
      </w:r>
      <w:r w:rsidRPr="005E1A7C">
        <w:rPr>
          <w:rFonts w:cs="Arial"/>
          <w:sz w:val="22"/>
          <w:szCs w:val="22"/>
        </w:rPr>
        <w:t>One of those circumstances is where the instrument is considered minor or machinery in nature, and does not substantially change the law.</w:t>
      </w:r>
    </w:p>
    <w:p w:rsidR="007F2367" w:rsidRPr="00BD1B6B" w:rsidRDefault="007F2367" w:rsidP="007F2367">
      <w:pPr>
        <w:numPr>
          <w:ilvl w:val="0"/>
          <w:numId w:val="1"/>
        </w:numPr>
        <w:tabs>
          <w:tab w:val="clear" w:pos="4380"/>
        </w:tabs>
        <w:spacing w:after="120"/>
        <w:ind w:left="0" w:right="561" w:firstLine="0"/>
        <w:rPr>
          <w:rFonts w:cs="Arial"/>
          <w:sz w:val="22"/>
          <w:szCs w:val="22"/>
        </w:rPr>
      </w:pPr>
      <w:r w:rsidRPr="00BD1B6B">
        <w:rPr>
          <w:rFonts w:cs="Arial"/>
          <w:sz w:val="22"/>
          <w:szCs w:val="22"/>
        </w:rPr>
        <w:t>The instrument is considered minor or machinery in nature, and does not substantially change the law. However, targeted consultation was undertaken. Industry representatives, tax practitioners and software developers were invited to comment on the draft determination and explanatory statement. Comments received as part of the consultation were taken into account in developing the final determination</w:t>
      </w:r>
      <w:r>
        <w:rPr>
          <w:rFonts w:cs="Arial"/>
          <w:sz w:val="22"/>
          <w:szCs w:val="22"/>
        </w:rPr>
        <w:t xml:space="preserve"> </w:t>
      </w:r>
      <w:r w:rsidRPr="00BD1B6B">
        <w:rPr>
          <w:rFonts w:cs="Arial"/>
          <w:sz w:val="22"/>
          <w:szCs w:val="22"/>
        </w:rPr>
        <w:t xml:space="preserve">and explanatory statement. </w:t>
      </w:r>
    </w:p>
    <w:p w:rsidR="007F2367" w:rsidRDefault="007F2367" w:rsidP="007F2367">
      <w:pPr>
        <w:spacing w:after="120"/>
        <w:rPr>
          <w:rFonts w:cs="Arial"/>
          <w:sz w:val="22"/>
          <w:szCs w:val="22"/>
        </w:rPr>
      </w:pPr>
    </w:p>
    <w:bookmarkEnd w:id="9"/>
    <w:p w:rsidR="007F2367" w:rsidRDefault="007F2367" w:rsidP="007F2367">
      <w:pPr>
        <w:spacing w:after="120"/>
        <w:rPr>
          <w:rFonts w:cs="Arial"/>
          <w:b/>
          <w:sz w:val="22"/>
          <w:szCs w:val="22"/>
        </w:rPr>
      </w:pPr>
      <w:r>
        <w:rPr>
          <w:rFonts w:cs="Arial"/>
          <w:b/>
          <w:sz w:val="22"/>
          <w:szCs w:val="22"/>
        </w:rPr>
        <w:t>James O’Halloran</w:t>
      </w:r>
      <w:r>
        <w:rPr>
          <w:rFonts w:cs="Arial"/>
          <w:b/>
          <w:sz w:val="22"/>
          <w:szCs w:val="22"/>
        </w:rPr>
        <w:br/>
        <w:t>Deputy Commissioner of Taxation</w:t>
      </w:r>
    </w:p>
    <w:p w:rsidR="007F2367" w:rsidRPr="000B31B0" w:rsidRDefault="007F2367" w:rsidP="007F2367">
      <w:pPr>
        <w:spacing w:after="120"/>
        <w:rPr>
          <w:rFonts w:cs="Arial"/>
          <w:sz w:val="22"/>
          <w:szCs w:val="22"/>
        </w:rPr>
      </w:pPr>
      <w:r>
        <w:rPr>
          <w:rFonts w:cs="Arial"/>
          <w:sz w:val="22"/>
          <w:szCs w:val="22"/>
        </w:rPr>
        <w:lastRenderedPageBreak/>
        <w:t>8 May 2014</w:t>
      </w:r>
    </w:p>
    <w:p w:rsidR="007F2367" w:rsidRDefault="007F2367" w:rsidP="007F2367">
      <w:pPr>
        <w:rPr>
          <w:rFonts w:cs="Arial"/>
          <w:sz w:val="20"/>
          <w:szCs w:val="20"/>
        </w:rPr>
      </w:pPr>
      <w:r>
        <w:rPr>
          <w:rFonts w:cs="Arial"/>
          <w:sz w:val="22"/>
          <w:szCs w:val="22"/>
        </w:rPr>
        <w:pict>
          <v:rect id="_x0000_i1025" style="width:0;height:1.5pt" o:hralign="center" o:hrstd="t" o:hr="t" fillcolor="#aca899" stroked="f"/>
        </w:pict>
      </w:r>
    </w:p>
    <w:p w:rsidR="007F2367" w:rsidRPr="00D12AE7" w:rsidRDefault="007F2367" w:rsidP="007F2367">
      <w:pPr>
        <w:rPr>
          <w:rFonts w:cs="Arial"/>
          <w:i/>
          <w:sz w:val="20"/>
          <w:szCs w:val="20"/>
        </w:rPr>
      </w:pPr>
      <w:bookmarkStart w:id="10" w:name="LReferences"/>
      <w:bookmarkEnd w:id="10"/>
    </w:p>
    <w:p w:rsidR="007F2367" w:rsidRPr="00D12AE7" w:rsidRDefault="007F2367" w:rsidP="007F2367">
      <w:pPr>
        <w:keepNext/>
        <w:spacing w:after="60"/>
        <w:rPr>
          <w:rFonts w:cs="Arial"/>
          <w:b/>
          <w:i/>
          <w:sz w:val="20"/>
          <w:szCs w:val="20"/>
        </w:rPr>
      </w:pPr>
      <w:r w:rsidRPr="00D12AE7">
        <w:rPr>
          <w:rFonts w:cs="Arial"/>
          <w:b/>
          <w:i/>
          <w:sz w:val="20"/>
          <w:szCs w:val="20"/>
        </w:rPr>
        <w:t>Legislative references</w:t>
      </w:r>
    </w:p>
    <w:p w:rsidR="007F2367" w:rsidRPr="000B31B0" w:rsidRDefault="007F2367" w:rsidP="007F2367">
      <w:pPr>
        <w:rPr>
          <w:rFonts w:cs="Arial"/>
          <w:i/>
          <w:sz w:val="20"/>
          <w:szCs w:val="20"/>
          <w:lang w:val="sv-SE"/>
        </w:rPr>
      </w:pPr>
      <w:bookmarkStart w:id="11" w:name="PLegrefText"/>
      <w:bookmarkStart w:id="12" w:name="QLegref"/>
      <w:bookmarkEnd w:id="11"/>
      <w:bookmarkEnd w:id="12"/>
      <w:r w:rsidRPr="000B31B0">
        <w:rPr>
          <w:rFonts w:cs="Arial"/>
          <w:i/>
          <w:sz w:val="20"/>
          <w:szCs w:val="20"/>
          <w:lang w:val="sv-SE"/>
        </w:rPr>
        <w:t>A New Tax System (Goods and Services Tax) Act 1999</w:t>
      </w:r>
    </w:p>
    <w:p w:rsidR="007F2367" w:rsidRDefault="007F2367" w:rsidP="007F2367">
      <w:pPr>
        <w:rPr>
          <w:rFonts w:cs="Arial"/>
          <w:sz w:val="20"/>
          <w:szCs w:val="20"/>
        </w:rPr>
      </w:pPr>
      <w:r>
        <w:rPr>
          <w:rFonts w:cs="Arial"/>
          <w:sz w:val="20"/>
          <w:szCs w:val="20"/>
        </w:rPr>
        <w:t>11-5</w:t>
      </w:r>
    </w:p>
    <w:p w:rsidR="007F2367" w:rsidRDefault="007F2367" w:rsidP="007F2367">
      <w:pPr>
        <w:rPr>
          <w:rFonts w:cs="Arial"/>
          <w:sz w:val="20"/>
          <w:szCs w:val="20"/>
        </w:rPr>
      </w:pPr>
      <w:r>
        <w:rPr>
          <w:rFonts w:cs="Arial"/>
          <w:sz w:val="20"/>
          <w:szCs w:val="20"/>
        </w:rPr>
        <w:t>11-20</w:t>
      </w:r>
    </w:p>
    <w:p w:rsidR="007F2367" w:rsidRDefault="007F2367" w:rsidP="007F2367">
      <w:pPr>
        <w:rPr>
          <w:rFonts w:cs="Arial"/>
          <w:sz w:val="20"/>
          <w:szCs w:val="20"/>
        </w:rPr>
      </w:pPr>
      <w:r>
        <w:rPr>
          <w:rFonts w:cs="Arial"/>
          <w:sz w:val="20"/>
          <w:szCs w:val="20"/>
        </w:rPr>
        <w:t>11-25</w:t>
      </w:r>
    </w:p>
    <w:p w:rsidR="007F2367" w:rsidRDefault="007F2367" w:rsidP="007F2367">
      <w:pPr>
        <w:rPr>
          <w:rFonts w:cs="Arial"/>
          <w:sz w:val="20"/>
          <w:szCs w:val="20"/>
        </w:rPr>
      </w:pPr>
      <w:r>
        <w:rPr>
          <w:rFonts w:cs="Arial"/>
          <w:sz w:val="20"/>
          <w:szCs w:val="20"/>
        </w:rPr>
        <w:t>11-30</w:t>
      </w:r>
    </w:p>
    <w:p w:rsidR="007F2367" w:rsidRPr="004F2F2F" w:rsidRDefault="007F2367" w:rsidP="007F2367">
      <w:pPr>
        <w:rPr>
          <w:rFonts w:cs="Arial"/>
          <w:sz w:val="20"/>
          <w:szCs w:val="20"/>
        </w:rPr>
      </w:pPr>
      <w:r w:rsidRPr="004F2F2F">
        <w:rPr>
          <w:rFonts w:cs="Arial"/>
          <w:sz w:val="20"/>
          <w:szCs w:val="20"/>
        </w:rPr>
        <w:t>29-10(3)</w:t>
      </w:r>
    </w:p>
    <w:p w:rsidR="007F2367" w:rsidRDefault="007F2367" w:rsidP="007F2367">
      <w:pPr>
        <w:rPr>
          <w:rFonts w:cs="Arial"/>
          <w:sz w:val="20"/>
          <w:szCs w:val="20"/>
        </w:rPr>
      </w:pPr>
      <w:r w:rsidRPr="004F2F2F">
        <w:rPr>
          <w:rFonts w:cs="Arial"/>
          <w:sz w:val="20"/>
          <w:szCs w:val="20"/>
        </w:rPr>
        <w:t>29-70(1)</w:t>
      </w:r>
    </w:p>
    <w:p w:rsidR="007F2367" w:rsidRDefault="007F2367" w:rsidP="007F2367">
      <w:pPr>
        <w:rPr>
          <w:rFonts w:cs="Arial"/>
          <w:sz w:val="20"/>
          <w:szCs w:val="20"/>
        </w:rPr>
      </w:pPr>
      <w:r>
        <w:rPr>
          <w:rFonts w:cs="Arial"/>
          <w:sz w:val="20"/>
          <w:szCs w:val="20"/>
        </w:rPr>
        <w:t>29-70(1</w:t>
      </w:r>
      <w:proofErr w:type="gramStart"/>
      <w:r>
        <w:rPr>
          <w:rFonts w:cs="Arial"/>
          <w:sz w:val="20"/>
          <w:szCs w:val="20"/>
        </w:rPr>
        <w:t>)(</w:t>
      </w:r>
      <w:proofErr w:type="gramEnd"/>
      <w:r>
        <w:rPr>
          <w:rFonts w:cs="Arial"/>
          <w:sz w:val="20"/>
          <w:szCs w:val="20"/>
        </w:rPr>
        <w:t>a)</w:t>
      </w:r>
    </w:p>
    <w:p w:rsidR="007F2367" w:rsidRPr="004F2F2F" w:rsidRDefault="007F2367" w:rsidP="007F2367">
      <w:pPr>
        <w:rPr>
          <w:rFonts w:cs="Arial"/>
          <w:sz w:val="20"/>
          <w:szCs w:val="20"/>
        </w:rPr>
      </w:pPr>
      <w:r>
        <w:rPr>
          <w:rFonts w:cs="Arial"/>
          <w:sz w:val="20"/>
          <w:szCs w:val="20"/>
        </w:rPr>
        <w:t>29-70(1</w:t>
      </w:r>
      <w:proofErr w:type="gramStart"/>
      <w:r>
        <w:rPr>
          <w:rFonts w:cs="Arial"/>
          <w:sz w:val="20"/>
          <w:szCs w:val="20"/>
        </w:rPr>
        <w:t>)(</w:t>
      </w:r>
      <w:proofErr w:type="gramEnd"/>
      <w:r>
        <w:rPr>
          <w:rFonts w:cs="Arial"/>
          <w:sz w:val="20"/>
          <w:szCs w:val="20"/>
        </w:rPr>
        <w:t>c)</w:t>
      </w:r>
    </w:p>
    <w:p w:rsidR="007F2367" w:rsidRDefault="007F2367" w:rsidP="007F2367">
      <w:pPr>
        <w:rPr>
          <w:rFonts w:cs="Arial"/>
          <w:sz w:val="20"/>
          <w:szCs w:val="20"/>
        </w:rPr>
      </w:pPr>
      <w:r w:rsidRPr="004F2F2F">
        <w:rPr>
          <w:rFonts w:cs="Arial"/>
          <w:sz w:val="20"/>
          <w:szCs w:val="20"/>
        </w:rPr>
        <w:t>29-70(1</w:t>
      </w:r>
      <w:proofErr w:type="gramStart"/>
      <w:r w:rsidRPr="004F2F2F">
        <w:rPr>
          <w:rFonts w:cs="Arial"/>
          <w:sz w:val="20"/>
          <w:szCs w:val="20"/>
        </w:rPr>
        <w:t>)(</w:t>
      </w:r>
      <w:proofErr w:type="gramEnd"/>
      <w:r w:rsidRPr="004F2F2F">
        <w:rPr>
          <w:rFonts w:cs="Arial"/>
          <w:sz w:val="20"/>
          <w:szCs w:val="20"/>
        </w:rPr>
        <w:t>c)(iii)</w:t>
      </w:r>
    </w:p>
    <w:p w:rsidR="007F2367" w:rsidRPr="004F2F2F" w:rsidRDefault="007F2367" w:rsidP="007F2367">
      <w:pPr>
        <w:rPr>
          <w:rFonts w:cs="Arial"/>
          <w:sz w:val="20"/>
          <w:szCs w:val="20"/>
        </w:rPr>
      </w:pPr>
      <w:r>
        <w:rPr>
          <w:rFonts w:cs="Arial"/>
          <w:sz w:val="20"/>
          <w:szCs w:val="20"/>
        </w:rPr>
        <w:t>29-70(1</w:t>
      </w:r>
      <w:proofErr w:type="gramStart"/>
      <w:r>
        <w:rPr>
          <w:rFonts w:cs="Arial"/>
          <w:sz w:val="20"/>
          <w:szCs w:val="20"/>
        </w:rPr>
        <w:t>)(</w:t>
      </w:r>
      <w:proofErr w:type="gramEnd"/>
      <w:r>
        <w:rPr>
          <w:rFonts w:cs="Arial"/>
          <w:sz w:val="20"/>
          <w:szCs w:val="20"/>
        </w:rPr>
        <w:t>c)(vi)</w:t>
      </w:r>
    </w:p>
    <w:p w:rsidR="007F2367" w:rsidRPr="00D12AE7" w:rsidRDefault="007F2367" w:rsidP="007F2367">
      <w:pPr>
        <w:rPr>
          <w:rFonts w:cs="Arial"/>
          <w:b/>
          <w:sz w:val="20"/>
          <w:szCs w:val="20"/>
        </w:rPr>
      </w:pPr>
    </w:p>
    <w:p w:rsidR="007F2367" w:rsidRPr="004F2F2F" w:rsidRDefault="007F2367" w:rsidP="007F2367">
      <w:pPr>
        <w:rPr>
          <w:rFonts w:cs="Arial"/>
          <w:i/>
          <w:sz w:val="20"/>
          <w:szCs w:val="20"/>
        </w:rPr>
      </w:pPr>
      <w:r w:rsidRPr="004F2F2F">
        <w:rPr>
          <w:rFonts w:cs="Arial"/>
          <w:i/>
          <w:sz w:val="20"/>
          <w:szCs w:val="20"/>
        </w:rPr>
        <w:t>Legislative Instruments Act 2003</w:t>
      </w:r>
    </w:p>
    <w:p w:rsidR="007F2367" w:rsidRDefault="007F2367" w:rsidP="007F2367">
      <w:pPr>
        <w:rPr>
          <w:rFonts w:cs="Arial"/>
          <w:sz w:val="20"/>
          <w:szCs w:val="20"/>
        </w:rPr>
      </w:pPr>
      <w:r w:rsidRPr="004F2F2F">
        <w:rPr>
          <w:rFonts w:cs="Arial"/>
          <w:sz w:val="20"/>
          <w:szCs w:val="20"/>
        </w:rPr>
        <w:t>12(2)</w:t>
      </w:r>
    </w:p>
    <w:p w:rsidR="007F2367" w:rsidRPr="004F2F2F" w:rsidRDefault="007F2367" w:rsidP="007F2367">
      <w:pPr>
        <w:rPr>
          <w:rFonts w:cs="Arial"/>
          <w:sz w:val="20"/>
          <w:szCs w:val="20"/>
        </w:rPr>
      </w:pPr>
      <w:r>
        <w:rPr>
          <w:rFonts w:cs="Arial"/>
          <w:sz w:val="20"/>
          <w:szCs w:val="20"/>
        </w:rPr>
        <w:t>18</w:t>
      </w:r>
    </w:p>
    <w:p w:rsidR="007F2367" w:rsidRPr="00D12AE7" w:rsidRDefault="007F2367" w:rsidP="007F2367">
      <w:pPr>
        <w:rPr>
          <w:rFonts w:cs="Arial"/>
          <w:b/>
          <w:sz w:val="20"/>
          <w:szCs w:val="20"/>
        </w:rPr>
      </w:pPr>
    </w:p>
    <w:p w:rsidR="007F2367" w:rsidRPr="004F2F2F" w:rsidRDefault="007F2367" w:rsidP="007F2367">
      <w:pPr>
        <w:rPr>
          <w:rFonts w:cs="Arial"/>
          <w:i/>
          <w:sz w:val="20"/>
          <w:szCs w:val="20"/>
        </w:rPr>
      </w:pPr>
      <w:r w:rsidRPr="004F2F2F">
        <w:rPr>
          <w:rFonts w:cs="Arial"/>
          <w:i/>
          <w:sz w:val="20"/>
          <w:szCs w:val="20"/>
        </w:rPr>
        <w:t>Human Rights (Parliamentary Scrutiny) Act 2011</w:t>
      </w:r>
    </w:p>
    <w:p w:rsidR="007F2367" w:rsidRPr="004F2F2F" w:rsidRDefault="007F2367" w:rsidP="007F2367">
      <w:pPr>
        <w:rPr>
          <w:rFonts w:cs="Arial"/>
          <w:sz w:val="20"/>
          <w:szCs w:val="20"/>
        </w:rPr>
      </w:pPr>
      <w:r w:rsidRPr="004F2F2F">
        <w:rPr>
          <w:rFonts w:cs="Arial"/>
          <w:sz w:val="20"/>
          <w:szCs w:val="20"/>
        </w:rPr>
        <w:t>Part 3</w:t>
      </w:r>
    </w:p>
    <w:p w:rsidR="007F2367" w:rsidRPr="004F2F2F" w:rsidRDefault="007F2367" w:rsidP="007F2367">
      <w:pPr>
        <w:rPr>
          <w:rFonts w:cs="Arial"/>
          <w:sz w:val="20"/>
          <w:szCs w:val="20"/>
        </w:rPr>
      </w:pPr>
      <w:r w:rsidRPr="004F2F2F">
        <w:rPr>
          <w:rFonts w:cs="Arial"/>
          <w:sz w:val="20"/>
          <w:szCs w:val="20"/>
        </w:rPr>
        <w:t>3</w:t>
      </w:r>
    </w:p>
    <w:p w:rsidR="007F2367" w:rsidRPr="00D12AE7" w:rsidRDefault="007F2367" w:rsidP="007F2367">
      <w:pPr>
        <w:rPr>
          <w:rFonts w:cs="Arial"/>
          <w:b/>
          <w:sz w:val="20"/>
          <w:szCs w:val="20"/>
        </w:rPr>
      </w:pPr>
    </w:p>
    <w:p w:rsidR="007F2367" w:rsidRDefault="007F2367" w:rsidP="007F2367">
      <w:pPr>
        <w:rPr>
          <w:rFonts w:cs="Arial"/>
          <w:b/>
          <w:i/>
          <w:sz w:val="20"/>
          <w:szCs w:val="20"/>
        </w:rPr>
      </w:pPr>
      <w:r>
        <w:rPr>
          <w:rFonts w:cs="Arial"/>
          <w:b/>
          <w:i/>
          <w:sz w:val="20"/>
          <w:szCs w:val="20"/>
        </w:rPr>
        <w:t>Case references</w:t>
      </w:r>
    </w:p>
    <w:p w:rsidR="007F2367" w:rsidRPr="00991AFA" w:rsidRDefault="007F2367" w:rsidP="007F2367">
      <w:pPr>
        <w:rPr>
          <w:rFonts w:cs="Arial"/>
          <w:sz w:val="20"/>
          <w:szCs w:val="20"/>
        </w:rPr>
      </w:pPr>
      <w:r>
        <w:rPr>
          <w:rFonts w:cs="Arial"/>
          <w:i/>
          <w:sz w:val="20"/>
          <w:szCs w:val="20"/>
        </w:rPr>
        <w:t>AP Group Limited v Commissioner of Taxation</w:t>
      </w:r>
      <w:r>
        <w:rPr>
          <w:rFonts w:cs="Arial"/>
          <w:sz w:val="20"/>
          <w:szCs w:val="20"/>
        </w:rPr>
        <w:t xml:space="preserve"> [2013] FCAFC 105</w:t>
      </w:r>
    </w:p>
    <w:p w:rsidR="007F2367" w:rsidRPr="00991AFA" w:rsidRDefault="007F2367" w:rsidP="007F2367">
      <w:pPr>
        <w:rPr>
          <w:rFonts w:cs="Arial"/>
          <w:i/>
          <w:sz w:val="20"/>
          <w:szCs w:val="20"/>
        </w:rPr>
      </w:pPr>
    </w:p>
    <w:p w:rsidR="007F2367" w:rsidRPr="004F2F2F" w:rsidRDefault="007F2367" w:rsidP="007F2367">
      <w:pPr>
        <w:rPr>
          <w:rFonts w:cs="Arial"/>
          <w:b/>
          <w:i/>
          <w:sz w:val="20"/>
          <w:szCs w:val="20"/>
        </w:rPr>
      </w:pPr>
      <w:r w:rsidRPr="004F2F2F">
        <w:rPr>
          <w:rFonts w:cs="Arial"/>
          <w:b/>
          <w:i/>
          <w:sz w:val="20"/>
          <w:szCs w:val="20"/>
        </w:rPr>
        <w:t>Subject references</w:t>
      </w:r>
    </w:p>
    <w:p w:rsidR="007F2367" w:rsidRPr="004F2F2F" w:rsidRDefault="007F2367" w:rsidP="007F2367">
      <w:pPr>
        <w:rPr>
          <w:rFonts w:cs="Arial"/>
          <w:sz w:val="20"/>
          <w:szCs w:val="20"/>
        </w:rPr>
      </w:pPr>
      <w:r w:rsidRPr="004F2F2F">
        <w:rPr>
          <w:rFonts w:cs="Arial"/>
          <w:sz w:val="20"/>
          <w:szCs w:val="20"/>
        </w:rPr>
        <w:t>Goods and services tax</w:t>
      </w:r>
    </w:p>
    <w:p w:rsidR="007F2367" w:rsidRPr="004F2F2F" w:rsidRDefault="007F2367" w:rsidP="007F2367">
      <w:pPr>
        <w:rPr>
          <w:rFonts w:cs="Arial"/>
          <w:sz w:val="20"/>
          <w:szCs w:val="20"/>
        </w:rPr>
      </w:pPr>
      <w:r w:rsidRPr="004F2F2F">
        <w:rPr>
          <w:rFonts w:cs="Arial"/>
          <w:sz w:val="20"/>
          <w:szCs w:val="20"/>
        </w:rPr>
        <w:t>Attribution rules</w:t>
      </w:r>
    </w:p>
    <w:p w:rsidR="007F2367" w:rsidRPr="004F2F2F" w:rsidRDefault="007F2367" w:rsidP="007F2367">
      <w:pPr>
        <w:rPr>
          <w:rFonts w:cs="Arial"/>
          <w:sz w:val="20"/>
          <w:szCs w:val="20"/>
        </w:rPr>
      </w:pPr>
      <w:r w:rsidRPr="004F2F2F">
        <w:rPr>
          <w:rFonts w:cs="Arial"/>
          <w:sz w:val="20"/>
          <w:szCs w:val="20"/>
        </w:rPr>
        <w:t>Creditable acquisition</w:t>
      </w:r>
    </w:p>
    <w:p w:rsidR="007F2367" w:rsidRPr="004F2F2F" w:rsidRDefault="007F2367" w:rsidP="007F2367">
      <w:pPr>
        <w:rPr>
          <w:rFonts w:cs="Arial"/>
          <w:sz w:val="20"/>
          <w:szCs w:val="20"/>
        </w:rPr>
      </w:pPr>
      <w:r w:rsidRPr="004F2F2F">
        <w:rPr>
          <w:rFonts w:cs="Arial"/>
          <w:sz w:val="20"/>
          <w:szCs w:val="20"/>
        </w:rPr>
        <w:t>GST input tax credits &amp; creditable acquisitions</w:t>
      </w:r>
    </w:p>
    <w:p w:rsidR="007F2367" w:rsidRPr="004F2F2F" w:rsidRDefault="007F2367" w:rsidP="007F2367">
      <w:pPr>
        <w:rPr>
          <w:rFonts w:cs="Arial"/>
          <w:sz w:val="20"/>
          <w:szCs w:val="20"/>
        </w:rPr>
      </w:pPr>
      <w:r w:rsidRPr="004F2F2F">
        <w:rPr>
          <w:rFonts w:cs="Arial"/>
          <w:sz w:val="20"/>
          <w:szCs w:val="20"/>
        </w:rPr>
        <w:t>Taxable supply</w:t>
      </w:r>
    </w:p>
    <w:p w:rsidR="007F2367" w:rsidRPr="004F2F2F" w:rsidRDefault="007F2367" w:rsidP="007F2367">
      <w:pPr>
        <w:rPr>
          <w:rFonts w:cs="Arial"/>
          <w:sz w:val="20"/>
          <w:szCs w:val="20"/>
        </w:rPr>
      </w:pPr>
      <w:r w:rsidRPr="004F2F2F">
        <w:rPr>
          <w:rFonts w:cs="Arial"/>
          <w:sz w:val="20"/>
          <w:szCs w:val="20"/>
        </w:rPr>
        <w:t>Tax invoices</w:t>
      </w:r>
    </w:p>
    <w:p w:rsidR="007F2367" w:rsidRPr="00D12AE7" w:rsidRDefault="007F2367" w:rsidP="007F2367">
      <w:pPr>
        <w:rPr>
          <w:rFonts w:cs="Arial"/>
          <w:b/>
          <w:sz w:val="20"/>
          <w:szCs w:val="20"/>
        </w:rPr>
      </w:pPr>
    </w:p>
    <w:p w:rsidR="007F2367" w:rsidRPr="004F2F2F" w:rsidRDefault="007F2367" w:rsidP="007F2367">
      <w:pPr>
        <w:rPr>
          <w:rFonts w:ascii="Verdana" w:hAnsi="Verdana"/>
          <w:sz w:val="20"/>
          <w:szCs w:val="20"/>
        </w:rPr>
      </w:pPr>
      <w:r>
        <w:rPr>
          <w:rFonts w:cs="Arial"/>
          <w:sz w:val="20"/>
          <w:szCs w:val="20"/>
        </w:rPr>
        <w:pict>
          <v:rect id="_x0000_i1026" style="width:0;height:1.5pt" o:hralign="center" o:hrstd="t" o:hr="t" fillcolor="#aca899" stroked="f"/>
        </w:pict>
      </w:r>
    </w:p>
    <w:p w:rsidR="007F2367" w:rsidRPr="004F2F2F" w:rsidRDefault="007F2367" w:rsidP="007F2367">
      <w:pPr>
        <w:rPr>
          <w:rFonts w:cs="Arial"/>
          <w:b/>
          <w:sz w:val="20"/>
          <w:szCs w:val="20"/>
        </w:rPr>
      </w:pPr>
      <w:r w:rsidRPr="004F2F2F">
        <w:rPr>
          <w:rFonts w:cs="Arial"/>
          <w:b/>
          <w:sz w:val="20"/>
          <w:szCs w:val="20"/>
        </w:rPr>
        <w:t>Tax Office references</w:t>
      </w:r>
      <w:bookmarkStart w:id="13" w:name="TATORef"/>
      <w:bookmarkEnd w:id="13"/>
    </w:p>
    <w:p w:rsidR="007F2367" w:rsidRPr="004F2F2F" w:rsidRDefault="007F2367" w:rsidP="007F2367">
      <w:pPr>
        <w:rPr>
          <w:rFonts w:cs="Arial"/>
          <w:sz w:val="20"/>
          <w:szCs w:val="20"/>
        </w:rPr>
      </w:pPr>
    </w:p>
    <w:tbl>
      <w:tblPr>
        <w:tblW w:w="0" w:type="auto"/>
        <w:tblInd w:w="108" w:type="dxa"/>
        <w:tblLook w:val="01E0" w:firstRow="1" w:lastRow="1" w:firstColumn="1" w:lastColumn="1" w:noHBand="0" w:noVBand="0"/>
      </w:tblPr>
      <w:tblGrid>
        <w:gridCol w:w="2340"/>
        <w:gridCol w:w="6612"/>
      </w:tblGrid>
      <w:tr w:rsidR="007F2367" w:rsidRPr="004F2F2F" w:rsidTr="00ED372E">
        <w:tc>
          <w:tcPr>
            <w:tcW w:w="2340" w:type="dxa"/>
          </w:tcPr>
          <w:p w:rsidR="007F2367" w:rsidRPr="00AC6514" w:rsidRDefault="007F2367" w:rsidP="00ED372E">
            <w:pPr>
              <w:rPr>
                <w:rFonts w:cs="Arial"/>
                <w:sz w:val="20"/>
                <w:szCs w:val="20"/>
              </w:rPr>
            </w:pPr>
            <w:bookmarkStart w:id="14" w:name="VISSN"/>
            <w:bookmarkEnd w:id="14"/>
            <w:r w:rsidRPr="00AC6514">
              <w:rPr>
                <w:rFonts w:cs="Arial"/>
                <w:sz w:val="20"/>
                <w:szCs w:val="20"/>
              </w:rPr>
              <w:t>NO:</w:t>
            </w:r>
          </w:p>
        </w:tc>
        <w:tc>
          <w:tcPr>
            <w:tcW w:w="6612" w:type="dxa"/>
          </w:tcPr>
          <w:p w:rsidR="007F2367" w:rsidRPr="00AC6514" w:rsidRDefault="007F2367" w:rsidP="00ED372E">
            <w:pPr>
              <w:rPr>
                <w:rFonts w:cs="Arial"/>
                <w:sz w:val="20"/>
                <w:szCs w:val="20"/>
              </w:rPr>
            </w:pPr>
          </w:p>
        </w:tc>
      </w:tr>
      <w:tr w:rsidR="007F2367" w:rsidRPr="004F2F2F" w:rsidTr="00ED372E">
        <w:tc>
          <w:tcPr>
            <w:tcW w:w="2340" w:type="dxa"/>
          </w:tcPr>
          <w:p w:rsidR="007F2367" w:rsidRPr="00AC6514" w:rsidRDefault="007F2367" w:rsidP="00ED372E">
            <w:pPr>
              <w:rPr>
                <w:rFonts w:cs="Arial"/>
                <w:sz w:val="20"/>
                <w:szCs w:val="20"/>
              </w:rPr>
            </w:pPr>
            <w:r w:rsidRPr="00AC6514">
              <w:rPr>
                <w:rFonts w:cs="Arial"/>
                <w:sz w:val="20"/>
                <w:szCs w:val="20"/>
              </w:rPr>
              <w:t>ISSN:</w:t>
            </w:r>
          </w:p>
        </w:tc>
        <w:tc>
          <w:tcPr>
            <w:tcW w:w="6612" w:type="dxa"/>
          </w:tcPr>
          <w:p w:rsidR="007F2367" w:rsidRPr="00AC6514" w:rsidRDefault="007F2367" w:rsidP="00ED372E">
            <w:pPr>
              <w:rPr>
                <w:rFonts w:cs="Arial"/>
                <w:sz w:val="20"/>
                <w:szCs w:val="20"/>
              </w:rPr>
            </w:pPr>
          </w:p>
        </w:tc>
      </w:tr>
    </w:tbl>
    <w:p w:rsidR="007F2367" w:rsidRDefault="007F2367" w:rsidP="007F2367"/>
    <w:p w:rsidR="007F2367" w:rsidRPr="00C67FAB" w:rsidRDefault="007F2367" w:rsidP="007F2367">
      <w:pPr>
        <w:pStyle w:val="Heading3"/>
        <w:jc w:val="center"/>
        <w:rPr>
          <w:sz w:val="24"/>
          <w:szCs w:val="24"/>
        </w:rPr>
      </w:pPr>
      <w:r>
        <w:br w:type="page"/>
      </w:r>
      <w:r w:rsidRPr="00C67FAB">
        <w:rPr>
          <w:sz w:val="24"/>
          <w:szCs w:val="24"/>
        </w:rPr>
        <w:lastRenderedPageBreak/>
        <w:t>Statement of Compatibility with Human Rights</w:t>
      </w:r>
    </w:p>
    <w:p w:rsidR="007F2367" w:rsidRPr="00C67FAB" w:rsidRDefault="007F2367" w:rsidP="007F2367"/>
    <w:p w:rsidR="007F2367" w:rsidRPr="00C67FAB" w:rsidRDefault="007F2367" w:rsidP="007F2367">
      <w:pPr>
        <w:rPr>
          <w:rFonts w:cs="Arial"/>
          <w:sz w:val="22"/>
          <w:szCs w:val="22"/>
        </w:rPr>
      </w:pPr>
      <w:r w:rsidRPr="00C67FAB">
        <w:rPr>
          <w:rFonts w:cs="Arial"/>
          <w:sz w:val="22"/>
          <w:szCs w:val="22"/>
        </w:rPr>
        <w:t xml:space="preserve">This Statement is prepared in accordance with Part 3 of the </w:t>
      </w:r>
      <w:r w:rsidRPr="00C67FAB">
        <w:rPr>
          <w:rFonts w:cs="Arial"/>
          <w:i/>
          <w:sz w:val="22"/>
          <w:szCs w:val="22"/>
        </w:rPr>
        <w:t>Human Rights (Parliamentary Scrutiny) Act 2011</w:t>
      </w:r>
      <w:r w:rsidRPr="00C67FAB">
        <w:rPr>
          <w:rFonts w:cs="Arial"/>
          <w:sz w:val="22"/>
          <w:szCs w:val="22"/>
        </w:rPr>
        <w:t>.</w:t>
      </w:r>
    </w:p>
    <w:p w:rsidR="007F2367" w:rsidRPr="00C67FAB" w:rsidRDefault="007F2367" w:rsidP="007F2367"/>
    <w:p w:rsidR="007F2367" w:rsidRPr="00C67FAB" w:rsidRDefault="007F2367" w:rsidP="007F2367">
      <w:pPr>
        <w:pStyle w:val="Heading2"/>
        <w:spacing w:after="0"/>
        <w:rPr>
          <w:szCs w:val="22"/>
        </w:rPr>
      </w:pPr>
      <w:r w:rsidRPr="00C67FAB">
        <w:rPr>
          <w:szCs w:val="22"/>
        </w:rPr>
        <w:t xml:space="preserve">A New Tax System (Goods and Services Tax) Waiver of Tax Invoice Requirement </w:t>
      </w:r>
      <w:proofErr w:type="gramStart"/>
      <w:r w:rsidRPr="00C67FAB">
        <w:rPr>
          <w:szCs w:val="22"/>
        </w:rPr>
        <w:t xml:space="preserve">( </w:t>
      </w:r>
      <w:r w:rsidRPr="00C67FAB">
        <w:rPr>
          <w:iCs/>
          <w:szCs w:val="22"/>
        </w:rPr>
        <w:t>Motor</w:t>
      </w:r>
      <w:proofErr w:type="gramEnd"/>
      <w:r w:rsidRPr="00C67FAB">
        <w:rPr>
          <w:iCs/>
          <w:szCs w:val="22"/>
        </w:rPr>
        <w:t xml:space="preserve"> Vehicle Incentive Payment Made</w:t>
      </w:r>
      <w:r>
        <w:rPr>
          <w:iCs/>
          <w:szCs w:val="22"/>
        </w:rPr>
        <w:t xml:space="preserve"> to Motor Vehicle Dealer</w:t>
      </w:r>
      <w:r w:rsidRPr="00C67FAB">
        <w:rPr>
          <w:szCs w:val="22"/>
        </w:rPr>
        <w:t>) Legislative Instrument 2014</w:t>
      </w:r>
    </w:p>
    <w:p w:rsidR="007F2367" w:rsidRPr="00C67FAB" w:rsidRDefault="007F2367" w:rsidP="007F2367">
      <w:pPr>
        <w:rPr>
          <w:b/>
        </w:rPr>
      </w:pPr>
    </w:p>
    <w:p w:rsidR="007F2367" w:rsidRPr="00C67FAB" w:rsidRDefault="007F2367" w:rsidP="007F2367">
      <w:pPr>
        <w:rPr>
          <w:rFonts w:cs="Arial"/>
          <w:sz w:val="22"/>
          <w:szCs w:val="22"/>
        </w:rPr>
      </w:pPr>
      <w:r w:rsidRPr="00C67FAB">
        <w:rPr>
          <w:rFonts w:cs="Arial"/>
          <w:sz w:val="22"/>
          <w:szCs w:val="22"/>
        </w:rPr>
        <w:t xml:space="preserve">This legislative instrument is compatible with the human rights and freedoms recognised or declared in the international instruments listed in section 3 of the </w:t>
      </w:r>
      <w:r w:rsidRPr="00C67FAB">
        <w:rPr>
          <w:rFonts w:cs="Arial"/>
          <w:i/>
          <w:sz w:val="22"/>
          <w:szCs w:val="22"/>
        </w:rPr>
        <w:t>Human Rights (Parliamentary Scrutiny) Act 2011.</w:t>
      </w:r>
    </w:p>
    <w:p w:rsidR="007F2367" w:rsidRPr="00C67FAB" w:rsidRDefault="007F2367" w:rsidP="007F2367">
      <w:pPr>
        <w:pStyle w:val="NumberedList"/>
        <w:numPr>
          <w:ilvl w:val="0"/>
          <w:numId w:val="0"/>
        </w:numPr>
        <w:tabs>
          <w:tab w:val="left" w:pos="720"/>
        </w:tabs>
        <w:ind w:left="40"/>
        <w:jc w:val="both"/>
        <w:rPr>
          <w:rFonts w:ascii="Arial" w:hAnsi="Arial" w:cs="Arial"/>
        </w:rPr>
      </w:pPr>
    </w:p>
    <w:p w:rsidR="007F2367" w:rsidRPr="00C67FAB" w:rsidRDefault="007F2367" w:rsidP="007F2367">
      <w:pPr>
        <w:rPr>
          <w:rFonts w:cs="Arial"/>
          <w:b/>
          <w:bCs/>
          <w:sz w:val="22"/>
          <w:szCs w:val="22"/>
        </w:rPr>
      </w:pPr>
      <w:r w:rsidRPr="00C67FAB">
        <w:rPr>
          <w:rFonts w:cs="Arial"/>
          <w:b/>
          <w:bCs/>
          <w:sz w:val="22"/>
          <w:szCs w:val="22"/>
        </w:rPr>
        <w:t>Overview</w:t>
      </w:r>
    </w:p>
    <w:p w:rsidR="007F2367" w:rsidRPr="00C67FAB" w:rsidRDefault="007F2367" w:rsidP="007F2367">
      <w:pPr>
        <w:rPr>
          <w:rFonts w:cs="Arial"/>
          <w:sz w:val="22"/>
          <w:szCs w:val="22"/>
        </w:rPr>
      </w:pPr>
    </w:p>
    <w:p w:rsidR="007F2367" w:rsidRPr="00C67FAB" w:rsidRDefault="007F2367" w:rsidP="007F2367">
      <w:pPr>
        <w:spacing w:after="120"/>
        <w:rPr>
          <w:rFonts w:cs="Arial"/>
          <w:iCs/>
          <w:sz w:val="22"/>
          <w:szCs w:val="22"/>
        </w:rPr>
      </w:pPr>
      <w:r w:rsidRPr="00C67FAB">
        <w:rPr>
          <w:rFonts w:cs="Arial"/>
          <w:iCs/>
          <w:sz w:val="22"/>
          <w:szCs w:val="22"/>
        </w:rPr>
        <w:t xml:space="preserve">This instrument waives the requirement for </w:t>
      </w:r>
      <w:r w:rsidRPr="00C67FAB">
        <w:rPr>
          <w:sz w:val="22"/>
          <w:szCs w:val="22"/>
        </w:rPr>
        <w:t>a recipient making a creditable acquisition</w:t>
      </w:r>
      <w:r w:rsidRPr="00C67FAB">
        <w:rPr>
          <w:rFonts w:cs="Arial"/>
          <w:iCs/>
          <w:sz w:val="22"/>
          <w:szCs w:val="22"/>
        </w:rPr>
        <w:t xml:space="preserve">, </w:t>
      </w:r>
      <w:r w:rsidRPr="00C67FAB">
        <w:rPr>
          <w:sz w:val="22"/>
          <w:szCs w:val="22"/>
        </w:rPr>
        <w:t xml:space="preserve">where the acquisition is of a motor vehicle and the motor vehicle dealer receives a motor vehicle incentive payment that is third party consideration in addition to the consideration it receives from the recipient, to hold a tax invoice </w:t>
      </w:r>
      <w:r w:rsidRPr="00C67FAB">
        <w:rPr>
          <w:rFonts w:cs="Arial"/>
          <w:iCs/>
          <w:sz w:val="22"/>
          <w:szCs w:val="22"/>
        </w:rPr>
        <w:t>for an input tax credit to be attributable to a tax period. The instrument sets out alternative document information requirements.</w:t>
      </w:r>
    </w:p>
    <w:p w:rsidR="007F2367" w:rsidRPr="00C67FAB" w:rsidRDefault="007F2367" w:rsidP="007F2367">
      <w:pPr>
        <w:rPr>
          <w:rFonts w:cs="Arial"/>
          <w:sz w:val="22"/>
          <w:szCs w:val="22"/>
        </w:rPr>
      </w:pPr>
    </w:p>
    <w:p w:rsidR="007F2367" w:rsidRPr="00C67FAB" w:rsidRDefault="007F2367" w:rsidP="007F2367">
      <w:pPr>
        <w:rPr>
          <w:rFonts w:cs="Arial"/>
          <w:b/>
          <w:bCs/>
          <w:sz w:val="22"/>
          <w:szCs w:val="22"/>
        </w:rPr>
      </w:pPr>
      <w:r w:rsidRPr="00C67FAB">
        <w:rPr>
          <w:rFonts w:cs="Arial"/>
          <w:b/>
          <w:bCs/>
          <w:sz w:val="22"/>
          <w:szCs w:val="22"/>
        </w:rPr>
        <w:t>Human Rights Implications</w:t>
      </w:r>
    </w:p>
    <w:p w:rsidR="007F2367" w:rsidRPr="00C67FAB" w:rsidRDefault="007F2367" w:rsidP="007F2367">
      <w:pPr>
        <w:rPr>
          <w:rFonts w:cs="Arial"/>
          <w:sz w:val="22"/>
          <w:szCs w:val="22"/>
        </w:rPr>
      </w:pPr>
    </w:p>
    <w:p w:rsidR="007F2367" w:rsidRPr="00C67FAB" w:rsidRDefault="007F2367" w:rsidP="007F2367">
      <w:pPr>
        <w:keepLines/>
        <w:spacing w:after="120"/>
        <w:rPr>
          <w:rFonts w:cs="Arial"/>
          <w:sz w:val="22"/>
          <w:szCs w:val="22"/>
        </w:rPr>
      </w:pPr>
      <w:r w:rsidRPr="00C67FAB">
        <w:rPr>
          <w:sz w:val="22"/>
          <w:szCs w:val="22"/>
        </w:rPr>
        <w:t>On an assessment of the compatibility of this instrument with the seven core international human rights treaties to which Australia is a party, it has been determined that this instrument does not engage any of the applicable rights or freedoms</w:t>
      </w:r>
      <w:r w:rsidRPr="00C67FAB">
        <w:rPr>
          <w:rFonts w:cs="Arial"/>
          <w:sz w:val="22"/>
          <w:szCs w:val="22"/>
        </w:rPr>
        <w:t xml:space="preserve"> because the instrument is minor or machinery in nature.</w:t>
      </w:r>
    </w:p>
    <w:p w:rsidR="007F2367" w:rsidRPr="00C67FAB" w:rsidRDefault="007F2367" w:rsidP="007F2367">
      <w:pPr>
        <w:rPr>
          <w:rFonts w:cs="Arial"/>
          <w:b/>
          <w:bCs/>
          <w:sz w:val="22"/>
          <w:szCs w:val="22"/>
        </w:rPr>
      </w:pPr>
    </w:p>
    <w:p w:rsidR="007F2367" w:rsidRPr="00C67FAB" w:rsidRDefault="007F2367" w:rsidP="007F2367">
      <w:pPr>
        <w:rPr>
          <w:rFonts w:cs="Arial"/>
          <w:b/>
          <w:bCs/>
          <w:sz w:val="22"/>
          <w:szCs w:val="22"/>
        </w:rPr>
      </w:pPr>
      <w:r w:rsidRPr="00C67FAB">
        <w:rPr>
          <w:rFonts w:cs="Arial"/>
          <w:b/>
          <w:bCs/>
          <w:sz w:val="22"/>
          <w:szCs w:val="22"/>
        </w:rPr>
        <w:t>Conclusion</w:t>
      </w:r>
    </w:p>
    <w:p w:rsidR="007F2367" w:rsidRPr="00C67FAB" w:rsidRDefault="007F2367" w:rsidP="007F2367">
      <w:pPr>
        <w:rPr>
          <w:rFonts w:cs="Arial"/>
          <w:sz w:val="22"/>
          <w:szCs w:val="22"/>
        </w:rPr>
      </w:pPr>
    </w:p>
    <w:p w:rsidR="007F2367" w:rsidRPr="00C67FAB" w:rsidRDefault="007F2367" w:rsidP="007F2367">
      <w:pPr>
        <w:rPr>
          <w:rFonts w:cs="Arial"/>
          <w:sz w:val="22"/>
          <w:szCs w:val="22"/>
        </w:rPr>
      </w:pPr>
      <w:r w:rsidRPr="00C67FAB">
        <w:rPr>
          <w:rFonts w:cs="Arial"/>
          <w:sz w:val="22"/>
          <w:szCs w:val="22"/>
        </w:rPr>
        <w:t xml:space="preserve">This </w:t>
      </w:r>
      <w:r w:rsidRPr="00C67FAB">
        <w:rPr>
          <w:rFonts w:cs="Arial"/>
          <w:bCs/>
          <w:sz w:val="22"/>
          <w:szCs w:val="22"/>
        </w:rPr>
        <w:t>legislative instrument</w:t>
      </w:r>
      <w:r w:rsidRPr="00C67FAB">
        <w:rPr>
          <w:rFonts w:cs="Arial"/>
          <w:sz w:val="22"/>
          <w:szCs w:val="22"/>
        </w:rPr>
        <w:t xml:space="preserve"> is compatible with human rights as it does not raise any human rights issues.</w:t>
      </w:r>
    </w:p>
    <w:p w:rsidR="007F2367" w:rsidRPr="00C67FAB" w:rsidRDefault="007F2367" w:rsidP="007F2367"/>
    <w:p w:rsidR="007F2367" w:rsidRPr="00C67FAB" w:rsidRDefault="007F2367" w:rsidP="007F2367"/>
    <w:p w:rsidR="007F2367" w:rsidRPr="00C67FAB" w:rsidRDefault="007F2367" w:rsidP="007F2367"/>
    <w:p w:rsidR="007F2367" w:rsidRDefault="007F2367" w:rsidP="007F2367">
      <w:pPr>
        <w:spacing w:after="120"/>
        <w:rPr>
          <w:rFonts w:cs="Arial"/>
          <w:b/>
          <w:sz w:val="22"/>
          <w:szCs w:val="22"/>
        </w:rPr>
      </w:pPr>
      <w:r w:rsidRPr="00C67FAB">
        <w:rPr>
          <w:rFonts w:cs="Arial"/>
          <w:b/>
          <w:sz w:val="22"/>
          <w:szCs w:val="22"/>
        </w:rPr>
        <w:t>James O’Halloran</w:t>
      </w:r>
      <w:r w:rsidRPr="00C67FAB">
        <w:rPr>
          <w:rFonts w:cs="Arial"/>
          <w:b/>
          <w:sz w:val="22"/>
          <w:szCs w:val="22"/>
        </w:rPr>
        <w:br/>
        <w:t>Deputy Commissioner of Taxation</w:t>
      </w:r>
    </w:p>
    <w:p w:rsidR="007F2367" w:rsidRDefault="007F2367" w:rsidP="007F2367"/>
    <w:p w:rsidR="007F2367" w:rsidRPr="004F2F2F" w:rsidRDefault="007F2367" w:rsidP="007F2367"/>
    <w:p w:rsidR="004E3200" w:rsidRDefault="004E3200"/>
    <w:sectPr w:rsidR="004E3200" w:rsidSect="00626FA8">
      <w:headerReference w:type="even" r:id="rId9"/>
      <w:headerReference w:type="default" r:id="rId10"/>
      <w:footerReference w:type="even" r:id="rId11"/>
      <w:footerReference w:type="default" r:id="rId12"/>
      <w:headerReference w:type="first" r:id="rId13"/>
      <w:footerReference w:type="first" r:id="rId14"/>
      <w:pgSz w:w="11906" w:h="16838" w:code="9"/>
      <w:pgMar w:top="1440" w:right="907" w:bottom="1440" w:left="2155" w:header="720" w:footer="720" w:gutter="0"/>
      <w:paperSrc w:first="15" w:other="15"/>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753" w:rsidRDefault="001F4753" w:rsidP="007F2367">
      <w:r>
        <w:separator/>
      </w:r>
    </w:p>
  </w:endnote>
  <w:endnote w:type="continuationSeparator" w:id="0">
    <w:p w:rsidR="001F4753" w:rsidRDefault="001F4753" w:rsidP="007F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50" w:rsidRDefault="001F4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50" w:rsidRDefault="001F47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50" w:rsidRDefault="001F4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753" w:rsidRDefault="001F4753" w:rsidP="007F2367">
      <w:r>
        <w:separator/>
      </w:r>
    </w:p>
  </w:footnote>
  <w:footnote w:type="continuationSeparator" w:id="0">
    <w:p w:rsidR="001F4753" w:rsidRDefault="001F4753" w:rsidP="007F2367">
      <w:r>
        <w:continuationSeparator/>
      </w:r>
    </w:p>
  </w:footnote>
  <w:footnote w:id="1">
    <w:p w:rsidR="007F2367" w:rsidRPr="00B54A13" w:rsidRDefault="007F2367" w:rsidP="007F2367">
      <w:pPr>
        <w:pStyle w:val="FootnoteText"/>
        <w:ind w:left="113" w:hanging="113"/>
        <w:rPr>
          <w:rFonts w:ascii="Arial" w:hAnsi="Arial" w:cs="Arial"/>
          <w:sz w:val="18"/>
          <w:szCs w:val="18"/>
        </w:rPr>
      </w:pPr>
      <w:r w:rsidRPr="00B54A13">
        <w:rPr>
          <w:rStyle w:val="FootnoteReference"/>
          <w:rFonts w:ascii="Arial" w:hAnsi="Arial" w:cs="Arial"/>
          <w:sz w:val="18"/>
          <w:szCs w:val="18"/>
        </w:rPr>
        <w:footnoteRef/>
      </w:r>
      <w:r w:rsidRPr="00B54A13">
        <w:rPr>
          <w:rFonts w:ascii="Arial" w:hAnsi="Arial" w:cs="Arial"/>
          <w:sz w:val="18"/>
          <w:szCs w:val="18"/>
        </w:rPr>
        <w:t xml:space="preserve"> Subsection 12(2) of the </w:t>
      </w:r>
      <w:r w:rsidRPr="00B54A13">
        <w:rPr>
          <w:rFonts w:ascii="Arial" w:hAnsi="Arial" w:cs="Arial"/>
          <w:i/>
          <w:sz w:val="18"/>
          <w:szCs w:val="18"/>
        </w:rPr>
        <w:t xml:space="preserve">Legislative Instruments Act 2003 </w:t>
      </w:r>
      <w:r w:rsidRPr="00B54A13">
        <w:rPr>
          <w:rFonts w:ascii="Arial" w:hAnsi="Arial" w:cs="Arial"/>
          <w:sz w:val="18"/>
          <w:szCs w:val="18"/>
        </w:rPr>
        <w:t>provides that a retrospective legislative instrument (or provision of that instrument) will be of no effect if it applies to adversely affect the rights or liabilities of any person other than the Commonwealth or an authority of the Commonwealth.</w:t>
      </w:r>
    </w:p>
  </w:footnote>
  <w:footnote w:id="2">
    <w:p w:rsidR="007F2367" w:rsidRPr="00B54A13" w:rsidRDefault="007F2367" w:rsidP="007F2367">
      <w:pPr>
        <w:pStyle w:val="FootnoteText"/>
        <w:rPr>
          <w:rFonts w:ascii="Arial" w:hAnsi="Arial" w:cs="Arial"/>
          <w:sz w:val="18"/>
          <w:szCs w:val="18"/>
        </w:rPr>
      </w:pPr>
      <w:r w:rsidRPr="00B54A13">
        <w:rPr>
          <w:rStyle w:val="FootnoteReference"/>
          <w:rFonts w:ascii="Arial" w:hAnsi="Arial" w:cs="Arial"/>
          <w:sz w:val="18"/>
          <w:szCs w:val="18"/>
        </w:rPr>
        <w:footnoteRef/>
      </w:r>
      <w:r w:rsidRPr="00B54A13">
        <w:rPr>
          <w:rFonts w:ascii="Arial" w:hAnsi="Arial" w:cs="Arial"/>
          <w:sz w:val="18"/>
          <w:szCs w:val="18"/>
        </w:rPr>
        <w:t xml:space="preserve"> Subsection 29-10(3).</w:t>
      </w:r>
    </w:p>
  </w:footnote>
  <w:footnote w:id="3">
    <w:p w:rsidR="007F2367" w:rsidRPr="00B54A13" w:rsidRDefault="007F2367" w:rsidP="007F2367">
      <w:pPr>
        <w:pStyle w:val="FootnoteText"/>
        <w:rPr>
          <w:rFonts w:ascii="Arial" w:hAnsi="Arial" w:cs="Arial"/>
          <w:sz w:val="18"/>
          <w:szCs w:val="18"/>
        </w:rPr>
      </w:pPr>
      <w:r w:rsidRPr="00B54A13">
        <w:rPr>
          <w:rStyle w:val="FootnoteReference"/>
          <w:rFonts w:ascii="Arial" w:hAnsi="Arial" w:cs="Arial"/>
          <w:sz w:val="18"/>
          <w:szCs w:val="18"/>
        </w:rPr>
        <w:footnoteRef/>
      </w:r>
      <w:r w:rsidRPr="00B54A13">
        <w:rPr>
          <w:rFonts w:ascii="Arial" w:hAnsi="Arial" w:cs="Arial"/>
          <w:sz w:val="18"/>
          <w:szCs w:val="18"/>
        </w:rPr>
        <w:t xml:space="preserve"> Sections 11-5, 11-20, 11-25 and 11-30.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50" w:rsidRDefault="001F47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50" w:rsidRDefault="001F47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50" w:rsidRDefault="001F47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9CB"/>
    <w:multiLevelType w:val="hybridMultilevel"/>
    <w:tmpl w:val="0256DDB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2C9B6E6E"/>
    <w:multiLevelType w:val="hybridMultilevel"/>
    <w:tmpl w:val="3300FD22"/>
    <w:lvl w:ilvl="0" w:tplc="CC78D42C">
      <w:start w:val="1"/>
      <w:numFmt w:val="decimal"/>
      <w:lvlText w:val="%1."/>
      <w:lvlJc w:val="left"/>
      <w:pPr>
        <w:tabs>
          <w:tab w:val="num" w:pos="4380"/>
        </w:tabs>
        <w:ind w:left="4380" w:hanging="780"/>
      </w:pPr>
      <w:rPr>
        <w:rFonts w:cs="Times New Roman" w:hint="default"/>
        <w:b w:val="0"/>
        <w:i w:val="0"/>
        <w:color w:val="auto"/>
      </w:rPr>
    </w:lvl>
    <w:lvl w:ilvl="1" w:tplc="BB0C3F80">
      <w:start w:val="1"/>
      <w:numFmt w:val="bullet"/>
      <w:lvlText w:val=""/>
      <w:lvlJc w:val="left"/>
      <w:pPr>
        <w:tabs>
          <w:tab w:val="num" w:pos="1440"/>
        </w:tabs>
        <w:ind w:left="1440" w:hanging="360"/>
      </w:pPr>
      <w:rPr>
        <w:rFonts w:ascii="Wingdings" w:hAnsi="Wingdings" w:hint="default"/>
        <w:b w:val="0"/>
        <w:color w:val="auto"/>
      </w:rPr>
    </w:lvl>
    <w:lvl w:ilvl="2" w:tplc="0C104698">
      <w:start w:val="4"/>
      <w:numFmt w:val="decimal"/>
      <w:lvlText w:val="%3."/>
      <w:lvlJc w:val="left"/>
      <w:pPr>
        <w:tabs>
          <w:tab w:val="num" w:pos="3420"/>
        </w:tabs>
        <w:ind w:left="2547" w:hanging="567"/>
      </w:pPr>
      <w:rPr>
        <w:rFonts w:cs="Times New Roman" w:hint="default"/>
        <w:b w:val="0"/>
        <w:i w:val="0"/>
        <w:color w:val="auto"/>
        <w:sz w:val="22"/>
        <w:szCs w:val="22"/>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6C9F5D3E"/>
    <w:multiLevelType w:val="hybridMultilevel"/>
    <w:tmpl w:val="F3441D88"/>
    <w:lvl w:ilvl="0" w:tplc="09D81372">
      <w:start w:val="1"/>
      <w:numFmt w:val="decimal"/>
      <w:pStyle w:val="NumberedList"/>
      <w:lvlText w:val="%1."/>
      <w:lvlJc w:val="left"/>
      <w:pPr>
        <w:tabs>
          <w:tab w:val="num" w:pos="360"/>
        </w:tabs>
        <w:ind w:left="36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67"/>
    <w:rsid w:val="001F4753"/>
    <w:rsid w:val="004E3200"/>
    <w:rsid w:val="007F23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67"/>
    <w:pPr>
      <w:spacing w:after="0" w:line="240" w:lineRule="auto"/>
    </w:pPr>
    <w:rPr>
      <w:rFonts w:ascii="Arial" w:eastAsia="Times New Roman" w:hAnsi="Arial" w:cs="Helvetica Neue"/>
      <w:color w:val="000000"/>
      <w:sz w:val="24"/>
      <w:szCs w:val="24"/>
      <w:lang w:eastAsia="en-AU"/>
    </w:rPr>
  </w:style>
  <w:style w:type="paragraph" w:styleId="Heading2">
    <w:name w:val="heading 2"/>
    <w:basedOn w:val="Normal"/>
    <w:next w:val="Normal"/>
    <w:link w:val="Heading2Char"/>
    <w:uiPriority w:val="99"/>
    <w:qFormat/>
    <w:rsid w:val="007F2367"/>
    <w:pPr>
      <w:keepNext/>
      <w:spacing w:after="120"/>
      <w:outlineLvl w:val="1"/>
    </w:pPr>
    <w:rPr>
      <w:b/>
      <w:sz w:val="22"/>
    </w:rPr>
  </w:style>
  <w:style w:type="paragraph" w:styleId="Heading3">
    <w:name w:val="heading 3"/>
    <w:basedOn w:val="Normal"/>
    <w:next w:val="Normal"/>
    <w:link w:val="Heading3Char"/>
    <w:uiPriority w:val="99"/>
    <w:qFormat/>
    <w:rsid w:val="007F236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F2367"/>
    <w:rPr>
      <w:rFonts w:ascii="Arial" w:eastAsia="Times New Roman" w:hAnsi="Arial" w:cs="Helvetica Neue"/>
      <w:b/>
      <w:color w:val="000000"/>
      <w:szCs w:val="24"/>
      <w:lang w:eastAsia="en-AU"/>
    </w:rPr>
  </w:style>
  <w:style w:type="character" w:customStyle="1" w:styleId="Heading3Char">
    <w:name w:val="Heading 3 Char"/>
    <w:basedOn w:val="DefaultParagraphFont"/>
    <w:link w:val="Heading3"/>
    <w:uiPriority w:val="99"/>
    <w:rsid w:val="007F2367"/>
    <w:rPr>
      <w:rFonts w:ascii="Arial" w:eastAsia="Times New Roman" w:hAnsi="Arial" w:cs="Arial"/>
      <w:b/>
      <w:bCs/>
      <w:color w:val="000000"/>
      <w:sz w:val="26"/>
      <w:szCs w:val="26"/>
      <w:lang w:eastAsia="en-AU"/>
    </w:rPr>
  </w:style>
  <w:style w:type="paragraph" w:styleId="Header">
    <w:name w:val="header"/>
    <w:basedOn w:val="Normal"/>
    <w:link w:val="HeaderChar"/>
    <w:uiPriority w:val="99"/>
    <w:rsid w:val="007F2367"/>
    <w:pPr>
      <w:tabs>
        <w:tab w:val="center" w:pos="4153"/>
        <w:tab w:val="right" w:pos="8306"/>
      </w:tabs>
    </w:pPr>
    <w:rPr>
      <w:rFonts w:ascii="Times New Roman" w:hAnsi="Times New Roman" w:cs="Times New Roman"/>
      <w:color w:val="auto"/>
    </w:rPr>
  </w:style>
  <w:style w:type="character" w:customStyle="1" w:styleId="HeaderChar">
    <w:name w:val="Header Char"/>
    <w:basedOn w:val="DefaultParagraphFont"/>
    <w:link w:val="Header"/>
    <w:uiPriority w:val="99"/>
    <w:rsid w:val="007F2367"/>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rsid w:val="007F2367"/>
    <w:rPr>
      <w:rFonts w:ascii="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7F2367"/>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rsid w:val="007F2367"/>
    <w:rPr>
      <w:rFonts w:cs="Times New Roman"/>
      <w:vertAlign w:val="superscript"/>
    </w:rPr>
  </w:style>
  <w:style w:type="paragraph" w:styleId="Footer">
    <w:name w:val="footer"/>
    <w:basedOn w:val="Normal"/>
    <w:link w:val="FooterChar"/>
    <w:uiPriority w:val="99"/>
    <w:rsid w:val="007F2367"/>
    <w:pPr>
      <w:tabs>
        <w:tab w:val="center" w:pos="4153"/>
        <w:tab w:val="right" w:pos="8306"/>
      </w:tabs>
    </w:pPr>
  </w:style>
  <w:style w:type="character" w:customStyle="1" w:styleId="FooterChar">
    <w:name w:val="Footer Char"/>
    <w:basedOn w:val="DefaultParagraphFont"/>
    <w:link w:val="Footer"/>
    <w:uiPriority w:val="99"/>
    <w:rsid w:val="007F2367"/>
    <w:rPr>
      <w:rFonts w:ascii="Arial" w:eastAsia="Times New Roman" w:hAnsi="Arial" w:cs="Helvetica Neue"/>
      <w:color w:val="000000"/>
      <w:sz w:val="24"/>
      <w:szCs w:val="24"/>
      <w:lang w:eastAsia="en-AU"/>
    </w:rPr>
  </w:style>
  <w:style w:type="paragraph" w:customStyle="1" w:styleId="NumberedList">
    <w:name w:val="Numbered List"/>
    <w:basedOn w:val="Normal"/>
    <w:uiPriority w:val="99"/>
    <w:rsid w:val="007F2367"/>
    <w:pPr>
      <w:numPr>
        <w:numId w:val="2"/>
      </w:numPr>
    </w:pPr>
    <w:rPr>
      <w:rFonts w:ascii="Times New Roman" w:hAnsi="Times New Roman" w:cs="Times New Roman"/>
      <w:color w:val="auto"/>
      <w:szCs w:val="20"/>
    </w:rPr>
  </w:style>
  <w:style w:type="paragraph" w:styleId="ListParagraph">
    <w:name w:val="List Paragraph"/>
    <w:basedOn w:val="Normal"/>
    <w:uiPriority w:val="34"/>
    <w:qFormat/>
    <w:rsid w:val="007F2367"/>
    <w:pPr>
      <w:ind w:left="720"/>
      <w:contextualSpacing/>
    </w:pPr>
  </w:style>
  <w:style w:type="paragraph" w:styleId="BalloonText">
    <w:name w:val="Balloon Text"/>
    <w:basedOn w:val="Normal"/>
    <w:link w:val="BalloonTextChar"/>
    <w:uiPriority w:val="99"/>
    <w:semiHidden/>
    <w:unhideWhenUsed/>
    <w:rsid w:val="007F2367"/>
    <w:rPr>
      <w:rFonts w:ascii="Tahoma" w:hAnsi="Tahoma" w:cs="Tahoma"/>
      <w:sz w:val="16"/>
      <w:szCs w:val="16"/>
    </w:rPr>
  </w:style>
  <w:style w:type="character" w:customStyle="1" w:styleId="BalloonTextChar">
    <w:name w:val="Balloon Text Char"/>
    <w:basedOn w:val="DefaultParagraphFont"/>
    <w:link w:val="BalloonText"/>
    <w:uiPriority w:val="99"/>
    <w:semiHidden/>
    <w:rsid w:val="007F2367"/>
    <w:rPr>
      <w:rFonts w:ascii="Tahoma" w:eastAsia="Times New Roman" w:hAnsi="Tahoma" w:cs="Tahoma"/>
      <w:color w:val="000000"/>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67"/>
    <w:pPr>
      <w:spacing w:after="0" w:line="240" w:lineRule="auto"/>
    </w:pPr>
    <w:rPr>
      <w:rFonts w:ascii="Arial" w:eastAsia="Times New Roman" w:hAnsi="Arial" w:cs="Helvetica Neue"/>
      <w:color w:val="000000"/>
      <w:sz w:val="24"/>
      <w:szCs w:val="24"/>
      <w:lang w:eastAsia="en-AU"/>
    </w:rPr>
  </w:style>
  <w:style w:type="paragraph" w:styleId="Heading2">
    <w:name w:val="heading 2"/>
    <w:basedOn w:val="Normal"/>
    <w:next w:val="Normal"/>
    <w:link w:val="Heading2Char"/>
    <w:uiPriority w:val="99"/>
    <w:qFormat/>
    <w:rsid w:val="007F2367"/>
    <w:pPr>
      <w:keepNext/>
      <w:spacing w:after="120"/>
      <w:outlineLvl w:val="1"/>
    </w:pPr>
    <w:rPr>
      <w:b/>
      <w:sz w:val="22"/>
    </w:rPr>
  </w:style>
  <w:style w:type="paragraph" w:styleId="Heading3">
    <w:name w:val="heading 3"/>
    <w:basedOn w:val="Normal"/>
    <w:next w:val="Normal"/>
    <w:link w:val="Heading3Char"/>
    <w:uiPriority w:val="99"/>
    <w:qFormat/>
    <w:rsid w:val="007F236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F2367"/>
    <w:rPr>
      <w:rFonts w:ascii="Arial" w:eastAsia="Times New Roman" w:hAnsi="Arial" w:cs="Helvetica Neue"/>
      <w:b/>
      <w:color w:val="000000"/>
      <w:szCs w:val="24"/>
      <w:lang w:eastAsia="en-AU"/>
    </w:rPr>
  </w:style>
  <w:style w:type="character" w:customStyle="1" w:styleId="Heading3Char">
    <w:name w:val="Heading 3 Char"/>
    <w:basedOn w:val="DefaultParagraphFont"/>
    <w:link w:val="Heading3"/>
    <w:uiPriority w:val="99"/>
    <w:rsid w:val="007F2367"/>
    <w:rPr>
      <w:rFonts w:ascii="Arial" w:eastAsia="Times New Roman" w:hAnsi="Arial" w:cs="Arial"/>
      <w:b/>
      <w:bCs/>
      <w:color w:val="000000"/>
      <w:sz w:val="26"/>
      <w:szCs w:val="26"/>
      <w:lang w:eastAsia="en-AU"/>
    </w:rPr>
  </w:style>
  <w:style w:type="paragraph" w:styleId="Header">
    <w:name w:val="header"/>
    <w:basedOn w:val="Normal"/>
    <w:link w:val="HeaderChar"/>
    <w:uiPriority w:val="99"/>
    <w:rsid w:val="007F2367"/>
    <w:pPr>
      <w:tabs>
        <w:tab w:val="center" w:pos="4153"/>
        <w:tab w:val="right" w:pos="8306"/>
      </w:tabs>
    </w:pPr>
    <w:rPr>
      <w:rFonts w:ascii="Times New Roman" w:hAnsi="Times New Roman" w:cs="Times New Roman"/>
      <w:color w:val="auto"/>
    </w:rPr>
  </w:style>
  <w:style w:type="character" w:customStyle="1" w:styleId="HeaderChar">
    <w:name w:val="Header Char"/>
    <w:basedOn w:val="DefaultParagraphFont"/>
    <w:link w:val="Header"/>
    <w:uiPriority w:val="99"/>
    <w:rsid w:val="007F2367"/>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rsid w:val="007F2367"/>
    <w:rPr>
      <w:rFonts w:ascii="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7F2367"/>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rsid w:val="007F2367"/>
    <w:rPr>
      <w:rFonts w:cs="Times New Roman"/>
      <w:vertAlign w:val="superscript"/>
    </w:rPr>
  </w:style>
  <w:style w:type="paragraph" w:styleId="Footer">
    <w:name w:val="footer"/>
    <w:basedOn w:val="Normal"/>
    <w:link w:val="FooterChar"/>
    <w:uiPriority w:val="99"/>
    <w:rsid w:val="007F2367"/>
    <w:pPr>
      <w:tabs>
        <w:tab w:val="center" w:pos="4153"/>
        <w:tab w:val="right" w:pos="8306"/>
      </w:tabs>
    </w:pPr>
  </w:style>
  <w:style w:type="character" w:customStyle="1" w:styleId="FooterChar">
    <w:name w:val="Footer Char"/>
    <w:basedOn w:val="DefaultParagraphFont"/>
    <w:link w:val="Footer"/>
    <w:uiPriority w:val="99"/>
    <w:rsid w:val="007F2367"/>
    <w:rPr>
      <w:rFonts w:ascii="Arial" w:eastAsia="Times New Roman" w:hAnsi="Arial" w:cs="Helvetica Neue"/>
      <w:color w:val="000000"/>
      <w:sz w:val="24"/>
      <w:szCs w:val="24"/>
      <w:lang w:eastAsia="en-AU"/>
    </w:rPr>
  </w:style>
  <w:style w:type="paragraph" w:customStyle="1" w:styleId="NumberedList">
    <w:name w:val="Numbered List"/>
    <w:basedOn w:val="Normal"/>
    <w:uiPriority w:val="99"/>
    <w:rsid w:val="007F2367"/>
    <w:pPr>
      <w:numPr>
        <w:numId w:val="2"/>
      </w:numPr>
    </w:pPr>
    <w:rPr>
      <w:rFonts w:ascii="Times New Roman" w:hAnsi="Times New Roman" w:cs="Times New Roman"/>
      <w:color w:val="auto"/>
      <w:szCs w:val="20"/>
    </w:rPr>
  </w:style>
  <w:style w:type="paragraph" w:styleId="ListParagraph">
    <w:name w:val="List Paragraph"/>
    <w:basedOn w:val="Normal"/>
    <w:uiPriority w:val="34"/>
    <w:qFormat/>
    <w:rsid w:val="007F2367"/>
    <w:pPr>
      <w:ind w:left="720"/>
      <w:contextualSpacing/>
    </w:pPr>
  </w:style>
  <w:style w:type="paragraph" w:styleId="BalloonText">
    <w:name w:val="Balloon Text"/>
    <w:basedOn w:val="Normal"/>
    <w:link w:val="BalloonTextChar"/>
    <w:uiPriority w:val="99"/>
    <w:semiHidden/>
    <w:unhideWhenUsed/>
    <w:rsid w:val="007F2367"/>
    <w:rPr>
      <w:rFonts w:ascii="Tahoma" w:hAnsi="Tahoma" w:cs="Tahoma"/>
      <w:sz w:val="16"/>
      <w:szCs w:val="16"/>
    </w:rPr>
  </w:style>
  <w:style w:type="character" w:customStyle="1" w:styleId="BalloonTextChar">
    <w:name w:val="Balloon Text Char"/>
    <w:basedOn w:val="DefaultParagraphFont"/>
    <w:link w:val="BalloonText"/>
    <w:uiPriority w:val="99"/>
    <w:semiHidden/>
    <w:rsid w:val="007F2367"/>
    <w:rPr>
      <w:rFonts w:ascii="Tahoma" w:eastAsia="Times New Roman" w:hAnsi="Tahoma" w:cs="Tahoma"/>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13504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Thavavaran, Alli</dc:creator>
  <cp:lastModifiedBy>Thavavaran, Alli</cp:lastModifiedBy>
  <cp:revision>1</cp:revision>
  <dcterms:created xsi:type="dcterms:W3CDTF">2014-05-19T02:42:00Z</dcterms:created>
  <dcterms:modified xsi:type="dcterms:W3CDTF">2014-05-19T02:43:00Z</dcterms:modified>
</cp:coreProperties>
</file>