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CF" w:rsidRPr="00853DF6" w:rsidRDefault="00F21CCF" w:rsidP="00F21CCF">
      <w:pPr>
        <w:autoSpaceDE w:val="0"/>
        <w:autoSpaceDN w:val="0"/>
        <w:adjustRightInd w:val="0"/>
        <w:jc w:val="center"/>
        <w:rPr>
          <w:sz w:val="22"/>
          <w:szCs w:val="22"/>
          <w:u w:val="single"/>
        </w:rPr>
      </w:pPr>
      <w:r w:rsidRPr="00853DF6">
        <w:rPr>
          <w:sz w:val="22"/>
          <w:szCs w:val="22"/>
          <w:u w:val="single"/>
        </w:rPr>
        <w:t>EXPLANATORY STATEMENT</w:t>
      </w:r>
    </w:p>
    <w:p w:rsidR="00F21CCF" w:rsidRPr="00853DF6" w:rsidRDefault="00F21CCF" w:rsidP="00F21CCF">
      <w:pPr>
        <w:rPr>
          <w:sz w:val="24"/>
          <w:szCs w:val="24"/>
        </w:rPr>
      </w:pPr>
    </w:p>
    <w:p w:rsidR="00F21CCF" w:rsidRPr="00853DF6" w:rsidRDefault="00F21CCF" w:rsidP="00F21CCF">
      <w:pPr>
        <w:autoSpaceDE w:val="0"/>
        <w:autoSpaceDN w:val="0"/>
        <w:adjustRightInd w:val="0"/>
        <w:jc w:val="center"/>
        <w:rPr>
          <w:b/>
          <w:sz w:val="22"/>
          <w:szCs w:val="22"/>
        </w:rPr>
      </w:pPr>
      <w:r w:rsidRPr="00853DF6">
        <w:rPr>
          <w:b/>
          <w:sz w:val="22"/>
          <w:szCs w:val="22"/>
        </w:rPr>
        <w:t>Issued by the Authority of the Australian Fisheries Management Authority</w:t>
      </w:r>
    </w:p>
    <w:p w:rsidR="00F21CCF" w:rsidRPr="00853DF6" w:rsidRDefault="00F21CCF" w:rsidP="00F21CCF">
      <w:pPr>
        <w:rPr>
          <w:sz w:val="24"/>
          <w:szCs w:val="24"/>
        </w:rPr>
      </w:pPr>
    </w:p>
    <w:p w:rsidR="00F21CCF" w:rsidRPr="00853DF6" w:rsidRDefault="00F21CCF" w:rsidP="00F21CCF">
      <w:pPr>
        <w:jc w:val="center"/>
        <w:rPr>
          <w:i/>
          <w:sz w:val="24"/>
          <w:szCs w:val="24"/>
        </w:rPr>
      </w:pPr>
      <w:r w:rsidRPr="00853DF6">
        <w:rPr>
          <w:i/>
          <w:sz w:val="24"/>
          <w:szCs w:val="24"/>
        </w:rPr>
        <w:t>Fisheries Management Act 1991</w:t>
      </w:r>
    </w:p>
    <w:p w:rsidR="00F21CCF" w:rsidRPr="00853DF6" w:rsidRDefault="00F21CCF" w:rsidP="00F21CCF">
      <w:pPr>
        <w:rPr>
          <w:sz w:val="24"/>
          <w:szCs w:val="24"/>
        </w:rPr>
      </w:pPr>
    </w:p>
    <w:p w:rsidR="00F21CCF" w:rsidRPr="00853DF6" w:rsidRDefault="00F21CCF" w:rsidP="00F21CCF">
      <w:pPr>
        <w:jc w:val="center"/>
        <w:rPr>
          <w:b/>
          <w:sz w:val="24"/>
          <w:szCs w:val="24"/>
        </w:rPr>
      </w:pPr>
      <w:r>
        <w:rPr>
          <w:b/>
          <w:sz w:val="24"/>
          <w:szCs w:val="24"/>
          <w:lang w:eastAsia="en-AU"/>
        </w:rPr>
        <w:t>Heard Island and McDonald Islands</w:t>
      </w:r>
      <w:r w:rsidRPr="00853DF6">
        <w:rPr>
          <w:b/>
          <w:sz w:val="24"/>
          <w:szCs w:val="24"/>
          <w:lang w:eastAsia="en-AU"/>
        </w:rPr>
        <w:t xml:space="preserve"> Fishery (Closures) </w:t>
      </w:r>
      <w:r w:rsidRPr="00853DF6">
        <w:rPr>
          <w:b/>
          <w:sz w:val="24"/>
          <w:szCs w:val="24"/>
        </w:rPr>
        <w:t>Direction No. 1</w:t>
      </w:r>
      <w:r>
        <w:rPr>
          <w:b/>
          <w:sz w:val="24"/>
          <w:szCs w:val="24"/>
        </w:rPr>
        <w:t xml:space="preserve"> 2014</w:t>
      </w:r>
    </w:p>
    <w:p w:rsidR="00F21CCF" w:rsidRPr="009E7105" w:rsidRDefault="00F21CCF" w:rsidP="00F21CCF">
      <w:pPr>
        <w:jc w:val="center"/>
        <w:rPr>
          <w:sz w:val="24"/>
          <w:szCs w:val="24"/>
        </w:rPr>
      </w:pPr>
    </w:p>
    <w:p w:rsidR="00F21CCF" w:rsidRPr="00D66D2F" w:rsidRDefault="00F21CCF" w:rsidP="00F21CCF">
      <w:pPr>
        <w:spacing w:before="120"/>
        <w:ind w:right="-1"/>
        <w:jc w:val="both"/>
        <w:rPr>
          <w:sz w:val="22"/>
          <w:szCs w:val="22"/>
        </w:rPr>
      </w:pPr>
      <w:r w:rsidRPr="00D66D2F">
        <w:rPr>
          <w:sz w:val="22"/>
          <w:szCs w:val="22"/>
        </w:rPr>
        <w:t xml:space="preserve">The </w:t>
      </w:r>
      <w:r w:rsidR="005872D5">
        <w:rPr>
          <w:i/>
          <w:sz w:val="22"/>
          <w:szCs w:val="22"/>
          <w:lang w:eastAsia="en-AU"/>
        </w:rPr>
        <w:t>Heard Island and McDonald Islands</w:t>
      </w:r>
      <w:r w:rsidR="005872D5" w:rsidRPr="00853DF6">
        <w:rPr>
          <w:i/>
          <w:sz w:val="22"/>
          <w:szCs w:val="22"/>
          <w:lang w:eastAsia="en-AU"/>
        </w:rPr>
        <w:t xml:space="preserve"> Fishery (Closures)</w:t>
      </w:r>
      <w:r w:rsidR="005872D5">
        <w:rPr>
          <w:i/>
          <w:sz w:val="22"/>
          <w:szCs w:val="22"/>
        </w:rPr>
        <w:t xml:space="preserve"> Direction No. 1 2014</w:t>
      </w:r>
      <w:r w:rsidR="005872D5" w:rsidRPr="00D66D2F">
        <w:rPr>
          <w:sz w:val="22"/>
          <w:szCs w:val="22"/>
        </w:rPr>
        <w:t xml:space="preserve"> </w:t>
      </w:r>
      <w:r w:rsidR="005872D5">
        <w:rPr>
          <w:sz w:val="22"/>
          <w:szCs w:val="22"/>
        </w:rPr>
        <w:t xml:space="preserve">(the </w:t>
      </w:r>
      <w:r w:rsidRPr="00D66D2F">
        <w:rPr>
          <w:sz w:val="22"/>
          <w:szCs w:val="22"/>
        </w:rPr>
        <w:t>Direction</w:t>
      </w:r>
      <w:r w:rsidR="005872D5">
        <w:rPr>
          <w:sz w:val="22"/>
          <w:szCs w:val="22"/>
        </w:rPr>
        <w:t>)</w:t>
      </w:r>
      <w:r w:rsidRPr="00D66D2F">
        <w:rPr>
          <w:sz w:val="22"/>
          <w:szCs w:val="22"/>
        </w:rPr>
        <w:t xml:space="preserve"> is a legislative instrument for the purposes of the </w:t>
      </w:r>
      <w:r w:rsidRPr="00D66D2F">
        <w:rPr>
          <w:i/>
          <w:sz w:val="22"/>
          <w:szCs w:val="22"/>
        </w:rPr>
        <w:t>Legislative Instruments Act 2003</w:t>
      </w:r>
      <w:r w:rsidRPr="00D66D2F">
        <w:rPr>
          <w:sz w:val="22"/>
          <w:szCs w:val="22"/>
        </w:rPr>
        <w:t>.</w:t>
      </w:r>
    </w:p>
    <w:p w:rsidR="00F21CCF" w:rsidRPr="00D66D2F" w:rsidRDefault="00F21CCF" w:rsidP="00F21CCF">
      <w:pPr>
        <w:spacing w:before="120"/>
        <w:ind w:right="-1"/>
        <w:jc w:val="both"/>
        <w:rPr>
          <w:sz w:val="22"/>
          <w:szCs w:val="22"/>
        </w:rPr>
      </w:pPr>
      <w:r w:rsidRPr="00D66D2F">
        <w:rPr>
          <w:sz w:val="22"/>
          <w:szCs w:val="22"/>
        </w:rPr>
        <w:t xml:space="preserve">Subsection </w:t>
      </w:r>
      <w:proofErr w:type="gramStart"/>
      <w:r w:rsidRPr="00D66D2F">
        <w:rPr>
          <w:sz w:val="22"/>
          <w:szCs w:val="22"/>
        </w:rPr>
        <w:t>41A(</w:t>
      </w:r>
      <w:proofErr w:type="gramEnd"/>
      <w:r w:rsidRPr="00D66D2F">
        <w:rPr>
          <w:sz w:val="22"/>
          <w:szCs w:val="22"/>
        </w:rPr>
        <w:t xml:space="preserve">2) of the </w:t>
      </w:r>
      <w:r w:rsidRPr="00D66D2F">
        <w:rPr>
          <w:i/>
          <w:sz w:val="22"/>
          <w:szCs w:val="22"/>
        </w:rPr>
        <w:t>Fisheries Management Act 1991</w:t>
      </w:r>
      <w:r w:rsidRPr="00D66D2F">
        <w:rPr>
          <w:sz w:val="22"/>
          <w:szCs w:val="22"/>
        </w:rPr>
        <w:t xml:space="preserve"> (the Management Act) provides, inter alia, that </w:t>
      </w:r>
      <w:r>
        <w:rPr>
          <w:sz w:val="22"/>
          <w:szCs w:val="22"/>
        </w:rPr>
        <w:t xml:space="preserve">the </w:t>
      </w:r>
      <w:r w:rsidRPr="00D66D2F">
        <w:rPr>
          <w:sz w:val="22"/>
          <w:szCs w:val="22"/>
        </w:rPr>
        <w:t>Australian Fisheries Management Authority (AFMA) may, after such consultation as set out in s41A(2),</w:t>
      </w:r>
      <w:bookmarkStart w:id="0" w:name="OLE_LINK1"/>
      <w:bookmarkStart w:id="1" w:name="OLE_LINK2"/>
      <w:r w:rsidRPr="00D66D2F">
        <w:rPr>
          <w:sz w:val="22"/>
          <w:szCs w:val="22"/>
        </w:rPr>
        <w:t xml:space="preserve"> direct that fishing is not to be engaged in the fishery, or a particular part of the fishery, during a particular period or periods. </w:t>
      </w:r>
      <w:bookmarkEnd w:id="0"/>
      <w:bookmarkEnd w:id="1"/>
    </w:p>
    <w:p w:rsidR="00F21CCF" w:rsidRPr="00D66D2F" w:rsidRDefault="00F21CCF" w:rsidP="00F21CCF">
      <w:pPr>
        <w:spacing w:before="120"/>
        <w:ind w:right="-1"/>
        <w:jc w:val="both"/>
        <w:rPr>
          <w:sz w:val="22"/>
          <w:szCs w:val="22"/>
        </w:rPr>
      </w:pPr>
      <w:r w:rsidRPr="00D66D2F">
        <w:rPr>
          <w:sz w:val="22"/>
          <w:szCs w:val="22"/>
        </w:rPr>
        <w:t xml:space="preserve">Subsection </w:t>
      </w:r>
      <w:proofErr w:type="gramStart"/>
      <w:r w:rsidRPr="00D66D2F">
        <w:rPr>
          <w:sz w:val="22"/>
          <w:szCs w:val="22"/>
        </w:rPr>
        <w:t>41A(</w:t>
      </w:r>
      <w:proofErr w:type="gramEnd"/>
      <w:r w:rsidRPr="00D66D2F">
        <w:rPr>
          <w:sz w:val="22"/>
          <w:szCs w:val="22"/>
        </w:rPr>
        <w:t xml:space="preserve">2) also provides that, before AFMA issues a Direction, it must consult with the management advisory committee for the fishery, the </w:t>
      </w:r>
      <w:r w:rsidRPr="00F21CCF">
        <w:rPr>
          <w:sz w:val="22"/>
          <w:szCs w:val="22"/>
        </w:rPr>
        <w:t>Sub-Antarctic Fisheries Management Advisory Committee (</w:t>
      </w:r>
      <w:proofErr w:type="spellStart"/>
      <w:r w:rsidRPr="00F21CCF">
        <w:rPr>
          <w:sz w:val="22"/>
          <w:szCs w:val="22"/>
        </w:rPr>
        <w:t>SouthMAC</w:t>
      </w:r>
      <w:proofErr w:type="spellEnd"/>
      <w:r w:rsidRPr="00F21CCF">
        <w:rPr>
          <w:sz w:val="22"/>
          <w:szCs w:val="22"/>
        </w:rPr>
        <w:t xml:space="preserve">) </w:t>
      </w:r>
      <w:r w:rsidRPr="00D66D2F">
        <w:rPr>
          <w:sz w:val="22"/>
          <w:szCs w:val="22"/>
        </w:rPr>
        <w:t xml:space="preserve">about the content of the Direction unless the Direction is issued in circumstances of an emergency. </w:t>
      </w:r>
    </w:p>
    <w:p w:rsidR="00F21CCF" w:rsidRPr="00D66D2F" w:rsidRDefault="00F21CCF" w:rsidP="00F21CCF">
      <w:pPr>
        <w:spacing w:before="240" w:after="60"/>
        <w:jc w:val="both"/>
        <w:rPr>
          <w:b/>
          <w:sz w:val="22"/>
          <w:szCs w:val="22"/>
        </w:rPr>
      </w:pPr>
      <w:r w:rsidRPr="00D66D2F">
        <w:rPr>
          <w:b/>
          <w:sz w:val="22"/>
          <w:szCs w:val="22"/>
        </w:rPr>
        <w:t>The Fishery</w:t>
      </w:r>
    </w:p>
    <w:p w:rsidR="00F21CCF" w:rsidRPr="00F21CCF" w:rsidRDefault="00F21CCF" w:rsidP="00F21CCF">
      <w:pPr>
        <w:numPr>
          <w:ilvl w:val="12"/>
          <w:numId w:val="0"/>
        </w:numPr>
        <w:spacing w:before="240"/>
        <w:jc w:val="both"/>
        <w:rPr>
          <w:sz w:val="22"/>
          <w:szCs w:val="22"/>
        </w:rPr>
      </w:pPr>
      <w:r w:rsidRPr="00F21CCF">
        <w:rPr>
          <w:sz w:val="22"/>
          <w:szCs w:val="22"/>
        </w:rPr>
        <w:t xml:space="preserve">The Heard Island and McDonald Islands Fishery (the Fishery) includes external territories of </w:t>
      </w:r>
      <w:smartTag w:uri="urn:schemas-microsoft-com:office:smarttags" w:element="country-region">
        <w:r w:rsidRPr="00F21CCF">
          <w:rPr>
            <w:sz w:val="22"/>
            <w:szCs w:val="22"/>
          </w:rPr>
          <w:t>Australia</w:t>
        </w:r>
      </w:smartTag>
      <w:r w:rsidRPr="00F21CCF">
        <w:rPr>
          <w:sz w:val="22"/>
          <w:szCs w:val="22"/>
        </w:rPr>
        <w:t xml:space="preserve"> located in the Southern Indian Ocean about 4,000 km south-west of </w:t>
      </w:r>
      <w:smartTag w:uri="urn:schemas-microsoft-com:office:smarttags" w:element="place">
        <w:smartTag w:uri="urn:schemas-microsoft-com:office:smarttags" w:element="City">
          <w:r w:rsidRPr="00F21CCF">
            <w:rPr>
              <w:sz w:val="22"/>
              <w:szCs w:val="22"/>
            </w:rPr>
            <w:t>Perth</w:t>
          </w:r>
        </w:smartTag>
      </w:smartTag>
      <w:r w:rsidRPr="00F21CCF">
        <w:rPr>
          <w:sz w:val="22"/>
          <w:szCs w:val="22"/>
        </w:rPr>
        <w:t xml:space="preserve">. The islands lie within the Antarctic Convergence. The waters surrounding the islands out to 200 nautical miles are part of the Australian Fishing Zone which is managed by AFMA. </w:t>
      </w:r>
    </w:p>
    <w:p w:rsidR="00F21CCF" w:rsidRPr="00AE4824" w:rsidRDefault="00F21CCF" w:rsidP="00F21CCF">
      <w:pPr>
        <w:spacing w:before="120"/>
        <w:ind w:right="-1"/>
        <w:jc w:val="both"/>
        <w:rPr>
          <w:b/>
          <w:color w:val="000000"/>
          <w:sz w:val="22"/>
          <w:szCs w:val="22"/>
        </w:rPr>
      </w:pPr>
      <w:r w:rsidRPr="00AE4824">
        <w:rPr>
          <w:b/>
          <w:color w:val="000000"/>
          <w:sz w:val="22"/>
          <w:szCs w:val="22"/>
        </w:rPr>
        <w:t>The Direction</w:t>
      </w:r>
    </w:p>
    <w:p w:rsidR="00F21CCF" w:rsidRDefault="00F21CCF" w:rsidP="00F21CCF">
      <w:pPr>
        <w:pStyle w:val="BodyText3"/>
        <w:rPr>
          <w:sz w:val="22"/>
          <w:szCs w:val="22"/>
          <w:lang w:eastAsia="en-AU"/>
        </w:rPr>
      </w:pPr>
      <w:r>
        <w:rPr>
          <w:sz w:val="22"/>
          <w:szCs w:val="22"/>
          <w:lang w:eastAsia="en-AU"/>
        </w:rPr>
        <w:t xml:space="preserve">The </w:t>
      </w:r>
      <w:r w:rsidR="005872D5">
        <w:rPr>
          <w:sz w:val="22"/>
          <w:szCs w:val="22"/>
        </w:rPr>
        <w:t>Direction</w:t>
      </w:r>
      <w:r>
        <w:rPr>
          <w:sz w:val="22"/>
          <w:szCs w:val="22"/>
        </w:rPr>
        <w:t xml:space="preserve"> </w:t>
      </w:r>
      <w:r w:rsidRPr="00F21CCF">
        <w:rPr>
          <w:sz w:val="22"/>
          <w:szCs w:val="22"/>
          <w:lang w:eastAsia="en-AU"/>
        </w:rPr>
        <w:t xml:space="preserve">prohibits </w:t>
      </w:r>
      <w:r>
        <w:rPr>
          <w:sz w:val="22"/>
          <w:szCs w:val="22"/>
          <w:lang w:eastAsia="en-AU"/>
        </w:rPr>
        <w:t>targeting</w:t>
      </w:r>
      <w:r w:rsidRPr="00F21CCF">
        <w:rPr>
          <w:sz w:val="22"/>
          <w:szCs w:val="22"/>
          <w:lang w:eastAsia="en-AU"/>
        </w:rPr>
        <w:t xml:space="preserve"> mackerel </w:t>
      </w:r>
      <w:proofErr w:type="spellStart"/>
      <w:r w:rsidRPr="00F21CCF">
        <w:rPr>
          <w:sz w:val="22"/>
          <w:szCs w:val="22"/>
          <w:lang w:eastAsia="en-AU"/>
        </w:rPr>
        <w:t>icefish</w:t>
      </w:r>
      <w:proofErr w:type="spellEnd"/>
      <w:r w:rsidRPr="00F21CCF">
        <w:rPr>
          <w:sz w:val="22"/>
          <w:szCs w:val="22"/>
          <w:lang w:eastAsia="en-AU"/>
        </w:rPr>
        <w:t xml:space="preserve"> (</w:t>
      </w:r>
      <w:proofErr w:type="spellStart"/>
      <w:r w:rsidRPr="00F21CCF">
        <w:rPr>
          <w:i/>
          <w:iCs/>
          <w:sz w:val="22"/>
          <w:szCs w:val="22"/>
          <w:lang w:eastAsia="en-AU"/>
        </w:rPr>
        <w:t>Champsocephalus</w:t>
      </w:r>
      <w:proofErr w:type="spellEnd"/>
      <w:r w:rsidRPr="00F21CCF">
        <w:rPr>
          <w:i/>
          <w:iCs/>
          <w:sz w:val="22"/>
          <w:szCs w:val="22"/>
          <w:lang w:eastAsia="en-AU"/>
        </w:rPr>
        <w:t xml:space="preserve"> </w:t>
      </w:r>
      <w:proofErr w:type="spellStart"/>
      <w:r w:rsidRPr="00F21CCF">
        <w:rPr>
          <w:i/>
          <w:iCs/>
          <w:sz w:val="22"/>
          <w:szCs w:val="22"/>
          <w:lang w:eastAsia="en-AU"/>
        </w:rPr>
        <w:t>gunnari</w:t>
      </w:r>
      <w:proofErr w:type="spellEnd"/>
      <w:r w:rsidRPr="00F21CCF">
        <w:rPr>
          <w:sz w:val="22"/>
          <w:szCs w:val="22"/>
          <w:lang w:eastAsia="en-AU"/>
        </w:rPr>
        <w:t xml:space="preserve">) in any area of the Fishery outside of the Heard Island Plateau as defined in the Schedule to the Direction. This closure was recommended by the Commission for the Conservation of Antarctic Marine Living Resources because </w:t>
      </w:r>
      <w:r>
        <w:rPr>
          <w:sz w:val="22"/>
          <w:szCs w:val="22"/>
          <w:lang w:eastAsia="en-AU"/>
        </w:rPr>
        <w:t xml:space="preserve">mackerel </w:t>
      </w:r>
      <w:proofErr w:type="spellStart"/>
      <w:r>
        <w:rPr>
          <w:sz w:val="22"/>
          <w:szCs w:val="22"/>
          <w:lang w:eastAsia="en-AU"/>
        </w:rPr>
        <w:t>icefish</w:t>
      </w:r>
      <w:proofErr w:type="spellEnd"/>
      <w:r>
        <w:rPr>
          <w:sz w:val="22"/>
          <w:szCs w:val="22"/>
          <w:lang w:eastAsia="en-AU"/>
        </w:rPr>
        <w:t xml:space="preserve"> stocks are not considered sufficient to support commercial harvest</w:t>
      </w:r>
      <w:r w:rsidRPr="00F21CCF">
        <w:rPr>
          <w:sz w:val="22"/>
          <w:szCs w:val="22"/>
          <w:lang w:eastAsia="en-AU"/>
        </w:rPr>
        <w:t xml:space="preserve"> outside the Heard Island Plateau</w:t>
      </w:r>
      <w:r>
        <w:rPr>
          <w:sz w:val="22"/>
          <w:szCs w:val="22"/>
          <w:lang w:eastAsia="en-AU"/>
        </w:rPr>
        <w:t>.</w:t>
      </w:r>
      <w:bookmarkStart w:id="2" w:name="_GoBack"/>
      <w:bookmarkEnd w:id="2"/>
    </w:p>
    <w:p w:rsidR="000130F7" w:rsidRDefault="000130F7" w:rsidP="00F21CCF">
      <w:pPr>
        <w:pStyle w:val="BodyText3"/>
        <w:rPr>
          <w:rFonts w:ascii="Arial" w:hAnsi="Arial" w:cs="Arial"/>
          <w:lang w:eastAsia="en-AU"/>
        </w:rPr>
      </w:pPr>
      <w:r>
        <w:rPr>
          <w:sz w:val="22"/>
          <w:szCs w:val="22"/>
          <w:lang w:eastAsia="en-AU"/>
        </w:rPr>
        <w:t xml:space="preserve">The Direction revokes the </w:t>
      </w:r>
      <w:r w:rsidRPr="000130F7">
        <w:rPr>
          <w:i/>
          <w:sz w:val="22"/>
          <w:szCs w:val="22"/>
          <w:lang w:eastAsia="en-AU"/>
        </w:rPr>
        <w:t xml:space="preserve">Direction No. </w:t>
      </w:r>
      <w:proofErr w:type="gramStart"/>
      <w:r w:rsidRPr="000130F7">
        <w:rPr>
          <w:i/>
          <w:sz w:val="22"/>
          <w:szCs w:val="22"/>
          <w:lang w:eastAsia="en-AU"/>
        </w:rPr>
        <w:t>HIMIFD 10</w:t>
      </w:r>
      <w:r w:rsidR="00E325F4">
        <w:rPr>
          <w:i/>
          <w:sz w:val="22"/>
          <w:szCs w:val="22"/>
          <w:lang w:eastAsia="en-AU"/>
        </w:rPr>
        <w:t xml:space="preserve"> </w:t>
      </w:r>
      <w:r>
        <w:rPr>
          <w:sz w:val="22"/>
          <w:szCs w:val="22"/>
          <w:lang w:eastAsia="en-AU"/>
        </w:rPr>
        <w:t>(the P</w:t>
      </w:r>
      <w:r w:rsidRPr="000130F7">
        <w:rPr>
          <w:sz w:val="22"/>
          <w:szCs w:val="22"/>
          <w:lang w:eastAsia="en-AU"/>
        </w:rPr>
        <w:t>revious Direction).</w:t>
      </w:r>
      <w:proofErr w:type="gramEnd"/>
      <w:r>
        <w:rPr>
          <w:sz w:val="22"/>
          <w:szCs w:val="22"/>
          <w:lang w:eastAsia="en-AU"/>
        </w:rPr>
        <w:t xml:space="preserve">  The Direction continues the prohibition to targeting mackerel </w:t>
      </w:r>
      <w:proofErr w:type="spellStart"/>
      <w:r>
        <w:rPr>
          <w:sz w:val="22"/>
          <w:szCs w:val="22"/>
          <w:lang w:eastAsia="en-AU"/>
        </w:rPr>
        <w:t>icefish</w:t>
      </w:r>
      <w:proofErr w:type="spellEnd"/>
      <w:r>
        <w:rPr>
          <w:sz w:val="22"/>
          <w:szCs w:val="22"/>
          <w:lang w:eastAsia="en-AU"/>
        </w:rPr>
        <w:t xml:space="preserve"> contained within the Previous Direction.    </w:t>
      </w:r>
    </w:p>
    <w:p w:rsidR="00F21CCF" w:rsidRDefault="00F21CCF" w:rsidP="00F21CCF">
      <w:pPr>
        <w:pStyle w:val="BodyText3"/>
        <w:rPr>
          <w:rFonts w:ascii="Arial" w:hAnsi="Arial" w:cs="Arial"/>
          <w:lang w:eastAsia="en-AU"/>
        </w:rPr>
      </w:pPr>
    </w:p>
    <w:p w:rsidR="00F21CCF" w:rsidRDefault="00F21CCF" w:rsidP="00F21CCF">
      <w:pPr>
        <w:pStyle w:val="BodyText3"/>
        <w:spacing w:before="0"/>
        <w:ind w:right="0"/>
        <w:rPr>
          <w:b/>
          <w:sz w:val="22"/>
          <w:szCs w:val="22"/>
        </w:rPr>
      </w:pPr>
      <w:r w:rsidRPr="00D66D2F">
        <w:rPr>
          <w:b/>
          <w:sz w:val="22"/>
          <w:szCs w:val="22"/>
        </w:rPr>
        <w:t>Regulation Impact Statement</w:t>
      </w:r>
    </w:p>
    <w:p w:rsidR="00F21CCF" w:rsidRDefault="00F21CCF" w:rsidP="00F21CCF">
      <w:pPr>
        <w:pStyle w:val="BodyText3"/>
        <w:spacing w:before="0"/>
        <w:ind w:right="0"/>
        <w:rPr>
          <w:b/>
          <w:sz w:val="22"/>
          <w:szCs w:val="22"/>
        </w:rPr>
      </w:pPr>
    </w:p>
    <w:p w:rsidR="00F21CCF" w:rsidRPr="00F21CCF" w:rsidRDefault="00F21CCF" w:rsidP="00F21CCF">
      <w:pPr>
        <w:spacing w:after="220"/>
        <w:jc w:val="both"/>
        <w:rPr>
          <w:snapToGrid w:val="0"/>
          <w:kern w:val="20"/>
          <w:sz w:val="22"/>
          <w:szCs w:val="22"/>
        </w:rPr>
      </w:pPr>
      <w:r w:rsidRPr="00F21CCF">
        <w:rPr>
          <w:snapToGrid w:val="0"/>
          <w:kern w:val="20"/>
          <w:sz w:val="22"/>
          <w:szCs w:val="22"/>
        </w:rPr>
        <w:t xml:space="preserve">The Office of Best Practice Regulation advised that a Regulation Impact Statement was not required for this Direction (OBPR ID: </w:t>
      </w:r>
      <w:r w:rsidR="00E35499" w:rsidRPr="00E35499">
        <w:rPr>
          <w:snapToGrid w:val="0"/>
          <w:kern w:val="20"/>
          <w:sz w:val="22"/>
          <w:szCs w:val="22"/>
        </w:rPr>
        <w:t>16891</w:t>
      </w:r>
      <w:r w:rsidRPr="00F21CCF">
        <w:rPr>
          <w:snapToGrid w:val="0"/>
          <w:kern w:val="20"/>
          <w:sz w:val="22"/>
          <w:szCs w:val="22"/>
        </w:rPr>
        <w:t>)</w:t>
      </w:r>
    </w:p>
    <w:p w:rsidR="00F21CCF" w:rsidRPr="00AD5C47" w:rsidRDefault="00F21CCF" w:rsidP="00F21CCF">
      <w:pPr>
        <w:spacing w:before="100" w:beforeAutospacing="1" w:after="100" w:afterAutospacing="1"/>
        <w:rPr>
          <w:b/>
          <w:sz w:val="22"/>
          <w:szCs w:val="22"/>
          <w:lang w:val="en-US"/>
        </w:rPr>
      </w:pPr>
      <w:r w:rsidRPr="00AD5C47">
        <w:rPr>
          <w:b/>
          <w:sz w:val="22"/>
          <w:szCs w:val="22"/>
          <w:lang w:val="en-US"/>
        </w:rPr>
        <w:t xml:space="preserve">Statement of compatibility prepared in accordance with Part 3 of the </w:t>
      </w:r>
      <w:r w:rsidRPr="00AD5C47">
        <w:rPr>
          <w:b/>
          <w:i/>
          <w:sz w:val="22"/>
          <w:szCs w:val="22"/>
          <w:lang w:val="en-US"/>
        </w:rPr>
        <w:t xml:space="preserve">Human Rights (Parliamentary Scrutiny) Act 2011 </w:t>
      </w:r>
    </w:p>
    <w:p w:rsidR="00F21CCF" w:rsidRDefault="00F21CCF" w:rsidP="000130F7">
      <w:pPr>
        <w:keepNext/>
        <w:spacing w:before="100" w:beforeAutospacing="1" w:after="100" w:afterAutospacing="1"/>
        <w:rPr>
          <w:b/>
          <w:sz w:val="22"/>
          <w:szCs w:val="22"/>
        </w:rPr>
      </w:pPr>
      <w:r w:rsidRPr="00AD5C47">
        <w:rPr>
          <w:sz w:val="22"/>
          <w:szCs w:val="22"/>
          <w:lang w:eastAsia="en-AU"/>
        </w:rPr>
        <w:t xml:space="preserve">AFMA assesses under section 3 of the </w:t>
      </w:r>
      <w:r w:rsidRPr="00AD5C47">
        <w:rPr>
          <w:i/>
          <w:iCs/>
          <w:sz w:val="22"/>
          <w:szCs w:val="22"/>
          <w:lang w:eastAsia="en-AU"/>
        </w:rPr>
        <w:t xml:space="preserve">Human Rights (Parliamentary Scrutiny) Act 2011 </w:t>
      </w:r>
      <w:r w:rsidRPr="00AD5C47">
        <w:rPr>
          <w:iCs/>
          <w:sz w:val="22"/>
          <w:szCs w:val="22"/>
          <w:lang w:eastAsia="en-AU"/>
        </w:rPr>
        <w:t>that this legislative instrument is compatible with human rights</w:t>
      </w:r>
      <w:r w:rsidRPr="00AD5C47">
        <w:rPr>
          <w:sz w:val="22"/>
          <w:szCs w:val="22"/>
          <w:lang w:eastAsia="en-AU"/>
        </w:rPr>
        <w:t xml:space="preserve">. AFMA’s Statement of Compatibility is attached as a supporting document.  </w:t>
      </w:r>
    </w:p>
    <w:p w:rsidR="00F21CCF" w:rsidRPr="00AE4824" w:rsidRDefault="00F21CCF" w:rsidP="00F21CCF">
      <w:pPr>
        <w:spacing w:before="240" w:after="60"/>
        <w:jc w:val="both"/>
        <w:rPr>
          <w:b/>
          <w:sz w:val="22"/>
          <w:szCs w:val="22"/>
        </w:rPr>
      </w:pPr>
      <w:r w:rsidRPr="00AE4824">
        <w:rPr>
          <w:b/>
          <w:sz w:val="22"/>
          <w:szCs w:val="22"/>
        </w:rPr>
        <w:t>Consultation</w:t>
      </w:r>
    </w:p>
    <w:p w:rsidR="000130F7" w:rsidRPr="000130F7" w:rsidRDefault="000130F7" w:rsidP="000130F7">
      <w:pPr>
        <w:pStyle w:val="acthead5"/>
        <w:rPr>
          <w:sz w:val="22"/>
          <w:szCs w:val="22"/>
        </w:rPr>
      </w:pPr>
      <w:bookmarkStart w:id="3" w:name="_Toc382831863"/>
      <w:r>
        <w:rPr>
          <w:rStyle w:val="charsectno"/>
          <w:sz w:val="22"/>
          <w:szCs w:val="22"/>
        </w:rPr>
        <w:t xml:space="preserve">In accordance with </w:t>
      </w:r>
      <w:r w:rsidRPr="000130F7">
        <w:rPr>
          <w:rStyle w:val="charsectno"/>
          <w:sz w:val="22"/>
          <w:szCs w:val="22"/>
        </w:rPr>
        <w:t>Section 41A</w:t>
      </w:r>
      <w:r w:rsidRPr="000130F7">
        <w:rPr>
          <w:sz w:val="22"/>
          <w:szCs w:val="22"/>
        </w:rPr>
        <w:t xml:space="preserve"> of the </w:t>
      </w:r>
      <w:bookmarkEnd w:id="3"/>
      <w:r>
        <w:rPr>
          <w:sz w:val="22"/>
          <w:szCs w:val="22"/>
        </w:rPr>
        <w:t>Management Act, AFMA consulted</w:t>
      </w:r>
      <w:r w:rsidRPr="000130F7">
        <w:rPr>
          <w:sz w:val="22"/>
          <w:szCs w:val="22"/>
        </w:rPr>
        <w:t xml:space="preserve"> with the Sub-Antarctic Fisheries Management Advisory Committee (</w:t>
      </w:r>
      <w:proofErr w:type="spellStart"/>
      <w:r w:rsidRPr="000130F7">
        <w:rPr>
          <w:sz w:val="22"/>
          <w:szCs w:val="22"/>
        </w:rPr>
        <w:t>SouthMAC</w:t>
      </w:r>
      <w:proofErr w:type="spellEnd"/>
      <w:r w:rsidRPr="000130F7">
        <w:rPr>
          <w:sz w:val="22"/>
          <w:szCs w:val="22"/>
        </w:rPr>
        <w:t xml:space="preserve">) on the </w:t>
      </w:r>
      <w:r>
        <w:rPr>
          <w:sz w:val="22"/>
          <w:szCs w:val="22"/>
        </w:rPr>
        <w:t xml:space="preserve">Direction.  </w:t>
      </w:r>
      <w:proofErr w:type="spellStart"/>
      <w:r>
        <w:rPr>
          <w:sz w:val="22"/>
          <w:szCs w:val="22"/>
        </w:rPr>
        <w:t>SouthMAC</w:t>
      </w:r>
      <w:proofErr w:type="spellEnd"/>
      <w:r>
        <w:rPr>
          <w:sz w:val="22"/>
          <w:szCs w:val="22"/>
        </w:rPr>
        <w:t xml:space="preserve"> was</w:t>
      </w:r>
      <w:r w:rsidRPr="000130F7">
        <w:rPr>
          <w:sz w:val="22"/>
          <w:szCs w:val="22"/>
        </w:rPr>
        <w:t xml:space="preserve"> supportive of </w:t>
      </w:r>
      <w:r>
        <w:rPr>
          <w:sz w:val="22"/>
          <w:szCs w:val="22"/>
        </w:rPr>
        <w:t>the Direction and its contents.</w:t>
      </w:r>
    </w:p>
    <w:p w:rsidR="000130F7" w:rsidRDefault="000130F7" w:rsidP="00F21CCF">
      <w:pPr>
        <w:spacing w:before="240"/>
        <w:ind w:right="-1"/>
        <w:jc w:val="both"/>
        <w:rPr>
          <w:sz w:val="22"/>
          <w:szCs w:val="22"/>
        </w:rPr>
      </w:pPr>
    </w:p>
    <w:p w:rsidR="000130F7" w:rsidRDefault="000130F7" w:rsidP="00F21CCF">
      <w:pPr>
        <w:spacing w:before="240"/>
        <w:ind w:right="-1"/>
        <w:jc w:val="both"/>
        <w:rPr>
          <w:sz w:val="22"/>
          <w:szCs w:val="22"/>
        </w:rPr>
      </w:pPr>
    </w:p>
    <w:p w:rsidR="000130F7" w:rsidRDefault="000130F7" w:rsidP="00F21CCF">
      <w:pPr>
        <w:spacing w:before="240"/>
        <w:ind w:right="-1"/>
        <w:jc w:val="both"/>
        <w:rPr>
          <w:sz w:val="22"/>
          <w:szCs w:val="22"/>
        </w:rPr>
      </w:pPr>
    </w:p>
    <w:p w:rsidR="000130F7" w:rsidRDefault="000130F7" w:rsidP="00F21CCF">
      <w:pPr>
        <w:spacing w:before="240"/>
        <w:ind w:right="-1"/>
        <w:jc w:val="both"/>
        <w:rPr>
          <w:sz w:val="22"/>
          <w:szCs w:val="22"/>
        </w:rPr>
      </w:pPr>
    </w:p>
    <w:p w:rsidR="00F21CCF" w:rsidRPr="00AE4824" w:rsidRDefault="00F21CCF" w:rsidP="00F21CCF">
      <w:pPr>
        <w:spacing w:before="240"/>
        <w:ind w:right="-1"/>
        <w:jc w:val="both"/>
        <w:rPr>
          <w:sz w:val="22"/>
          <w:szCs w:val="22"/>
        </w:rPr>
      </w:pPr>
      <w:r w:rsidRPr="00AE4824">
        <w:rPr>
          <w:sz w:val="22"/>
          <w:szCs w:val="22"/>
        </w:rPr>
        <w:t>Details of the Direction are set out below:</w:t>
      </w:r>
    </w:p>
    <w:p w:rsidR="00F21CCF" w:rsidRPr="00AE4824" w:rsidRDefault="00F21CCF" w:rsidP="00F21CCF">
      <w:pPr>
        <w:spacing w:before="120"/>
        <w:ind w:left="1440" w:right="-1" w:hanging="1440"/>
        <w:jc w:val="both"/>
        <w:rPr>
          <w:sz w:val="22"/>
          <w:szCs w:val="22"/>
        </w:rPr>
      </w:pPr>
      <w:r w:rsidRPr="00AE4824">
        <w:rPr>
          <w:b/>
          <w:i/>
          <w:sz w:val="22"/>
          <w:szCs w:val="22"/>
        </w:rPr>
        <w:t>Clause 1</w:t>
      </w:r>
      <w:r w:rsidRPr="00AE4824">
        <w:rPr>
          <w:b/>
          <w:i/>
          <w:sz w:val="22"/>
          <w:szCs w:val="22"/>
        </w:rPr>
        <w:tab/>
      </w:r>
      <w:r>
        <w:rPr>
          <w:sz w:val="22"/>
          <w:szCs w:val="22"/>
        </w:rPr>
        <w:t>P</w:t>
      </w:r>
      <w:r w:rsidRPr="00AE4824">
        <w:rPr>
          <w:sz w:val="22"/>
          <w:szCs w:val="22"/>
        </w:rPr>
        <w:t>rovides for the Direction to be cited as</w:t>
      </w:r>
      <w:r>
        <w:rPr>
          <w:sz w:val="22"/>
          <w:szCs w:val="22"/>
        </w:rPr>
        <w:t xml:space="preserve"> the</w:t>
      </w:r>
      <w:r w:rsidRPr="00AE4824">
        <w:rPr>
          <w:sz w:val="22"/>
          <w:szCs w:val="22"/>
        </w:rPr>
        <w:t xml:space="preserve"> </w:t>
      </w:r>
      <w:r w:rsidR="000130F7">
        <w:rPr>
          <w:i/>
          <w:sz w:val="22"/>
          <w:szCs w:val="22"/>
          <w:lang w:eastAsia="en-AU"/>
        </w:rPr>
        <w:t>Heard Island and McDonald Islands</w:t>
      </w:r>
      <w:r w:rsidR="000130F7" w:rsidRPr="00853DF6">
        <w:rPr>
          <w:i/>
          <w:sz w:val="22"/>
          <w:szCs w:val="22"/>
          <w:lang w:eastAsia="en-AU"/>
        </w:rPr>
        <w:t xml:space="preserve"> Fishery (Closures)</w:t>
      </w:r>
      <w:r w:rsidR="000130F7">
        <w:rPr>
          <w:i/>
          <w:sz w:val="22"/>
          <w:szCs w:val="22"/>
        </w:rPr>
        <w:t xml:space="preserve"> Direction No. 1 2014</w:t>
      </w:r>
      <w:r w:rsidRPr="00AE4824">
        <w:rPr>
          <w:sz w:val="22"/>
          <w:szCs w:val="22"/>
        </w:rPr>
        <w:t>.</w:t>
      </w:r>
    </w:p>
    <w:p w:rsidR="00F21CCF" w:rsidRPr="00AE4824" w:rsidRDefault="00F21CCF" w:rsidP="00F21CCF">
      <w:pPr>
        <w:spacing w:before="120"/>
        <w:ind w:left="1418" w:right="-1" w:hanging="1418"/>
        <w:jc w:val="both"/>
        <w:rPr>
          <w:sz w:val="22"/>
          <w:szCs w:val="22"/>
        </w:rPr>
      </w:pPr>
      <w:r w:rsidRPr="00AE4824">
        <w:rPr>
          <w:b/>
          <w:i/>
          <w:sz w:val="22"/>
          <w:szCs w:val="22"/>
        </w:rPr>
        <w:t>Clause 2</w:t>
      </w:r>
      <w:r w:rsidRPr="00AE4824">
        <w:rPr>
          <w:sz w:val="22"/>
          <w:szCs w:val="22"/>
        </w:rPr>
        <w:t xml:space="preserve"> </w:t>
      </w:r>
      <w:r w:rsidRPr="00AE4824">
        <w:rPr>
          <w:sz w:val="22"/>
          <w:szCs w:val="22"/>
        </w:rPr>
        <w:tab/>
      </w:r>
      <w:r w:rsidRPr="0092602F">
        <w:rPr>
          <w:sz w:val="22"/>
          <w:szCs w:val="22"/>
        </w:rPr>
        <w:t xml:space="preserve">Provides that the </w:t>
      </w:r>
      <w:r>
        <w:rPr>
          <w:sz w:val="22"/>
          <w:szCs w:val="22"/>
        </w:rPr>
        <w:t>Direction</w:t>
      </w:r>
      <w:r w:rsidRPr="0092602F">
        <w:rPr>
          <w:sz w:val="22"/>
          <w:szCs w:val="22"/>
        </w:rPr>
        <w:t xml:space="preserve"> commences </w:t>
      </w:r>
      <w:r>
        <w:rPr>
          <w:sz w:val="22"/>
          <w:szCs w:val="22"/>
        </w:rPr>
        <w:t xml:space="preserve">on </w:t>
      </w:r>
      <w:r w:rsidRPr="0092602F">
        <w:rPr>
          <w:sz w:val="22"/>
          <w:szCs w:val="22"/>
        </w:rPr>
        <w:t>the day after registration</w:t>
      </w:r>
      <w:r>
        <w:rPr>
          <w:sz w:val="22"/>
          <w:szCs w:val="22"/>
        </w:rPr>
        <w:t xml:space="preserve"> on the Federal Register of Legislative Instruments</w:t>
      </w:r>
      <w:r w:rsidRPr="0092602F">
        <w:rPr>
          <w:sz w:val="22"/>
          <w:szCs w:val="22"/>
        </w:rPr>
        <w:t>.</w:t>
      </w:r>
    </w:p>
    <w:p w:rsidR="00F21CCF" w:rsidRPr="00AE4824" w:rsidRDefault="00F21CCF" w:rsidP="00F21CCF">
      <w:pPr>
        <w:spacing w:before="120"/>
        <w:ind w:right="-1"/>
        <w:jc w:val="both"/>
        <w:rPr>
          <w:sz w:val="22"/>
          <w:szCs w:val="22"/>
        </w:rPr>
      </w:pPr>
      <w:r w:rsidRPr="00AE4824">
        <w:rPr>
          <w:b/>
          <w:i/>
          <w:sz w:val="22"/>
          <w:szCs w:val="22"/>
        </w:rPr>
        <w:t>Clause 3</w:t>
      </w:r>
      <w:r w:rsidRPr="00AE4824">
        <w:rPr>
          <w:sz w:val="22"/>
          <w:szCs w:val="22"/>
        </w:rPr>
        <w:t xml:space="preserve"> </w:t>
      </w:r>
      <w:r w:rsidRPr="00AE4824">
        <w:rPr>
          <w:sz w:val="22"/>
          <w:szCs w:val="22"/>
        </w:rPr>
        <w:tab/>
      </w:r>
      <w:r>
        <w:rPr>
          <w:sz w:val="22"/>
          <w:szCs w:val="22"/>
        </w:rPr>
        <w:t>P</w:t>
      </w:r>
      <w:r w:rsidRPr="00D66D2F">
        <w:rPr>
          <w:sz w:val="22"/>
          <w:szCs w:val="22"/>
        </w:rPr>
        <w:t xml:space="preserve">rovides </w:t>
      </w:r>
      <w:r>
        <w:rPr>
          <w:sz w:val="22"/>
          <w:szCs w:val="22"/>
        </w:rPr>
        <w:t xml:space="preserve">that </w:t>
      </w:r>
      <w:r w:rsidRPr="00D66D2F">
        <w:rPr>
          <w:sz w:val="22"/>
          <w:szCs w:val="22"/>
        </w:rPr>
        <w:t xml:space="preserve">the Direction </w:t>
      </w:r>
      <w:r w:rsidR="004A756F">
        <w:rPr>
          <w:sz w:val="22"/>
          <w:szCs w:val="22"/>
        </w:rPr>
        <w:t>ceases on 22</w:t>
      </w:r>
      <w:r>
        <w:rPr>
          <w:sz w:val="22"/>
          <w:szCs w:val="22"/>
        </w:rPr>
        <w:t xml:space="preserve"> </w:t>
      </w:r>
      <w:r w:rsidR="004A756F">
        <w:rPr>
          <w:sz w:val="22"/>
          <w:szCs w:val="22"/>
        </w:rPr>
        <w:t>April</w:t>
      </w:r>
      <w:r>
        <w:rPr>
          <w:sz w:val="22"/>
          <w:szCs w:val="22"/>
        </w:rPr>
        <w:t xml:space="preserve"> 201</w:t>
      </w:r>
      <w:r w:rsidR="004A756F">
        <w:rPr>
          <w:sz w:val="22"/>
          <w:szCs w:val="22"/>
        </w:rPr>
        <w:t>9</w:t>
      </w:r>
      <w:r>
        <w:rPr>
          <w:sz w:val="22"/>
          <w:szCs w:val="22"/>
        </w:rPr>
        <w:t xml:space="preserve"> unless earlier revoked</w:t>
      </w:r>
      <w:r w:rsidRPr="00D66D2F">
        <w:rPr>
          <w:sz w:val="22"/>
          <w:szCs w:val="22"/>
        </w:rPr>
        <w:t>.</w:t>
      </w:r>
    </w:p>
    <w:p w:rsidR="00F21CCF" w:rsidRPr="00AE4824" w:rsidRDefault="00F21CCF" w:rsidP="00F21CCF">
      <w:pPr>
        <w:spacing w:before="120"/>
        <w:ind w:left="1418" w:right="-1" w:hanging="1418"/>
        <w:jc w:val="both"/>
        <w:rPr>
          <w:sz w:val="22"/>
          <w:szCs w:val="22"/>
        </w:rPr>
      </w:pPr>
      <w:r w:rsidRPr="00AE4824">
        <w:rPr>
          <w:b/>
          <w:i/>
          <w:sz w:val="22"/>
          <w:szCs w:val="22"/>
        </w:rPr>
        <w:t xml:space="preserve">Clause 4 </w:t>
      </w:r>
      <w:r w:rsidRPr="00AE4824">
        <w:rPr>
          <w:b/>
          <w:i/>
          <w:sz w:val="22"/>
          <w:szCs w:val="22"/>
        </w:rPr>
        <w:tab/>
      </w:r>
      <w:r w:rsidR="004A756F" w:rsidRPr="004A756F">
        <w:rPr>
          <w:sz w:val="22"/>
          <w:szCs w:val="22"/>
        </w:rPr>
        <w:t>Defines terms used within the Direction and p</w:t>
      </w:r>
      <w:r w:rsidRPr="0092602F">
        <w:rPr>
          <w:sz w:val="22"/>
          <w:szCs w:val="22"/>
        </w:rPr>
        <w:t xml:space="preserve">rovides that a term used in the </w:t>
      </w:r>
      <w:r>
        <w:rPr>
          <w:sz w:val="22"/>
          <w:szCs w:val="22"/>
        </w:rPr>
        <w:t>Direction</w:t>
      </w:r>
      <w:r w:rsidRPr="0092602F">
        <w:rPr>
          <w:sz w:val="22"/>
          <w:szCs w:val="22"/>
        </w:rPr>
        <w:t xml:space="preserve"> and in the Plan has the same meaning in the </w:t>
      </w:r>
      <w:r>
        <w:rPr>
          <w:sz w:val="22"/>
          <w:szCs w:val="22"/>
        </w:rPr>
        <w:t>Direction</w:t>
      </w:r>
      <w:r w:rsidRPr="0092602F">
        <w:rPr>
          <w:sz w:val="22"/>
          <w:szCs w:val="22"/>
        </w:rPr>
        <w:t xml:space="preserve"> as in the Plan</w:t>
      </w:r>
      <w:r w:rsidRPr="0092602F">
        <w:rPr>
          <w:i/>
          <w:sz w:val="22"/>
          <w:szCs w:val="22"/>
        </w:rPr>
        <w:t>.</w:t>
      </w:r>
    </w:p>
    <w:p w:rsidR="00F21CCF" w:rsidRPr="00AE4824" w:rsidRDefault="00F21CCF" w:rsidP="00F21CCF">
      <w:pPr>
        <w:spacing w:before="120"/>
        <w:ind w:left="1418" w:right="-1" w:hanging="1418"/>
        <w:jc w:val="both"/>
        <w:rPr>
          <w:sz w:val="22"/>
          <w:szCs w:val="22"/>
        </w:rPr>
      </w:pPr>
      <w:r w:rsidRPr="00AE4824">
        <w:rPr>
          <w:b/>
          <w:i/>
          <w:sz w:val="22"/>
          <w:szCs w:val="22"/>
        </w:rPr>
        <w:t>Clause 5</w:t>
      </w:r>
      <w:r w:rsidRPr="00AE4824">
        <w:rPr>
          <w:sz w:val="22"/>
          <w:szCs w:val="22"/>
        </w:rPr>
        <w:t xml:space="preserve"> </w:t>
      </w:r>
      <w:r w:rsidRPr="00AE4824">
        <w:rPr>
          <w:sz w:val="22"/>
          <w:szCs w:val="22"/>
        </w:rPr>
        <w:tab/>
      </w:r>
      <w:r>
        <w:rPr>
          <w:sz w:val="22"/>
          <w:szCs w:val="22"/>
        </w:rPr>
        <w:t>S</w:t>
      </w:r>
      <w:r w:rsidRPr="00D66D2F">
        <w:rPr>
          <w:sz w:val="22"/>
          <w:szCs w:val="22"/>
        </w:rPr>
        <w:t>tates to whom the Direction applies.</w:t>
      </w:r>
    </w:p>
    <w:p w:rsidR="00F21CCF" w:rsidRPr="00AE4824" w:rsidRDefault="00F21CCF" w:rsidP="00F21CCF">
      <w:pPr>
        <w:spacing w:before="120"/>
        <w:ind w:left="1418" w:right="-1" w:hanging="1418"/>
        <w:jc w:val="both"/>
        <w:rPr>
          <w:sz w:val="22"/>
          <w:szCs w:val="22"/>
        </w:rPr>
      </w:pPr>
      <w:r w:rsidRPr="00AE4824">
        <w:rPr>
          <w:b/>
          <w:i/>
          <w:sz w:val="22"/>
          <w:szCs w:val="22"/>
        </w:rPr>
        <w:t>Clause 6</w:t>
      </w:r>
      <w:r w:rsidRPr="00AE4824">
        <w:rPr>
          <w:sz w:val="22"/>
          <w:szCs w:val="22"/>
        </w:rPr>
        <w:t xml:space="preserve"> </w:t>
      </w:r>
      <w:r w:rsidRPr="00AE4824">
        <w:rPr>
          <w:sz w:val="22"/>
          <w:szCs w:val="22"/>
        </w:rPr>
        <w:tab/>
      </w:r>
      <w:r>
        <w:rPr>
          <w:sz w:val="22"/>
          <w:szCs w:val="22"/>
        </w:rPr>
        <w:t>P</w:t>
      </w:r>
      <w:r w:rsidRPr="00AE4824">
        <w:rPr>
          <w:sz w:val="22"/>
          <w:szCs w:val="22"/>
        </w:rPr>
        <w:t xml:space="preserve">rohibits </w:t>
      </w:r>
      <w:r w:rsidR="004A756F">
        <w:rPr>
          <w:sz w:val="22"/>
          <w:szCs w:val="22"/>
        </w:rPr>
        <w:t xml:space="preserve">the targeting of mackerel </w:t>
      </w:r>
      <w:proofErr w:type="spellStart"/>
      <w:r w:rsidR="004A756F">
        <w:rPr>
          <w:sz w:val="22"/>
          <w:szCs w:val="22"/>
        </w:rPr>
        <w:t>icefish</w:t>
      </w:r>
      <w:proofErr w:type="spellEnd"/>
      <w:r w:rsidR="004A756F">
        <w:rPr>
          <w:sz w:val="22"/>
          <w:szCs w:val="22"/>
        </w:rPr>
        <w:t xml:space="preserve"> outside of the area prescribed in Schedule 1</w:t>
      </w:r>
      <w:r w:rsidRPr="00AE4824">
        <w:rPr>
          <w:sz w:val="22"/>
          <w:szCs w:val="22"/>
        </w:rPr>
        <w:t xml:space="preserve">.  </w:t>
      </w:r>
    </w:p>
    <w:p w:rsidR="00F21CCF" w:rsidRPr="00AE4824" w:rsidRDefault="004A756F" w:rsidP="00F21CCF">
      <w:pPr>
        <w:tabs>
          <w:tab w:val="left" w:pos="1418"/>
        </w:tabs>
        <w:spacing w:before="120"/>
        <w:ind w:left="1418" w:right="-1" w:hanging="1418"/>
        <w:jc w:val="both"/>
        <w:rPr>
          <w:sz w:val="22"/>
          <w:szCs w:val="22"/>
        </w:rPr>
      </w:pPr>
      <w:r>
        <w:rPr>
          <w:b/>
          <w:i/>
          <w:sz w:val="22"/>
          <w:szCs w:val="22"/>
        </w:rPr>
        <w:t>Clause 7</w:t>
      </w:r>
      <w:r w:rsidR="00F21CCF" w:rsidRPr="00AE4824">
        <w:rPr>
          <w:sz w:val="22"/>
          <w:szCs w:val="22"/>
        </w:rPr>
        <w:tab/>
      </w:r>
      <w:r w:rsidR="00F21CCF">
        <w:rPr>
          <w:sz w:val="22"/>
          <w:szCs w:val="22"/>
        </w:rPr>
        <w:t xml:space="preserve">Revokes the </w:t>
      </w:r>
      <w:r w:rsidRPr="000130F7">
        <w:rPr>
          <w:i/>
          <w:sz w:val="22"/>
          <w:szCs w:val="22"/>
          <w:lang w:eastAsia="en-AU"/>
        </w:rPr>
        <w:t xml:space="preserve">Direction No. HIMIFD 10 </w:t>
      </w:r>
      <w:r w:rsidR="00F21CCF">
        <w:rPr>
          <w:sz w:val="22"/>
          <w:szCs w:val="22"/>
        </w:rPr>
        <w:t>f</w:t>
      </w:r>
      <w:r w:rsidR="00F21CCF" w:rsidRPr="004259C6">
        <w:rPr>
          <w:sz w:val="22"/>
          <w:szCs w:val="22"/>
        </w:rPr>
        <w:t>r</w:t>
      </w:r>
      <w:r w:rsidR="00F21CCF">
        <w:rPr>
          <w:sz w:val="22"/>
          <w:szCs w:val="22"/>
        </w:rPr>
        <w:t>o</w:t>
      </w:r>
      <w:r w:rsidR="00F21CCF" w:rsidRPr="004259C6">
        <w:rPr>
          <w:sz w:val="22"/>
          <w:szCs w:val="22"/>
        </w:rPr>
        <w:t>m the date of commencement of the Direction.</w:t>
      </w:r>
    </w:p>
    <w:p w:rsidR="00F21CCF" w:rsidRPr="00AE4824" w:rsidRDefault="00F21CCF" w:rsidP="00F21CCF">
      <w:pPr>
        <w:tabs>
          <w:tab w:val="left" w:pos="1418"/>
        </w:tabs>
        <w:spacing w:before="120"/>
        <w:ind w:left="1418" w:right="-1" w:hanging="1418"/>
        <w:jc w:val="both"/>
        <w:rPr>
          <w:sz w:val="22"/>
          <w:szCs w:val="22"/>
        </w:rPr>
      </w:pPr>
    </w:p>
    <w:p w:rsidR="00F21CCF" w:rsidRPr="00AE4824" w:rsidRDefault="00E325F4" w:rsidP="00F21CCF">
      <w:pPr>
        <w:spacing w:before="120"/>
        <w:ind w:right="-1"/>
        <w:jc w:val="both"/>
        <w:rPr>
          <w:sz w:val="22"/>
          <w:szCs w:val="22"/>
        </w:rPr>
      </w:pPr>
      <w:r>
        <w:rPr>
          <w:b/>
          <w:i/>
          <w:sz w:val="22"/>
          <w:szCs w:val="22"/>
        </w:rPr>
        <w:t>Schedule</w:t>
      </w:r>
      <w:r w:rsidR="004A756F">
        <w:rPr>
          <w:b/>
          <w:i/>
          <w:sz w:val="22"/>
          <w:szCs w:val="22"/>
        </w:rPr>
        <w:t xml:space="preserve"> 1 </w:t>
      </w:r>
      <w:r w:rsidR="00F21CCF" w:rsidRPr="00AE4824">
        <w:rPr>
          <w:b/>
          <w:i/>
          <w:sz w:val="22"/>
          <w:szCs w:val="22"/>
        </w:rPr>
        <w:tab/>
      </w:r>
      <w:r w:rsidR="00F21CCF">
        <w:rPr>
          <w:sz w:val="22"/>
          <w:szCs w:val="22"/>
        </w:rPr>
        <w:t>D</w:t>
      </w:r>
      <w:r w:rsidR="00F21CCF" w:rsidRPr="00AE4824">
        <w:rPr>
          <w:sz w:val="22"/>
          <w:szCs w:val="22"/>
        </w:rPr>
        <w:t>escribe</w:t>
      </w:r>
      <w:r w:rsidR="004A756F">
        <w:rPr>
          <w:sz w:val="22"/>
          <w:szCs w:val="22"/>
        </w:rPr>
        <w:t>s the area</w:t>
      </w:r>
      <w:r w:rsidR="00F21CCF" w:rsidRPr="00AE4824">
        <w:rPr>
          <w:sz w:val="22"/>
          <w:szCs w:val="22"/>
        </w:rPr>
        <w:t xml:space="preserve"> closed to fishing referred to in clause 6.</w:t>
      </w:r>
    </w:p>
    <w:p w:rsidR="00F21CCF" w:rsidRPr="00AE4824" w:rsidRDefault="00F21CCF" w:rsidP="00F21CCF">
      <w:pPr>
        <w:spacing w:before="120"/>
        <w:ind w:left="1701" w:right="-1" w:hanging="1701"/>
        <w:jc w:val="both"/>
        <w:rPr>
          <w:sz w:val="22"/>
          <w:szCs w:val="22"/>
        </w:rPr>
      </w:pPr>
    </w:p>
    <w:p w:rsidR="00F21CCF" w:rsidRPr="00AE4824" w:rsidRDefault="00F21CCF" w:rsidP="00F21CCF">
      <w:pPr>
        <w:spacing w:before="120"/>
        <w:ind w:left="2127" w:hanging="2127"/>
        <w:jc w:val="both"/>
        <w:rPr>
          <w:sz w:val="22"/>
          <w:szCs w:val="22"/>
        </w:rPr>
      </w:pPr>
    </w:p>
    <w:p w:rsidR="00F21CCF" w:rsidRPr="00AE4824" w:rsidRDefault="00F21CCF" w:rsidP="00F21CCF">
      <w:pPr>
        <w:rPr>
          <w:b/>
          <w:sz w:val="22"/>
          <w:szCs w:val="22"/>
        </w:rPr>
      </w:pPr>
    </w:p>
    <w:p w:rsidR="00F21CCF" w:rsidRDefault="00F21CCF" w:rsidP="00F21CCF"/>
    <w:p w:rsidR="00F21CCF" w:rsidRDefault="00F21CCF" w:rsidP="00F21CCF"/>
    <w:p w:rsidR="00FE07CE" w:rsidRDefault="00FE07CE"/>
    <w:sectPr w:rsidR="00FE07CE" w:rsidSect="00A70AA7">
      <w:footerReference w:type="default" r:id="rId7"/>
      <w:pgSz w:w="11906" w:h="16838"/>
      <w:pgMar w:top="851" w:right="1134" w:bottom="851" w:left="1134"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FFF" w:rsidRDefault="00E325F4">
      <w:r>
        <w:separator/>
      </w:r>
    </w:p>
  </w:endnote>
  <w:endnote w:type="continuationSeparator" w:id="0">
    <w:p w:rsidR="00F21FFF" w:rsidRDefault="00E3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13978"/>
      <w:docPartObj>
        <w:docPartGallery w:val="Page Numbers (Bottom of Page)"/>
        <w:docPartUnique/>
      </w:docPartObj>
    </w:sdtPr>
    <w:sdtEndPr>
      <w:rPr>
        <w:noProof/>
      </w:rPr>
    </w:sdtEndPr>
    <w:sdtContent>
      <w:p w:rsidR="004259C6" w:rsidRDefault="004A756F">
        <w:pPr>
          <w:pStyle w:val="Footer"/>
          <w:jc w:val="center"/>
        </w:pPr>
        <w:r>
          <w:fldChar w:fldCharType="begin"/>
        </w:r>
        <w:r>
          <w:instrText xml:space="preserve"> PAGE   \* MERGEFORMAT </w:instrText>
        </w:r>
        <w:r>
          <w:fldChar w:fldCharType="separate"/>
        </w:r>
        <w:r w:rsidR="00E35499">
          <w:rPr>
            <w:noProof/>
          </w:rPr>
          <w:t>1</w:t>
        </w:r>
        <w:r>
          <w:rPr>
            <w:noProof/>
          </w:rPr>
          <w:fldChar w:fldCharType="end"/>
        </w:r>
      </w:p>
    </w:sdtContent>
  </w:sdt>
  <w:p w:rsidR="004259C6" w:rsidRDefault="00E3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FFF" w:rsidRDefault="00E325F4">
      <w:r>
        <w:separator/>
      </w:r>
    </w:p>
  </w:footnote>
  <w:footnote w:type="continuationSeparator" w:id="0">
    <w:p w:rsidR="00F21FFF" w:rsidRDefault="00E3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CF"/>
    <w:rsid w:val="000130F7"/>
    <w:rsid w:val="004A756F"/>
    <w:rsid w:val="005872D5"/>
    <w:rsid w:val="00E325F4"/>
    <w:rsid w:val="00E35499"/>
    <w:rsid w:val="00F21CCF"/>
    <w:rsid w:val="00F21FFF"/>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CF"/>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21CCF"/>
    <w:pPr>
      <w:spacing w:before="120"/>
      <w:ind w:right="-1"/>
      <w:jc w:val="both"/>
    </w:pPr>
    <w:rPr>
      <w:sz w:val="24"/>
    </w:rPr>
  </w:style>
  <w:style w:type="character" w:customStyle="1" w:styleId="BodyText3Char">
    <w:name w:val="Body Text 3 Char"/>
    <w:basedOn w:val="DefaultParagraphFont"/>
    <w:link w:val="BodyText3"/>
    <w:rsid w:val="00F21CCF"/>
    <w:rPr>
      <w:rFonts w:ascii="Times New Roman" w:eastAsia="Times New Roman" w:hAnsi="Times New Roman" w:cs="Times New Roman"/>
      <w:sz w:val="24"/>
      <w:szCs w:val="20"/>
      <w:lang w:val="en-AU"/>
    </w:rPr>
  </w:style>
  <w:style w:type="paragraph" w:customStyle="1" w:styleId="AFMANormal">
    <w:name w:val="AFMA Normal"/>
    <w:rsid w:val="00F21CCF"/>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unhideWhenUsed/>
    <w:rsid w:val="00F21CCF"/>
    <w:pPr>
      <w:tabs>
        <w:tab w:val="center" w:pos="4513"/>
        <w:tab w:val="right" w:pos="9026"/>
      </w:tabs>
    </w:pPr>
  </w:style>
  <w:style w:type="character" w:customStyle="1" w:styleId="FooterChar">
    <w:name w:val="Footer Char"/>
    <w:basedOn w:val="DefaultParagraphFont"/>
    <w:link w:val="Footer"/>
    <w:uiPriority w:val="99"/>
    <w:rsid w:val="00F21CCF"/>
    <w:rPr>
      <w:rFonts w:ascii="Times New Roman" w:eastAsia="Times New Roman" w:hAnsi="Times New Roman" w:cs="Times New Roman"/>
      <w:sz w:val="20"/>
      <w:szCs w:val="20"/>
      <w:lang w:val="en-AU"/>
    </w:rPr>
  </w:style>
  <w:style w:type="paragraph" w:styleId="BodyText">
    <w:name w:val="Body Text"/>
    <w:basedOn w:val="Normal"/>
    <w:link w:val="BodyTextChar"/>
    <w:uiPriority w:val="99"/>
    <w:semiHidden/>
    <w:unhideWhenUsed/>
    <w:rsid w:val="00F21CCF"/>
    <w:pPr>
      <w:spacing w:after="120"/>
    </w:pPr>
  </w:style>
  <w:style w:type="character" w:customStyle="1" w:styleId="BodyTextChar">
    <w:name w:val="Body Text Char"/>
    <w:basedOn w:val="DefaultParagraphFont"/>
    <w:link w:val="BodyText"/>
    <w:uiPriority w:val="99"/>
    <w:semiHidden/>
    <w:rsid w:val="00F21CCF"/>
    <w:rPr>
      <w:rFonts w:ascii="Times New Roman" w:eastAsia="Times New Roman" w:hAnsi="Times New Roman" w:cs="Times New Roman"/>
      <w:sz w:val="20"/>
      <w:szCs w:val="20"/>
      <w:lang w:val="en-AU"/>
    </w:rPr>
  </w:style>
  <w:style w:type="paragraph" w:customStyle="1" w:styleId="acthead5">
    <w:name w:val="acthead5"/>
    <w:basedOn w:val="Normal"/>
    <w:rsid w:val="000130F7"/>
    <w:pPr>
      <w:spacing w:before="100" w:beforeAutospacing="1" w:after="100" w:afterAutospacing="1"/>
    </w:pPr>
    <w:rPr>
      <w:sz w:val="24"/>
      <w:szCs w:val="24"/>
      <w:lang w:eastAsia="en-AU"/>
    </w:rPr>
  </w:style>
  <w:style w:type="character" w:customStyle="1" w:styleId="charsectno">
    <w:name w:val="charsectno"/>
    <w:basedOn w:val="DefaultParagraphFont"/>
    <w:rsid w:val="00013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CF"/>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21CCF"/>
    <w:pPr>
      <w:spacing w:before="120"/>
      <w:ind w:right="-1"/>
      <w:jc w:val="both"/>
    </w:pPr>
    <w:rPr>
      <w:sz w:val="24"/>
    </w:rPr>
  </w:style>
  <w:style w:type="character" w:customStyle="1" w:styleId="BodyText3Char">
    <w:name w:val="Body Text 3 Char"/>
    <w:basedOn w:val="DefaultParagraphFont"/>
    <w:link w:val="BodyText3"/>
    <w:rsid w:val="00F21CCF"/>
    <w:rPr>
      <w:rFonts w:ascii="Times New Roman" w:eastAsia="Times New Roman" w:hAnsi="Times New Roman" w:cs="Times New Roman"/>
      <w:sz w:val="24"/>
      <w:szCs w:val="20"/>
      <w:lang w:val="en-AU"/>
    </w:rPr>
  </w:style>
  <w:style w:type="paragraph" w:customStyle="1" w:styleId="AFMANormal">
    <w:name w:val="AFMA Normal"/>
    <w:rsid w:val="00F21CCF"/>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unhideWhenUsed/>
    <w:rsid w:val="00F21CCF"/>
    <w:pPr>
      <w:tabs>
        <w:tab w:val="center" w:pos="4513"/>
        <w:tab w:val="right" w:pos="9026"/>
      </w:tabs>
    </w:pPr>
  </w:style>
  <w:style w:type="character" w:customStyle="1" w:styleId="FooterChar">
    <w:name w:val="Footer Char"/>
    <w:basedOn w:val="DefaultParagraphFont"/>
    <w:link w:val="Footer"/>
    <w:uiPriority w:val="99"/>
    <w:rsid w:val="00F21CCF"/>
    <w:rPr>
      <w:rFonts w:ascii="Times New Roman" w:eastAsia="Times New Roman" w:hAnsi="Times New Roman" w:cs="Times New Roman"/>
      <w:sz w:val="20"/>
      <w:szCs w:val="20"/>
      <w:lang w:val="en-AU"/>
    </w:rPr>
  </w:style>
  <w:style w:type="paragraph" w:styleId="BodyText">
    <w:name w:val="Body Text"/>
    <w:basedOn w:val="Normal"/>
    <w:link w:val="BodyTextChar"/>
    <w:uiPriority w:val="99"/>
    <w:semiHidden/>
    <w:unhideWhenUsed/>
    <w:rsid w:val="00F21CCF"/>
    <w:pPr>
      <w:spacing w:after="120"/>
    </w:pPr>
  </w:style>
  <w:style w:type="character" w:customStyle="1" w:styleId="BodyTextChar">
    <w:name w:val="Body Text Char"/>
    <w:basedOn w:val="DefaultParagraphFont"/>
    <w:link w:val="BodyText"/>
    <w:uiPriority w:val="99"/>
    <w:semiHidden/>
    <w:rsid w:val="00F21CCF"/>
    <w:rPr>
      <w:rFonts w:ascii="Times New Roman" w:eastAsia="Times New Roman" w:hAnsi="Times New Roman" w:cs="Times New Roman"/>
      <w:sz w:val="20"/>
      <w:szCs w:val="20"/>
      <w:lang w:val="en-AU"/>
    </w:rPr>
  </w:style>
  <w:style w:type="paragraph" w:customStyle="1" w:styleId="acthead5">
    <w:name w:val="acthead5"/>
    <w:basedOn w:val="Normal"/>
    <w:rsid w:val="000130F7"/>
    <w:pPr>
      <w:spacing w:before="100" w:beforeAutospacing="1" w:after="100" w:afterAutospacing="1"/>
    </w:pPr>
    <w:rPr>
      <w:sz w:val="24"/>
      <w:szCs w:val="24"/>
      <w:lang w:eastAsia="en-AU"/>
    </w:rPr>
  </w:style>
  <w:style w:type="character" w:customStyle="1" w:styleId="charsectno">
    <w:name w:val="charsectno"/>
    <w:basedOn w:val="DefaultParagraphFont"/>
    <w:rsid w:val="0001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4</cp:revision>
  <dcterms:created xsi:type="dcterms:W3CDTF">2014-04-08T06:02:00Z</dcterms:created>
  <dcterms:modified xsi:type="dcterms:W3CDTF">2014-05-05T05:16:00Z</dcterms:modified>
</cp:coreProperties>
</file>