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068" w:rsidRDefault="00307068" w:rsidP="00307068">
      <w:pPr>
        <w:rPr>
          <w:sz w:val="28"/>
        </w:rPr>
      </w:pPr>
      <w:r>
        <w:rPr>
          <w:noProof/>
          <w:lang w:eastAsia="en-AU"/>
        </w:rPr>
        <w:drawing>
          <wp:inline distT="0" distB="0" distL="0" distR="0" wp14:anchorId="78B10D41" wp14:editId="3B5674F1">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307068" w:rsidRPr="00027984" w:rsidRDefault="00D03A1F" w:rsidP="00FA25AC">
      <w:pPr>
        <w:spacing w:before="240"/>
        <w:rPr>
          <w:b/>
          <w:sz w:val="40"/>
          <w:szCs w:val="40"/>
        </w:rPr>
      </w:pPr>
      <w:r>
        <w:rPr>
          <w:b/>
          <w:sz w:val="40"/>
          <w:szCs w:val="40"/>
        </w:rPr>
        <w:t xml:space="preserve">Statement of </w:t>
      </w:r>
      <w:r w:rsidRPr="00027984">
        <w:rPr>
          <w:b/>
          <w:sz w:val="40"/>
          <w:szCs w:val="40"/>
        </w:rPr>
        <w:t xml:space="preserve">Principles concerning </w:t>
      </w:r>
      <w:r w:rsidR="00B14410" w:rsidRPr="00027984">
        <w:rPr>
          <w:b/>
          <w:sz w:val="40"/>
          <w:szCs w:val="40"/>
        </w:rPr>
        <w:t>otitis media</w:t>
      </w:r>
      <w:r w:rsidRPr="00027984">
        <w:rPr>
          <w:b/>
          <w:sz w:val="40"/>
          <w:szCs w:val="40"/>
        </w:rPr>
        <w:t xml:space="preserve"> No. </w:t>
      </w:r>
      <w:r w:rsidR="00B14410" w:rsidRPr="00027984">
        <w:rPr>
          <w:b/>
          <w:sz w:val="40"/>
          <w:szCs w:val="40"/>
        </w:rPr>
        <w:t>52</w:t>
      </w:r>
      <w:r w:rsidRPr="00027984">
        <w:rPr>
          <w:b/>
          <w:sz w:val="40"/>
          <w:szCs w:val="40"/>
        </w:rPr>
        <w:t xml:space="preserve"> of </w:t>
      </w:r>
      <w:r w:rsidR="00B14410" w:rsidRPr="00027984">
        <w:rPr>
          <w:b/>
          <w:sz w:val="40"/>
          <w:szCs w:val="40"/>
        </w:rPr>
        <w:t>2014</w:t>
      </w:r>
    </w:p>
    <w:p w:rsidR="00307068" w:rsidRPr="00027984" w:rsidRDefault="00307068" w:rsidP="00307068">
      <w:pPr>
        <w:pStyle w:val="MadeunderText"/>
      </w:pPr>
      <w:r w:rsidRPr="00027984">
        <w:t xml:space="preserve">made under </w:t>
      </w:r>
      <w:r w:rsidR="00D03A1F" w:rsidRPr="00027984">
        <w:t>subsection 196B(</w:t>
      </w:r>
      <w:r w:rsidR="00A87E76" w:rsidRPr="00027984">
        <w:t>3</w:t>
      </w:r>
      <w:r w:rsidR="00D03A1F" w:rsidRPr="00027984">
        <w:t>)</w:t>
      </w:r>
      <w:r w:rsidRPr="00027984">
        <w:t xml:space="preserve"> of the</w:t>
      </w:r>
    </w:p>
    <w:p w:rsidR="00D03A1F" w:rsidRPr="00027984" w:rsidRDefault="00D03A1F" w:rsidP="00D03A1F">
      <w:pPr>
        <w:pStyle w:val="CompiledMadeUnder"/>
        <w:spacing w:before="240"/>
      </w:pPr>
      <w:r w:rsidRPr="00027984">
        <w:t>Veterans' Entitlements Act 1986</w:t>
      </w:r>
    </w:p>
    <w:p w:rsidR="00D03A1F" w:rsidRPr="00027984" w:rsidRDefault="00D03A1F" w:rsidP="00D03A1F">
      <w:pPr>
        <w:spacing w:before="1000"/>
        <w:rPr>
          <w:rFonts w:cs="Arial"/>
          <w:sz w:val="24"/>
          <w:szCs w:val="24"/>
        </w:rPr>
      </w:pPr>
      <w:r w:rsidRPr="00027984">
        <w:rPr>
          <w:rFonts w:cs="Arial"/>
          <w:b/>
          <w:sz w:val="32"/>
          <w:szCs w:val="32"/>
        </w:rPr>
        <w:t xml:space="preserve">Compilation No. </w:t>
      </w:r>
      <w:r w:rsidR="00B14410" w:rsidRPr="00027984">
        <w:rPr>
          <w:rFonts w:cs="Arial"/>
          <w:b/>
          <w:sz w:val="32"/>
          <w:szCs w:val="32"/>
        </w:rPr>
        <w:t>1</w:t>
      </w:r>
      <w:r w:rsidRPr="00027984">
        <w:rPr>
          <w:rFonts w:cs="Arial"/>
          <w:b/>
          <w:sz w:val="32"/>
          <w:szCs w:val="32"/>
        </w:rPr>
        <w:tab/>
      </w:r>
      <w:r w:rsidRPr="00027984">
        <w:rPr>
          <w:rFonts w:cs="Arial"/>
          <w:b/>
          <w:sz w:val="32"/>
          <w:szCs w:val="32"/>
        </w:rPr>
        <w:tab/>
      </w:r>
    </w:p>
    <w:p w:rsidR="00D03A1F" w:rsidRPr="00027984" w:rsidRDefault="00D03A1F" w:rsidP="00D03A1F">
      <w:pPr>
        <w:spacing w:before="480"/>
        <w:rPr>
          <w:rFonts w:cs="Arial"/>
          <w:sz w:val="24"/>
        </w:rPr>
      </w:pPr>
      <w:r w:rsidRPr="00027984">
        <w:rPr>
          <w:rFonts w:cs="Arial"/>
          <w:b/>
          <w:sz w:val="24"/>
        </w:rPr>
        <w:t>Compilation date:</w:t>
      </w:r>
      <w:r w:rsidRPr="00027984">
        <w:rPr>
          <w:rFonts w:cs="Arial"/>
          <w:b/>
          <w:sz w:val="24"/>
        </w:rPr>
        <w:tab/>
      </w:r>
      <w:r w:rsidRPr="00027984">
        <w:rPr>
          <w:rFonts w:cs="Arial"/>
          <w:b/>
          <w:sz w:val="24"/>
        </w:rPr>
        <w:tab/>
      </w:r>
      <w:r w:rsidRPr="00027984">
        <w:rPr>
          <w:rFonts w:cs="Arial"/>
          <w:b/>
          <w:sz w:val="24"/>
        </w:rPr>
        <w:tab/>
      </w:r>
      <w:r w:rsidR="00027984" w:rsidRPr="00027984">
        <w:rPr>
          <w:rFonts w:cs="Arial"/>
          <w:sz w:val="24"/>
        </w:rPr>
        <w:t>18 September 2017</w:t>
      </w:r>
    </w:p>
    <w:p w:rsidR="00027984" w:rsidRPr="00330877" w:rsidRDefault="00D03A1F" w:rsidP="00027984">
      <w:pPr>
        <w:pStyle w:val="Plainheader"/>
        <w:ind w:left="3600" w:hanging="3600"/>
        <w:rPr>
          <w:rFonts w:eastAsiaTheme="minorHAnsi"/>
          <w:color w:val="auto"/>
        </w:rPr>
      </w:pPr>
      <w:r w:rsidRPr="00027984">
        <w:rPr>
          <w:b/>
          <w:color w:val="auto"/>
        </w:rPr>
        <w:t>Includes amendments up to:</w:t>
      </w:r>
      <w:r w:rsidRPr="00027984">
        <w:rPr>
          <w:b/>
          <w:color w:val="auto"/>
        </w:rPr>
        <w:tab/>
      </w:r>
      <w:r w:rsidR="00027984" w:rsidRPr="00027984">
        <w:rPr>
          <w:color w:val="auto"/>
        </w:rPr>
        <w:t>Veterans</w:t>
      </w:r>
      <w:r w:rsidR="00027984" w:rsidRPr="00027984">
        <w:rPr>
          <w:rFonts w:eastAsiaTheme="minorHAnsi"/>
          <w:color w:val="auto"/>
        </w:rPr>
        <w:t>'</w:t>
      </w:r>
      <w:r w:rsidR="00027984" w:rsidRPr="00027984">
        <w:rPr>
          <w:color w:val="auto"/>
        </w:rPr>
        <w:t xml:space="preserve"> Entitlements </w:t>
      </w:r>
      <w:r w:rsidR="00027984" w:rsidRPr="00330877">
        <w:t>(Statements of Principles</w:t>
      </w:r>
      <w:r w:rsidR="00027984" w:rsidRPr="00330877">
        <w:rPr>
          <w:rFonts w:eastAsiaTheme="minorHAnsi"/>
          <w:color w:val="auto"/>
        </w:rPr>
        <w:t>—Cumulative</w:t>
      </w:r>
      <w:r w:rsidR="00027984" w:rsidRPr="00330877">
        <w:t xml:space="preserve"> Equivalent Dose) Amendment Determination 2017 (No. 58 of 2017) (</w:t>
      </w:r>
      <w:r w:rsidR="00027984">
        <w:t>F2017L01067)</w:t>
      </w:r>
    </w:p>
    <w:p w:rsidR="00027984" w:rsidRPr="00AC0597" w:rsidRDefault="00027984" w:rsidP="00027984">
      <w:pPr>
        <w:spacing w:before="240"/>
        <w:rPr>
          <w:rFonts w:cs="Arial"/>
          <w:sz w:val="24"/>
        </w:rPr>
      </w:pPr>
      <w:r w:rsidRPr="00CB3022">
        <w:rPr>
          <w:rFonts w:cs="Times New Roman"/>
          <w:sz w:val="24"/>
        </w:rPr>
        <w:t>The day of commencement of this Amendment Determination is 18 September 2017</w:t>
      </w:r>
      <w:r w:rsidRPr="00AC0597">
        <w:rPr>
          <w:rFonts w:cs="Arial"/>
          <w:sz w:val="24"/>
        </w:rPr>
        <w:t>.</w:t>
      </w:r>
    </w:p>
    <w:p w:rsidR="00307068" w:rsidRDefault="00307068" w:rsidP="00307068">
      <w:pPr>
        <w:spacing w:before="240"/>
        <w:rPr>
          <w:rFonts w:cs="Arial"/>
          <w:sz w:val="24"/>
        </w:rPr>
      </w:pPr>
    </w:p>
    <w:p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rsidR="00307068" w:rsidRDefault="00307068" w:rsidP="00307068">
      <w:pPr>
        <w:spacing w:after="120"/>
        <w:rPr>
          <w:rFonts w:cs="Arial"/>
          <w:szCs w:val="22"/>
        </w:rPr>
      </w:pPr>
    </w:p>
    <w:p w:rsidR="00307068" w:rsidRPr="00042EA7" w:rsidRDefault="00307068" w:rsidP="00307068">
      <w:pPr>
        <w:spacing w:before="240"/>
        <w:rPr>
          <w:rFonts w:cs="Arial"/>
        </w:rPr>
      </w:pPr>
      <w:r w:rsidRPr="00042EA7">
        <w:rPr>
          <w:rFonts w:cs="Arial"/>
          <w:b/>
          <w:szCs w:val="22"/>
        </w:rPr>
        <w:t>This compilation</w:t>
      </w:r>
    </w:p>
    <w:p w:rsidR="00307068" w:rsidRPr="00027984" w:rsidRDefault="00307068" w:rsidP="00307068">
      <w:pPr>
        <w:spacing w:before="120" w:after="120"/>
        <w:rPr>
          <w:rFonts w:cs="Arial"/>
          <w:szCs w:val="22"/>
        </w:rPr>
      </w:pPr>
      <w:r w:rsidRPr="00042EA7">
        <w:rPr>
          <w:rFonts w:cs="Arial"/>
          <w:szCs w:val="22"/>
        </w:rPr>
        <w:t xml:space="preserve">This is a compilation of the </w:t>
      </w:r>
      <w:r w:rsidR="00872162" w:rsidRPr="00027984">
        <w:rPr>
          <w:rFonts w:cs="Arial"/>
          <w:i/>
          <w:szCs w:val="22"/>
        </w:rPr>
        <w:t>Stat</w:t>
      </w:r>
      <w:r w:rsidR="00B14410" w:rsidRPr="00027984">
        <w:rPr>
          <w:rFonts w:cs="Arial"/>
          <w:i/>
          <w:szCs w:val="22"/>
        </w:rPr>
        <w:t>ement of Principles concerning otitis media</w:t>
      </w:r>
      <w:r w:rsidR="00872162" w:rsidRPr="00027984">
        <w:rPr>
          <w:rFonts w:cs="Arial"/>
          <w:i/>
          <w:szCs w:val="22"/>
        </w:rPr>
        <w:t xml:space="preserve"> No. </w:t>
      </w:r>
      <w:r w:rsidR="00B14410" w:rsidRPr="00027984">
        <w:rPr>
          <w:rFonts w:cs="Arial"/>
          <w:i/>
          <w:szCs w:val="22"/>
        </w:rPr>
        <w:t>52</w:t>
      </w:r>
      <w:r w:rsidR="00872162" w:rsidRPr="00027984">
        <w:rPr>
          <w:rFonts w:cs="Arial"/>
          <w:i/>
          <w:szCs w:val="22"/>
        </w:rPr>
        <w:t xml:space="preserve"> of </w:t>
      </w:r>
      <w:r w:rsidR="00B14410" w:rsidRPr="00027984">
        <w:rPr>
          <w:rFonts w:cs="Arial"/>
          <w:i/>
          <w:szCs w:val="22"/>
        </w:rPr>
        <w:t>2014</w:t>
      </w:r>
      <w:r w:rsidRPr="00027984">
        <w:rPr>
          <w:rFonts w:cs="Arial"/>
          <w:szCs w:val="22"/>
        </w:rPr>
        <w:t xml:space="preserve"> that shows the text of the law as amended and in force on</w:t>
      </w:r>
      <w:r w:rsidR="00027984" w:rsidRPr="00027984">
        <w:rPr>
          <w:rFonts w:cs="Arial"/>
          <w:szCs w:val="22"/>
        </w:rPr>
        <w:t xml:space="preserve"> 18 September 2017.</w:t>
      </w:r>
    </w:p>
    <w:p w:rsidR="00307068" w:rsidRPr="00027984" w:rsidRDefault="00307068" w:rsidP="00307068">
      <w:pPr>
        <w:spacing w:after="120"/>
        <w:rPr>
          <w:rFonts w:cs="Arial"/>
          <w:szCs w:val="22"/>
        </w:rPr>
      </w:pPr>
      <w:r w:rsidRPr="00027984">
        <w:rPr>
          <w:rFonts w:cs="Arial"/>
          <w:szCs w:val="22"/>
        </w:rPr>
        <w:t xml:space="preserve">The notes at the end of this compilation (the </w:t>
      </w:r>
      <w:r w:rsidRPr="00027984">
        <w:rPr>
          <w:rFonts w:cs="Arial"/>
          <w:b/>
          <w:i/>
          <w:szCs w:val="22"/>
        </w:rPr>
        <w:t>endnotes</w:t>
      </w:r>
      <w:r w:rsidRPr="00027984">
        <w:rPr>
          <w:rFonts w:cs="Arial"/>
          <w:szCs w:val="22"/>
        </w:rPr>
        <w:t>) include information about amending laws and the amendment history of provisions of the compiled law.</w:t>
      </w:r>
    </w:p>
    <w:p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rsidR="00307068" w:rsidRPr="00042EA7" w:rsidRDefault="00307068" w:rsidP="00307068">
      <w:pPr>
        <w:spacing w:before="120" w:after="120"/>
        <w:rPr>
          <w:rFonts w:cs="Arial"/>
          <w:b/>
          <w:szCs w:val="22"/>
        </w:rPr>
      </w:pPr>
      <w:r w:rsidRPr="00042EA7">
        <w:rPr>
          <w:rFonts w:cs="Arial"/>
          <w:b/>
          <w:szCs w:val="22"/>
        </w:rPr>
        <w:t>Modifications</w:t>
      </w:r>
    </w:p>
    <w:p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rsidR="00307068" w:rsidRDefault="00307068" w:rsidP="00307068"/>
    <w:p w:rsidR="00307068" w:rsidRPr="00ED79B6" w:rsidRDefault="00307068" w:rsidP="00307068"/>
    <w:p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rsidR="00307068" w:rsidRDefault="00307068" w:rsidP="00307068">
      <w:pPr>
        <w:sectPr w:rsidR="00307068" w:rsidSect="001A4A0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3402" w:gutter="0"/>
          <w:cols w:space="708"/>
          <w:titlePg/>
          <w:docGrid w:linePitch="360"/>
        </w:sectPr>
      </w:pPr>
    </w:p>
    <w:p w:rsidR="00B14410" w:rsidRPr="00B14410" w:rsidRDefault="00B14410" w:rsidP="00B14410">
      <w:pPr>
        <w:spacing w:line="240" w:lineRule="atLeast"/>
        <w:jc w:val="center"/>
        <w:rPr>
          <w:rFonts w:ascii="Arial" w:eastAsia="Times New Roman" w:hAnsi="Arial" w:cs="Times New Roman"/>
          <w:sz w:val="36"/>
          <w:lang w:val="en-GB" w:eastAsia="en-AU"/>
        </w:rPr>
      </w:pPr>
      <w:r w:rsidRPr="00B14410">
        <w:rPr>
          <w:rFonts w:eastAsia="Times New Roman" w:cs="Times New Roman"/>
          <w:noProof/>
          <w:sz w:val="36"/>
          <w:lang w:eastAsia="en-AU"/>
        </w:rPr>
        <w:lastRenderedPageBreak/>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B14410" w:rsidRPr="00B14410" w:rsidRDefault="00B14410" w:rsidP="00B14410">
      <w:pPr>
        <w:spacing w:before="240" w:after="240" w:line="240" w:lineRule="atLeast"/>
        <w:jc w:val="center"/>
        <w:rPr>
          <w:rFonts w:ascii="Arial" w:eastAsia="Times New Roman" w:hAnsi="Arial" w:cs="Times New Roman"/>
          <w:sz w:val="36"/>
          <w:lang w:val="en-GB" w:eastAsia="en-AU"/>
        </w:rPr>
      </w:pPr>
    </w:p>
    <w:p w:rsidR="00B14410" w:rsidRPr="00B14410" w:rsidRDefault="00B14410" w:rsidP="00B14410">
      <w:pPr>
        <w:spacing w:line="240" w:lineRule="atLeast"/>
        <w:jc w:val="center"/>
        <w:outlineLvl w:val="0"/>
        <w:rPr>
          <w:rFonts w:ascii="Arial" w:eastAsia="Times New Roman" w:hAnsi="Arial" w:cs="Times New Roman"/>
          <w:sz w:val="40"/>
          <w:lang w:val="en-GB" w:eastAsia="en-AU"/>
        </w:rPr>
      </w:pPr>
      <w:r w:rsidRPr="00B14410">
        <w:rPr>
          <w:rFonts w:ascii="Arial" w:eastAsia="Times New Roman" w:hAnsi="Arial" w:cs="Times New Roman"/>
          <w:sz w:val="40"/>
          <w:lang w:val="en-GB" w:eastAsia="en-AU"/>
        </w:rPr>
        <w:t>Statement of Principles</w:t>
      </w:r>
    </w:p>
    <w:p w:rsidR="00B14410" w:rsidRPr="00B14410" w:rsidRDefault="00B14410" w:rsidP="00B14410">
      <w:pPr>
        <w:spacing w:line="240" w:lineRule="atLeast"/>
        <w:jc w:val="center"/>
        <w:outlineLvl w:val="0"/>
        <w:rPr>
          <w:rFonts w:ascii="Arial" w:eastAsia="Times New Roman" w:hAnsi="Arial" w:cs="Times New Roman"/>
          <w:sz w:val="28"/>
          <w:lang w:val="en-GB" w:eastAsia="en-AU"/>
        </w:rPr>
      </w:pPr>
      <w:r w:rsidRPr="00B14410">
        <w:rPr>
          <w:rFonts w:ascii="Arial" w:eastAsia="Times New Roman" w:hAnsi="Arial" w:cs="Times New Roman"/>
          <w:sz w:val="28"/>
          <w:lang w:val="en-GB" w:eastAsia="en-AU"/>
        </w:rPr>
        <w:t>concerning</w:t>
      </w:r>
    </w:p>
    <w:p w:rsidR="00B14410" w:rsidRPr="00B14410" w:rsidRDefault="00B14410" w:rsidP="00B14410">
      <w:pPr>
        <w:spacing w:line="240" w:lineRule="atLeast"/>
        <w:jc w:val="center"/>
        <w:rPr>
          <w:rFonts w:ascii="Arial" w:eastAsia="Times New Roman" w:hAnsi="Arial" w:cs="Times New Roman"/>
          <w:sz w:val="28"/>
          <w:lang w:val="en-GB" w:eastAsia="en-AU"/>
        </w:rPr>
      </w:pPr>
    </w:p>
    <w:p w:rsidR="00B14410" w:rsidRPr="00B14410" w:rsidRDefault="00B14410" w:rsidP="00B14410">
      <w:pPr>
        <w:spacing w:line="240" w:lineRule="atLeast"/>
        <w:jc w:val="center"/>
        <w:outlineLvl w:val="0"/>
        <w:rPr>
          <w:rFonts w:ascii="Arial" w:eastAsia="Times New Roman" w:hAnsi="Arial" w:cs="Times New Roman"/>
          <w:b/>
          <w:sz w:val="40"/>
          <w:lang w:val="en-GB" w:eastAsia="en-AU"/>
        </w:rPr>
      </w:pPr>
      <w:r w:rsidRPr="00B14410">
        <w:rPr>
          <w:rFonts w:ascii="Arial" w:eastAsia="Times New Roman" w:hAnsi="Arial" w:cs="Times New Roman"/>
          <w:b/>
          <w:sz w:val="40"/>
          <w:lang w:val="en-GB" w:eastAsia="en-AU"/>
        </w:rPr>
        <w:t>OTITIS MEDIA</w:t>
      </w:r>
    </w:p>
    <w:p w:rsidR="00B14410" w:rsidRPr="00B14410" w:rsidRDefault="00B14410" w:rsidP="00B14410">
      <w:pPr>
        <w:spacing w:before="240" w:line="240" w:lineRule="atLeast"/>
        <w:jc w:val="center"/>
        <w:outlineLvl w:val="0"/>
        <w:rPr>
          <w:rFonts w:ascii="Arial" w:eastAsia="Times New Roman" w:hAnsi="Arial" w:cs="Times New Roman"/>
          <w:b/>
          <w:sz w:val="40"/>
          <w:lang w:val="en-GB" w:eastAsia="en-AU"/>
        </w:rPr>
      </w:pPr>
      <w:r w:rsidRPr="00B14410">
        <w:rPr>
          <w:rFonts w:ascii="Arial" w:eastAsia="Times New Roman" w:hAnsi="Arial" w:cs="Times New Roman"/>
          <w:b/>
          <w:sz w:val="40"/>
          <w:lang w:val="en-GB" w:eastAsia="en-AU"/>
        </w:rPr>
        <w:t>No. 52 of 2014</w:t>
      </w:r>
    </w:p>
    <w:p w:rsidR="00B14410" w:rsidRPr="00B14410" w:rsidRDefault="00B14410" w:rsidP="00B14410">
      <w:pPr>
        <w:spacing w:line="240" w:lineRule="atLeast"/>
        <w:jc w:val="center"/>
        <w:rPr>
          <w:rFonts w:ascii="Arial" w:eastAsia="Times New Roman" w:hAnsi="Arial" w:cs="Times New Roman"/>
          <w:b/>
          <w:sz w:val="24"/>
          <w:lang w:val="en-GB" w:eastAsia="en-AU"/>
        </w:rPr>
      </w:pPr>
    </w:p>
    <w:p w:rsidR="00B14410" w:rsidRPr="00B14410" w:rsidRDefault="00B14410" w:rsidP="00B14410">
      <w:pPr>
        <w:spacing w:line="240" w:lineRule="atLeast"/>
        <w:jc w:val="center"/>
        <w:rPr>
          <w:rFonts w:ascii="Arial" w:eastAsia="Times New Roman" w:hAnsi="Arial" w:cs="Times New Roman"/>
          <w:sz w:val="28"/>
          <w:lang w:val="en-GB" w:eastAsia="en-AU"/>
        </w:rPr>
      </w:pPr>
      <w:r w:rsidRPr="00B14410">
        <w:rPr>
          <w:rFonts w:ascii="Arial" w:eastAsia="Times New Roman" w:hAnsi="Arial" w:cs="Times New Roman"/>
          <w:sz w:val="28"/>
          <w:lang w:val="en-GB" w:eastAsia="en-AU"/>
        </w:rPr>
        <w:t>for the purposes of the</w:t>
      </w:r>
    </w:p>
    <w:p w:rsidR="00B14410" w:rsidRPr="00B14410" w:rsidRDefault="00B14410" w:rsidP="00B14410">
      <w:pPr>
        <w:spacing w:line="240" w:lineRule="atLeast"/>
        <w:jc w:val="center"/>
        <w:rPr>
          <w:rFonts w:ascii="Arial" w:eastAsia="Times New Roman" w:hAnsi="Arial" w:cs="Times New Roman"/>
          <w:b/>
          <w:sz w:val="24"/>
          <w:lang w:val="en-GB" w:eastAsia="en-AU"/>
        </w:rPr>
      </w:pPr>
    </w:p>
    <w:p w:rsidR="00B14410" w:rsidRPr="00B14410" w:rsidRDefault="00B14410" w:rsidP="00B14410">
      <w:pPr>
        <w:spacing w:line="240" w:lineRule="atLeast"/>
        <w:jc w:val="center"/>
        <w:outlineLvl w:val="0"/>
        <w:rPr>
          <w:rFonts w:ascii="Arial" w:eastAsia="Times New Roman" w:hAnsi="Arial" w:cs="Times New Roman"/>
          <w:i/>
          <w:sz w:val="32"/>
          <w:lang w:val="en-GB" w:eastAsia="en-AU"/>
        </w:rPr>
      </w:pPr>
      <w:r w:rsidRPr="00B14410">
        <w:rPr>
          <w:rFonts w:ascii="Arial" w:eastAsia="Times New Roman" w:hAnsi="Arial" w:cs="Times New Roman"/>
          <w:i/>
          <w:sz w:val="32"/>
          <w:lang w:val="en-GB" w:eastAsia="en-AU"/>
        </w:rPr>
        <w:t>Veterans’ Entitlements Act 1986</w:t>
      </w:r>
    </w:p>
    <w:p w:rsidR="00B14410" w:rsidRPr="00B14410" w:rsidRDefault="00B14410" w:rsidP="00B14410">
      <w:pPr>
        <w:spacing w:line="240" w:lineRule="atLeast"/>
        <w:jc w:val="center"/>
        <w:rPr>
          <w:rFonts w:ascii="Arial" w:eastAsia="Times New Roman" w:hAnsi="Arial" w:cs="Times New Roman"/>
          <w:sz w:val="28"/>
          <w:lang w:val="en-GB" w:eastAsia="en-AU"/>
        </w:rPr>
      </w:pPr>
      <w:r w:rsidRPr="00B14410">
        <w:rPr>
          <w:rFonts w:ascii="Arial" w:eastAsia="Times New Roman" w:hAnsi="Arial" w:cs="Times New Roman"/>
          <w:sz w:val="28"/>
          <w:lang w:val="en-GB" w:eastAsia="en-AU"/>
        </w:rPr>
        <w:t>and</w:t>
      </w:r>
    </w:p>
    <w:p w:rsidR="00B14410" w:rsidRPr="00B14410" w:rsidRDefault="00B14410" w:rsidP="00B14410">
      <w:pPr>
        <w:spacing w:line="240" w:lineRule="atLeast"/>
        <w:jc w:val="center"/>
        <w:rPr>
          <w:rFonts w:ascii="Arial" w:eastAsia="Times New Roman" w:hAnsi="Arial" w:cs="Times New Roman"/>
          <w:sz w:val="32"/>
          <w:lang w:val="en-GB" w:eastAsia="en-AU"/>
        </w:rPr>
      </w:pPr>
      <w:r w:rsidRPr="00B14410">
        <w:rPr>
          <w:rFonts w:ascii="Arial" w:eastAsia="Times New Roman" w:hAnsi="Arial" w:cs="Times New Roman"/>
          <w:i/>
          <w:sz w:val="32"/>
          <w:lang w:val="en-GB" w:eastAsia="en-AU"/>
        </w:rPr>
        <w:t>Military Rehabilitation and Compensation Act 2004</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Title</w:t>
      </w:r>
    </w:p>
    <w:p w:rsidR="00B14410" w:rsidRPr="00B14410" w:rsidRDefault="00B14410" w:rsidP="00B14410">
      <w:pPr>
        <w:spacing w:line="240" w:lineRule="atLeast"/>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1.</w:t>
      </w:r>
      <w:r w:rsidRPr="00B14410">
        <w:rPr>
          <w:rFonts w:eastAsia="Times New Roman" w:cs="Times New Roman"/>
          <w:sz w:val="24"/>
          <w:szCs w:val="24"/>
          <w:lang w:val="en-GB" w:eastAsia="en-AU"/>
        </w:rPr>
        <w:tab/>
        <w:t>This Instrument may be cited as Statement of Principles concerning otitis media No. 52 of 2014.</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Determination</w:t>
      </w:r>
    </w:p>
    <w:p w:rsidR="00B14410" w:rsidRPr="00B14410" w:rsidRDefault="00B14410" w:rsidP="00B14410">
      <w:pPr>
        <w:spacing w:after="120" w:line="240" w:lineRule="atLeast"/>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2.</w:t>
      </w:r>
      <w:r w:rsidRPr="00B14410">
        <w:rPr>
          <w:rFonts w:eastAsia="Times New Roman" w:cs="Times New Roman"/>
          <w:sz w:val="24"/>
          <w:szCs w:val="24"/>
          <w:lang w:val="en-GB" w:eastAsia="en-AU"/>
        </w:rPr>
        <w:tab/>
        <w:t xml:space="preserve">The Repatriation Medical Authority under subsection </w:t>
      </w:r>
      <w:r w:rsidRPr="00B14410">
        <w:rPr>
          <w:rFonts w:eastAsia="Times New Roman" w:cs="Times New Roman"/>
          <w:b/>
          <w:sz w:val="24"/>
          <w:szCs w:val="24"/>
          <w:lang w:val="en-GB" w:eastAsia="en-AU"/>
        </w:rPr>
        <w:t>196B(3)</w:t>
      </w:r>
      <w:r w:rsidRPr="00B14410">
        <w:rPr>
          <w:rFonts w:eastAsia="Times New Roman" w:cs="Times New Roman"/>
          <w:sz w:val="24"/>
          <w:szCs w:val="24"/>
          <w:lang w:val="en-GB" w:eastAsia="en-AU"/>
        </w:rPr>
        <w:t xml:space="preserve"> and </w:t>
      </w:r>
      <w:r w:rsidRPr="00B14410">
        <w:rPr>
          <w:rFonts w:eastAsia="Times New Roman" w:cs="Times New Roman"/>
          <w:b/>
          <w:sz w:val="24"/>
          <w:szCs w:val="24"/>
          <w:lang w:val="en-GB" w:eastAsia="en-AU"/>
        </w:rPr>
        <w:t xml:space="preserve">(8) </w:t>
      </w:r>
      <w:r w:rsidRPr="00B14410">
        <w:rPr>
          <w:rFonts w:eastAsia="Times New Roman" w:cs="Times New Roman"/>
          <w:sz w:val="24"/>
          <w:szCs w:val="24"/>
          <w:lang w:val="en-GB" w:eastAsia="en-AU"/>
        </w:rPr>
        <w:t xml:space="preserve">of the </w:t>
      </w:r>
      <w:r w:rsidRPr="00B14410">
        <w:rPr>
          <w:rFonts w:eastAsia="Times New Roman" w:cs="Times New Roman"/>
          <w:i/>
          <w:sz w:val="24"/>
          <w:szCs w:val="24"/>
          <w:lang w:val="en-GB" w:eastAsia="en-AU"/>
        </w:rPr>
        <w:t>Veterans’ Entitlements Act 1986</w:t>
      </w:r>
      <w:r w:rsidRPr="00B14410">
        <w:rPr>
          <w:rFonts w:eastAsia="Times New Roman" w:cs="Times New Roman"/>
          <w:sz w:val="24"/>
          <w:szCs w:val="24"/>
          <w:lang w:val="en-GB" w:eastAsia="en-AU"/>
        </w:rPr>
        <w:t xml:space="preserve"> (the VEA):</w:t>
      </w:r>
    </w:p>
    <w:p w:rsidR="00B14410" w:rsidRPr="00B14410" w:rsidRDefault="00B14410" w:rsidP="00B14410">
      <w:pPr>
        <w:spacing w:after="120" w:line="240" w:lineRule="atLeast"/>
        <w:ind w:left="1440" w:hanging="720"/>
        <w:jc w:val="both"/>
        <w:rPr>
          <w:rFonts w:eastAsia="Times New Roman" w:cs="Times New Roman"/>
          <w:sz w:val="24"/>
          <w:szCs w:val="24"/>
          <w:lang w:val="en-GB" w:eastAsia="en-AU"/>
        </w:rPr>
      </w:pPr>
      <w:r w:rsidRPr="00B14410">
        <w:rPr>
          <w:rFonts w:eastAsia="Times New Roman" w:cs="Times New Roman"/>
          <w:sz w:val="24"/>
          <w:szCs w:val="24"/>
          <w:lang w:val="en-GB" w:eastAsia="en-AU"/>
        </w:rPr>
        <w:t>(a)</w:t>
      </w:r>
      <w:r w:rsidRPr="00B14410">
        <w:rPr>
          <w:rFonts w:eastAsia="Times New Roman" w:cs="Times New Roman"/>
          <w:sz w:val="24"/>
          <w:szCs w:val="24"/>
          <w:lang w:val="en-GB" w:eastAsia="en-AU"/>
        </w:rPr>
        <w:tab/>
        <w:t>revokes Instrument No. 2 of 2003 concerning otitis media; and</w:t>
      </w:r>
    </w:p>
    <w:p w:rsidR="00B14410" w:rsidRPr="00B14410" w:rsidRDefault="00B14410" w:rsidP="00B14410">
      <w:pPr>
        <w:spacing w:line="240" w:lineRule="atLeast"/>
        <w:ind w:left="1440" w:hanging="720"/>
        <w:jc w:val="both"/>
        <w:rPr>
          <w:rFonts w:eastAsia="Times New Roman" w:cs="Times New Roman"/>
          <w:sz w:val="24"/>
          <w:szCs w:val="24"/>
          <w:lang w:val="en-GB" w:eastAsia="en-AU"/>
        </w:rPr>
      </w:pPr>
      <w:r w:rsidRPr="00B14410">
        <w:rPr>
          <w:rFonts w:eastAsia="Times New Roman" w:cs="Times New Roman"/>
          <w:sz w:val="24"/>
          <w:szCs w:val="24"/>
          <w:lang w:val="en-GB" w:eastAsia="en-AU"/>
        </w:rPr>
        <w:t>(b)</w:t>
      </w:r>
      <w:r w:rsidRPr="00B14410">
        <w:rPr>
          <w:rFonts w:eastAsia="Times New Roman" w:cs="Times New Roman"/>
          <w:sz w:val="24"/>
          <w:szCs w:val="24"/>
          <w:lang w:val="en-GB" w:eastAsia="en-AU"/>
        </w:rPr>
        <w:tab/>
        <w:t>determines in its place this Statement of Principles.</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Kind of injury, disease or death</w:t>
      </w:r>
    </w:p>
    <w:p w:rsidR="00B14410" w:rsidRPr="00B14410" w:rsidRDefault="00B14410" w:rsidP="00B14410">
      <w:pPr>
        <w:tabs>
          <w:tab w:val="left" w:pos="709"/>
        </w:tabs>
        <w:spacing w:after="120" w:line="240" w:lineRule="auto"/>
        <w:ind w:left="1440" w:hanging="1440"/>
        <w:jc w:val="both"/>
        <w:rPr>
          <w:rFonts w:eastAsia="Times New Roman" w:cs="Times New Roman"/>
          <w:sz w:val="24"/>
          <w:szCs w:val="24"/>
          <w:lang w:val="en-GB" w:eastAsia="en-AU"/>
        </w:rPr>
      </w:pPr>
      <w:r w:rsidRPr="00B14410">
        <w:rPr>
          <w:rFonts w:eastAsia="Times New Roman" w:cs="Times New Roman"/>
          <w:b/>
          <w:sz w:val="24"/>
          <w:szCs w:val="24"/>
          <w:lang w:val="en-GB" w:eastAsia="en-AU"/>
        </w:rPr>
        <w:t>3.</w:t>
      </w:r>
      <w:r w:rsidRPr="00B14410">
        <w:rPr>
          <w:rFonts w:eastAsia="Times New Roman" w:cs="Times New Roman"/>
          <w:sz w:val="24"/>
          <w:szCs w:val="24"/>
          <w:lang w:val="en-GB" w:eastAsia="en-AU"/>
        </w:rPr>
        <w:tab/>
        <w:t>(a)</w:t>
      </w:r>
      <w:r w:rsidRPr="00B14410">
        <w:rPr>
          <w:rFonts w:eastAsia="Times New Roman" w:cs="Times New Roman"/>
          <w:sz w:val="24"/>
          <w:szCs w:val="24"/>
          <w:lang w:val="en-GB" w:eastAsia="en-AU"/>
        </w:rPr>
        <w:tab/>
        <w:t xml:space="preserve">This Statement of Principles is about </w:t>
      </w:r>
      <w:r w:rsidRPr="00B14410">
        <w:rPr>
          <w:rFonts w:eastAsia="Times New Roman" w:cs="Times New Roman"/>
          <w:b/>
          <w:sz w:val="24"/>
          <w:szCs w:val="24"/>
          <w:lang w:val="en-GB" w:eastAsia="en-AU"/>
        </w:rPr>
        <w:t xml:space="preserve">otitis media </w:t>
      </w:r>
      <w:r w:rsidRPr="00B14410">
        <w:rPr>
          <w:rFonts w:eastAsia="Times New Roman" w:cs="Times New Roman"/>
          <w:sz w:val="24"/>
          <w:szCs w:val="24"/>
          <w:lang w:val="en-GB" w:eastAsia="en-AU"/>
        </w:rPr>
        <w:t xml:space="preserve">and </w:t>
      </w:r>
      <w:r w:rsidRPr="00B14410">
        <w:rPr>
          <w:rFonts w:eastAsia="Times New Roman" w:cs="Times New Roman"/>
          <w:b/>
          <w:sz w:val="24"/>
          <w:szCs w:val="24"/>
          <w:lang w:val="en-GB" w:eastAsia="en-AU"/>
        </w:rPr>
        <w:t>death from otitis media</w:t>
      </w:r>
      <w:r w:rsidRPr="00B14410">
        <w:rPr>
          <w:rFonts w:eastAsia="Times New Roman" w:cs="Times New Roman"/>
          <w:sz w:val="24"/>
          <w:szCs w:val="24"/>
          <w:lang w:val="en-GB" w:eastAsia="en-AU"/>
        </w:rPr>
        <w:t>.</w:t>
      </w:r>
    </w:p>
    <w:p w:rsidR="00B14410" w:rsidRPr="00B14410" w:rsidRDefault="00B14410" w:rsidP="00B14410">
      <w:pPr>
        <w:spacing w:after="120" w:line="240" w:lineRule="auto"/>
        <w:ind w:left="1418" w:hanging="709"/>
        <w:jc w:val="both"/>
        <w:rPr>
          <w:rFonts w:eastAsia="Times New Roman" w:cs="Times New Roman"/>
          <w:sz w:val="24"/>
          <w:szCs w:val="24"/>
          <w:lang w:val="en-GB" w:eastAsia="en-AU"/>
        </w:rPr>
      </w:pPr>
      <w:r w:rsidRPr="00B14410">
        <w:rPr>
          <w:rFonts w:eastAsia="Times New Roman" w:cs="Times New Roman"/>
          <w:sz w:val="24"/>
          <w:szCs w:val="24"/>
          <w:lang w:val="en-GB" w:eastAsia="en-AU"/>
        </w:rPr>
        <w:t>(b)</w:t>
      </w:r>
      <w:r w:rsidRPr="00B14410">
        <w:rPr>
          <w:rFonts w:eastAsia="Times New Roman" w:cs="Times New Roman"/>
          <w:sz w:val="24"/>
          <w:szCs w:val="24"/>
          <w:lang w:val="en-GB" w:eastAsia="en-AU"/>
        </w:rPr>
        <w:tab/>
        <w:t xml:space="preserve">For the purposes of this Statement of Principles, </w:t>
      </w:r>
      <w:r w:rsidRPr="00B14410">
        <w:rPr>
          <w:rFonts w:eastAsia="Times New Roman" w:cs="Times New Roman"/>
          <w:b/>
          <w:sz w:val="24"/>
          <w:szCs w:val="24"/>
          <w:lang w:val="en-GB" w:eastAsia="en-AU"/>
        </w:rPr>
        <w:t>"otitis media"</w:t>
      </w:r>
      <w:r w:rsidRPr="00B14410">
        <w:rPr>
          <w:rFonts w:eastAsia="Times New Roman" w:cs="Times New Roman"/>
          <w:sz w:val="24"/>
          <w:szCs w:val="24"/>
          <w:lang w:val="en-GB" w:eastAsia="en-AU"/>
        </w:rPr>
        <w:t xml:space="preserve"> means an infective or inflammatory process within the middle ear.  This definition of otitis media excludes cholesteatoma of the middle ear or isolated perforation of the tympanic membrane.</w:t>
      </w:r>
    </w:p>
    <w:p w:rsidR="00B14410" w:rsidRPr="00B14410" w:rsidRDefault="00B14410" w:rsidP="00B14410">
      <w:pPr>
        <w:spacing w:after="120" w:line="240" w:lineRule="auto"/>
        <w:ind w:left="1418" w:hanging="709"/>
        <w:jc w:val="both"/>
        <w:rPr>
          <w:rFonts w:eastAsia="Times New Roman" w:cs="Times New Roman"/>
          <w:sz w:val="24"/>
          <w:szCs w:val="24"/>
          <w:lang w:val="en-GB" w:eastAsia="en-AU"/>
        </w:rPr>
      </w:pPr>
      <w:r w:rsidRPr="00B14410">
        <w:rPr>
          <w:rFonts w:eastAsia="Times New Roman" w:cs="Times New Roman"/>
          <w:sz w:val="24"/>
          <w:szCs w:val="24"/>
          <w:lang w:val="en-GB" w:eastAsia="en-AU"/>
        </w:rPr>
        <w:lastRenderedPageBreak/>
        <w:t>(c)</w:t>
      </w:r>
      <w:r w:rsidRPr="00B14410">
        <w:rPr>
          <w:rFonts w:eastAsia="Times New Roman" w:cs="Times New Roman"/>
          <w:sz w:val="24"/>
          <w:szCs w:val="24"/>
          <w:lang w:val="en-GB" w:eastAsia="en-AU"/>
        </w:rPr>
        <w:tab/>
        <w:t>Otitis media attracts ICD-10-AM code H65, H66 or H67.</w:t>
      </w:r>
    </w:p>
    <w:p w:rsidR="00B14410" w:rsidRPr="00B14410" w:rsidRDefault="00B14410" w:rsidP="00B14410">
      <w:pPr>
        <w:spacing w:after="120" w:line="240" w:lineRule="auto"/>
        <w:ind w:left="1418" w:hanging="709"/>
        <w:jc w:val="both"/>
        <w:rPr>
          <w:rFonts w:eastAsia="Times New Roman" w:cs="Times New Roman"/>
          <w:sz w:val="24"/>
          <w:szCs w:val="24"/>
          <w:lang w:val="en-GB" w:eastAsia="en-AU"/>
        </w:rPr>
      </w:pPr>
      <w:r w:rsidRPr="00B14410">
        <w:rPr>
          <w:rFonts w:eastAsia="Times New Roman" w:cs="Times New Roman"/>
          <w:sz w:val="24"/>
          <w:szCs w:val="24"/>
          <w:lang w:val="en-GB" w:eastAsia="en-AU"/>
        </w:rPr>
        <w:t>(d)</w:t>
      </w:r>
      <w:r w:rsidRPr="00B14410">
        <w:rPr>
          <w:rFonts w:eastAsia="Times New Roman" w:cs="Times New Roman"/>
          <w:sz w:val="24"/>
          <w:szCs w:val="24"/>
          <w:lang w:val="en-GB" w:eastAsia="en-AU"/>
        </w:rPr>
        <w:tab/>
        <w:t xml:space="preserve">In the application of this Statement of Principles, the definition of </w:t>
      </w:r>
      <w:r w:rsidRPr="00B14410">
        <w:rPr>
          <w:rFonts w:eastAsia="Times New Roman" w:cs="Times New Roman"/>
          <w:b/>
          <w:sz w:val="24"/>
          <w:szCs w:val="24"/>
          <w:lang w:val="en-GB" w:eastAsia="en-AU"/>
        </w:rPr>
        <w:t xml:space="preserve">"otitis media" </w:t>
      </w:r>
      <w:r w:rsidRPr="00B14410">
        <w:rPr>
          <w:rFonts w:eastAsia="Times New Roman" w:cs="Times New Roman"/>
          <w:sz w:val="24"/>
          <w:szCs w:val="24"/>
          <w:lang w:val="en-GB" w:eastAsia="en-AU"/>
        </w:rPr>
        <w:t>is that given at paragraph 3(b) above.</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Basis for determining the factors</w:t>
      </w:r>
    </w:p>
    <w:p w:rsidR="00B14410" w:rsidRPr="00B14410" w:rsidRDefault="00B14410" w:rsidP="00B14410">
      <w:pPr>
        <w:spacing w:line="240" w:lineRule="atLeast"/>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4.</w:t>
      </w:r>
      <w:r w:rsidRPr="00B14410">
        <w:rPr>
          <w:rFonts w:eastAsia="Times New Roman" w:cs="Times New Roman"/>
          <w:sz w:val="24"/>
          <w:szCs w:val="24"/>
          <w:lang w:val="en-GB" w:eastAsia="en-AU"/>
        </w:rPr>
        <w:tab/>
        <w:t xml:space="preserve">On the sound medical-scientific evidence available, the Repatriation Medical Authority is of the view that it is more probable than not that </w:t>
      </w:r>
      <w:r w:rsidRPr="00B14410">
        <w:rPr>
          <w:rFonts w:eastAsia="Times New Roman" w:cs="Times New Roman"/>
          <w:b/>
          <w:sz w:val="24"/>
          <w:szCs w:val="24"/>
          <w:lang w:val="en-GB" w:eastAsia="en-AU"/>
        </w:rPr>
        <w:t xml:space="preserve">otitis media </w:t>
      </w:r>
      <w:r w:rsidRPr="00B14410">
        <w:rPr>
          <w:rFonts w:eastAsia="Times New Roman" w:cs="Times New Roman"/>
          <w:sz w:val="24"/>
          <w:szCs w:val="24"/>
          <w:lang w:val="en-GB" w:eastAsia="en-AU"/>
        </w:rPr>
        <w:t>and</w:t>
      </w:r>
      <w:r w:rsidRPr="00B14410">
        <w:rPr>
          <w:rFonts w:eastAsia="Times New Roman" w:cs="Times New Roman"/>
          <w:b/>
          <w:sz w:val="24"/>
          <w:szCs w:val="24"/>
          <w:lang w:val="en-GB" w:eastAsia="en-AU"/>
        </w:rPr>
        <w:t xml:space="preserve"> death from otitis media </w:t>
      </w:r>
      <w:r w:rsidRPr="00B14410">
        <w:rPr>
          <w:rFonts w:eastAsia="Times New Roman" w:cs="Times New Roman"/>
          <w:sz w:val="24"/>
          <w:szCs w:val="24"/>
          <w:lang w:val="en-GB" w:eastAsia="en-AU"/>
        </w:rPr>
        <w:t xml:space="preserve">can be related to relevant service rendered by veterans or members of the Forces under the VEA, or members under the </w:t>
      </w:r>
      <w:r w:rsidRPr="00B14410">
        <w:rPr>
          <w:rFonts w:eastAsia="Times New Roman" w:cs="Times New Roman"/>
          <w:i/>
          <w:sz w:val="24"/>
          <w:szCs w:val="24"/>
          <w:lang w:val="en-GB" w:eastAsia="en-AU"/>
        </w:rPr>
        <w:t>Military Rehabilitation and Compensation Act 2004</w:t>
      </w:r>
      <w:r w:rsidRPr="00B14410">
        <w:rPr>
          <w:rFonts w:eastAsia="Times New Roman" w:cs="Times New Roman"/>
          <w:sz w:val="24"/>
          <w:szCs w:val="24"/>
          <w:lang w:val="en-GB" w:eastAsia="en-AU"/>
        </w:rPr>
        <w:t xml:space="preserve"> (the MRCA).</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Factors that must be related to service</w:t>
      </w:r>
    </w:p>
    <w:p w:rsidR="00B14410" w:rsidRPr="00B14410" w:rsidRDefault="00B14410" w:rsidP="00B14410">
      <w:pPr>
        <w:spacing w:line="240" w:lineRule="atLeast"/>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5.</w:t>
      </w:r>
      <w:r w:rsidRPr="00B14410">
        <w:rPr>
          <w:rFonts w:eastAsia="Times New Roman" w:cs="Times New Roman"/>
          <w:sz w:val="24"/>
          <w:szCs w:val="24"/>
          <w:lang w:val="en-GB" w:eastAsia="en-AU"/>
        </w:rPr>
        <w:tab/>
        <w:t>Subject to clause 7, at least one of the factors set out in clause 6 must be related to the relevant service rendered by the person.</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Factors</w:t>
      </w:r>
    </w:p>
    <w:p w:rsidR="00B14410" w:rsidRPr="00B14410" w:rsidRDefault="00B14410" w:rsidP="00B14410">
      <w:pPr>
        <w:spacing w:after="120" w:line="240" w:lineRule="auto"/>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6.</w:t>
      </w:r>
      <w:r w:rsidRPr="00B14410">
        <w:rPr>
          <w:rFonts w:eastAsia="Times New Roman" w:cs="Times New Roman"/>
          <w:sz w:val="24"/>
          <w:szCs w:val="24"/>
          <w:lang w:val="en-GB" w:eastAsia="en-AU"/>
        </w:rPr>
        <w:tab/>
        <w:t xml:space="preserve">The factor that must exist before it can be said that, on the balance of probabilities, </w:t>
      </w:r>
      <w:r w:rsidRPr="00B14410">
        <w:rPr>
          <w:rFonts w:eastAsia="Times New Roman" w:cs="Times New Roman"/>
          <w:b/>
          <w:sz w:val="24"/>
          <w:szCs w:val="24"/>
          <w:lang w:val="en-GB" w:eastAsia="en-AU"/>
        </w:rPr>
        <w:t>otitis media</w:t>
      </w:r>
      <w:r w:rsidRPr="00B14410">
        <w:rPr>
          <w:rFonts w:eastAsia="Times New Roman" w:cs="Times New Roman"/>
          <w:sz w:val="24"/>
          <w:szCs w:val="24"/>
          <w:lang w:val="en-GB" w:eastAsia="en-AU"/>
        </w:rPr>
        <w:t xml:space="preserve"> or</w:t>
      </w:r>
      <w:r w:rsidRPr="00B14410">
        <w:rPr>
          <w:rFonts w:eastAsia="Times New Roman" w:cs="Times New Roman"/>
          <w:b/>
          <w:sz w:val="24"/>
          <w:szCs w:val="24"/>
          <w:lang w:val="en-GB" w:eastAsia="en-AU"/>
        </w:rPr>
        <w:t xml:space="preserve"> death from otitis media </w:t>
      </w:r>
      <w:r w:rsidRPr="00B14410">
        <w:rPr>
          <w:rFonts w:eastAsia="Times New Roman" w:cs="Times New Roman"/>
          <w:sz w:val="24"/>
          <w:szCs w:val="24"/>
          <w:lang w:val="en-GB" w:eastAsia="en-AU"/>
        </w:rPr>
        <w:t>is connected with the circumstances of a person’s relevant service is:</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US" w:eastAsia="en-AU"/>
        </w:rPr>
      </w:pPr>
      <w:r w:rsidRPr="00B14410">
        <w:rPr>
          <w:rFonts w:eastAsia="Times New Roman" w:cs="Times New Roman"/>
          <w:sz w:val="24"/>
          <w:szCs w:val="24"/>
          <w:lang w:val="en-US" w:eastAsia="en-AU"/>
        </w:rPr>
        <w:t>having an upper respiratory tract infection within the seven days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t>having a partial or complete obstruction of the Eustachian tube of the affected side within the seven days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US" w:eastAsia="en-AU"/>
        </w:rPr>
      </w:pPr>
      <w:r w:rsidRPr="00B14410">
        <w:rPr>
          <w:rFonts w:eastAsia="Times New Roman" w:cs="Times New Roman"/>
          <w:sz w:val="24"/>
          <w:szCs w:val="24"/>
          <w:lang w:val="en-US" w:eastAsia="en-AU"/>
        </w:rPr>
        <w:t>having allergic rhinitis within the seven days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napToGrid w:val="0"/>
          <w:sz w:val="24"/>
          <w:szCs w:val="24"/>
          <w:lang w:val="en-GB" w:eastAsia="en-AU"/>
        </w:rPr>
      </w:pPr>
      <w:r w:rsidRPr="00B14410">
        <w:rPr>
          <w:rFonts w:eastAsia="Times New Roman" w:cs="Times New Roman"/>
          <w:snapToGrid w:val="0"/>
          <w:sz w:val="24"/>
          <w:szCs w:val="24"/>
          <w:lang w:val="en-GB" w:eastAsia="en-AU"/>
        </w:rPr>
        <w:t>having a malignant neoplasm of the nasopharynx at the time of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napToGrid w:val="0"/>
          <w:sz w:val="24"/>
          <w:szCs w:val="24"/>
          <w:lang w:val="en-GB" w:eastAsia="en-AU"/>
        </w:rPr>
      </w:pPr>
      <w:r w:rsidRPr="00B14410">
        <w:rPr>
          <w:rFonts w:eastAsia="Times New Roman" w:cs="Times New Roman"/>
          <w:snapToGrid w:val="0"/>
          <w:sz w:val="24"/>
          <w:szCs w:val="24"/>
          <w:lang w:val="en-GB" w:eastAsia="en-AU"/>
        </w:rPr>
        <w:t xml:space="preserve">having received a cumulative equivalent dose of at least 20 </w:t>
      </w:r>
      <w:proofErr w:type="spellStart"/>
      <w:r w:rsidRPr="00B14410">
        <w:rPr>
          <w:rFonts w:eastAsia="Times New Roman" w:cs="Times New Roman"/>
          <w:snapToGrid w:val="0"/>
          <w:sz w:val="24"/>
          <w:szCs w:val="24"/>
          <w:lang w:val="en-GB" w:eastAsia="en-AU"/>
        </w:rPr>
        <w:t>sieverts</w:t>
      </w:r>
      <w:proofErr w:type="spellEnd"/>
      <w:r w:rsidRPr="00B14410">
        <w:rPr>
          <w:rFonts w:eastAsia="Times New Roman" w:cs="Times New Roman"/>
          <w:snapToGrid w:val="0"/>
          <w:sz w:val="24"/>
          <w:szCs w:val="24"/>
          <w:lang w:val="en-GB" w:eastAsia="en-AU"/>
        </w:rPr>
        <w:t xml:space="preserve"> of ionising radiation to the temporal bone of the affected side within the three years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t>undergoing a course of therapeutic radiation for cancer, where the affected ear was in the field of radiation, within the three years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t>having a rupture of the tympanic membrane of the affected side within the seven days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t xml:space="preserve">experiencing </w:t>
      </w:r>
      <w:proofErr w:type="spellStart"/>
      <w:r w:rsidRPr="00B14410">
        <w:rPr>
          <w:rFonts w:eastAsia="Times New Roman" w:cs="Times New Roman"/>
          <w:sz w:val="24"/>
          <w:szCs w:val="24"/>
          <w:lang w:val="en-GB" w:eastAsia="en-AU"/>
        </w:rPr>
        <w:t>otitic</w:t>
      </w:r>
      <w:proofErr w:type="spellEnd"/>
      <w:r w:rsidRPr="00B14410">
        <w:rPr>
          <w:rFonts w:eastAsia="Times New Roman" w:cs="Times New Roman"/>
          <w:sz w:val="24"/>
          <w:szCs w:val="24"/>
          <w:lang w:val="en-GB" w:eastAsia="en-AU"/>
        </w:rPr>
        <w:t xml:space="preserve"> barotrauma within the seven days before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lastRenderedPageBreak/>
        <w:t>having tuberculosis at the time of the clinical onset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US" w:eastAsia="en-AU"/>
        </w:rPr>
      </w:pPr>
      <w:r w:rsidRPr="00B14410">
        <w:rPr>
          <w:rFonts w:eastAsia="Times New Roman" w:cs="Times New Roman"/>
          <w:sz w:val="24"/>
          <w:szCs w:val="24"/>
          <w:lang w:val="en-US" w:eastAsia="en-AU"/>
        </w:rPr>
        <w:t>having an upper respiratory tract infection within the seven days before the clinical worsening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US" w:eastAsia="en-AU"/>
        </w:rPr>
      </w:pPr>
      <w:r w:rsidRPr="00B14410">
        <w:rPr>
          <w:rFonts w:eastAsia="Times New Roman" w:cs="Times New Roman"/>
          <w:sz w:val="24"/>
          <w:szCs w:val="24"/>
          <w:lang w:val="en-US" w:eastAsia="en-AU"/>
        </w:rPr>
        <w:t>having allergic rhinitis within the seven days before the clinical worsening of otitis media; or</w:t>
      </w:r>
    </w:p>
    <w:p w:rsidR="00B14410" w:rsidRPr="00B14410" w:rsidRDefault="00B14410" w:rsidP="00B14410">
      <w:pPr>
        <w:numPr>
          <w:ilvl w:val="0"/>
          <w:numId w:val="15"/>
        </w:numPr>
        <w:spacing w:after="120" w:line="240" w:lineRule="auto"/>
        <w:ind w:left="1440"/>
        <w:jc w:val="both"/>
        <w:rPr>
          <w:rFonts w:eastAsia="Times New Roman" w:cs="Times New Roman"/>
          <w:sz w:val="24"/>
          <w:szCs w:val="24"/>
          <w:lang w:val="en-GB" w:eastAsia="en-AU"/>
        </w:rPr>
      </w:pPr>
      <w:r w:rsidRPr="00B14410">
        <w:rPr>
          <w:rFonts w:eastAsia="Times New Roman" w:cs="Times New Roman"/>
          <w:sz w:val="24"/>
          <w:szCs w:val="24"/>
          <w:lang w:val="en-GB" w:eastAsia="en-AU"/>
        </w:rPr>
        <w:t xml:space="preserve">experiencing </w:t>
      </w:r>
      <w:proofErr w:type="spellStart"/>
      <w:r w:rsidRPr="00B14410">
        <w:rPr>
          <w:rFonts w:eastAsia="Times New Roman" w:cs="Times New Roman"/>
          <w:sz w:val="24"/>
          <w:szCs w:val="24"/>
          <w:lang w:val="en-GB" w:eastAsia="en-AU"/>
        </w:rPr>
        <w:t>otitic</w:t>
      </w:r>
      <w:proofErr w:type="spellEnd"/>
      <w:r w:rsidRPr="00B14410">
        <w:rPr>
          <w:rFonts w:eastAsia="Times New Roman" w:cs="Times New Roman"/>
          <w:sz w:val="24"/>
          <w:szCs w:val="24"/>
          <w:lang w:val="en-GB" w:eastAsia="en-AU"/>
        </w:rPr>
        <w:t xml:space="preserve"> barotrauma within the seven days before the clinical worsening of otitis media; or</w:t>
      </w:r>
    </w:p>
    <w:p w:rsidR="00B14410" w:rsidRPr="00B14410" w:rsidRDefault="00B14410" w:rsidP="00B14410">
      <w:pPr>
        <w:numPr>
          <w:ilvl w:val="0"/>
          <w:numId w:val="15"/>
        </w:numPr>
        <w:spacing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inability to obtain appropriate clinical management for otitis media.</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Factors that apply only to material contribution or aggravation</w:t>
      </w:r>
    </w:p>
    <w:p w:rsidR="00B14410" w:rsidRPr="00B14410" w:rsidRDefault="00B14410" w:rsidP="00B14410">
      <w:pPr>
        <w:spacing w:line="240" w:lineRule="atLeast"/>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7.</w:t>
      </w:r>
      <w:r w:rsidRPr="00B14410">
        <w:rPr>
          <w:rFonts w:eastAsia="Times New Roman" w:cs="Times New Roman"/>
          <w:sz w:val="24"/>
          <w:szCs w:val="24"/>
          <w:lang w:val="en-GB" w:eastAsia="en-AU"/>
        </w:rPr>
        <w:tab/>
        <w:t xml:space="preserve">Paragraphs </w:t>
      </w:r>
      <w:r w:rsidRPr="00B14410">
        <w:rPr>
          <w:rFonts w:eastAsia="Times New Roman" w:cs="Times New Roman"/>
          <w:b/>
          <w:sz w:val="24"/>
          <w:szCs w:val="24"/>
          <w:lang w:val="en-GB" w:eastAsia="en-AU"/>
        </w:rPr>
        <w:t xml:space="preserve">6(j) to 6(m) </w:t>
      </w:r>
      <w:r w:rsidRPr="00B14410">
        <w:rPr>
          <w:rFonts w:eastAsia="Times New Roman" w:cs="Times New Roman"/>
          <w:sz w:val="24"/>
          <w:szCs w:val="24"/>
          <w:lang w:val="en-GB" w:eastAsia="en-AU"/>
        </w:rPr>
        <w:t>apply only to material contribution to, or aggravation of, otitis media where the person’s otitis media was suffered or contracted before or during (but not arising out of) the person’s relevant service.</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Inclusion of Statements of Principles</w:t>
      </w:r>
    </w:p>
    <w:p w:rsidR="00B14410" w:rsidRPr="00B14410" w:rsidRDefault="00B14410" w:rsidP="00B14410">
      <w:pPr>
        <w:numPr>
          <w:ilvl w:val="0"/>
          <w:numId w:val="16"/>
        </w:numPr>
        <w:spacing w:line="240" w:lineRule="atLeast"/>
        <w:jc w:val="both"/>
        <w:rPr>
          <w:rFonts w:eastAsia="Times New Roman" w:cs="Times New Roman"/>
          <w:sz w:val="24"/>
          <w:szCs w:val="24"/>
          <w:lang w:val="en-GB" w:eastAsia="en-AU"/>
        </w:rPr>
      </w:pPr>
      <w:r w:rsidRPr="00B14410">
        <w:rPr>
          <w:rFonts w:eastAsia="Times New Roman" w:cs="Times New Roman"/>
          <w:sz w:val="24"/>
          <w:szCs w:val="24"/>
          <w:lang w:val="en-GB" w:eastAsia="en-AU"/>
        </w:rPr>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Other definitions</w:t>
      </w:r>
    </w:p>
    <w:p w:rsidR="00B14410" w:rsidRPr="00B14410" w:rsidRDefault="00B14410" w:rsidP="00B14410">
      <w:pPr>
        <w:numPr>
          <w:ilvl w:val="0"/>
          <w:numId w:val="14"/>
        </w:numPr>
        <w:spacing w:after="120"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For the purposes of this Statement of Principles:</w:t>
      </w:r>
    </w:p>
    <w:p w:rsidR="005F6096" w:rsidRPr="00BD3220" w:rsidRDefault="005F6096" w:rsidP="008043D3">
      <w:pPr>
        <w:pStyle w:val="Definition"/>
        <w:ind w:left="709"/>
        <w:jc w:val="both"/>
        <w:rPr>
          <w:sz w:val="24"/>
          <w:szCs w:val="24"/>
        </w:rPr>
      </w:pPr>
      <w:r w:rsidRPr="00BD3220">
        <w:rPr>
          <w:b/>
          <w:sz w:val="24"/>
          <w:szCs w:val="24"/>
        </w:rPr>
        <w:t>"cumulative equivalent dose"</w:t>
      </w:r>
      <w:r w:rsidRPr="00BD3220">
        <w:rPr>
          <w:sz w:val="24"/>
          <w:szCs w:val="24"/>
        </w:rPr>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BD3220">
        <w:rPr>
          <w:i/>
          <w:sz w:val="24"/>
          <w:szCs w:val="24"/>
        </w:rPr>
        <w:t>Guide to calculation of 'cumulative equivalent dose' for the purpose of applying ionising radiation factors contained in Statements of Principles determined under Part XIA of the Veterans' Entitlements Act 1986 (</w:t>
      </w:r>
      <w:proofErr w:type="spellStart"/>
      <w:r w:rsidRPr="00BD3220">
        <w:rPr>
          <w:i/>
          <w:sz w:val="24"/>
          <w:szCs w:val="24"/>
        </w:rPr>
        <w:t>Cth</w:t>
      </w:r>
      <w:proofErr w:type="spellEnd"/>
      <w:r w:rsidRPr="00BD3220">
        <w:rPr>
          <w:i/>
          <w:sz w:val="24"/>
          <w:szCs w:val="24"/>
        </w:rPr>
        <w:t>)</w:t>
      </w:r>
      <w:r w:rsidRPr="00BD3220">
        <w:rPr>
          <w:sz w:val="24"/>
          <w:szCs w:val="24"/>
        </w:rPr>
        <w:t>, Australian Radiation Protection and Nuclear Safety Agency</w:t>
      </w:r>
      <w:r w:rsidRPr="00BD3220">
        <w:rPr>
          <w:rFonts w:eastAsia="Calibri"/>
          <w:sz w:val="24"/>
          <w:szCs w:val="24"/>
        </w:rPr>
        <w:t>, as in force on 2 August 2017</w:t>
      </w:r>
      <w:r>
        <w:rPr>
          <w:rFonts w:eastAsia="Calibri"/>
          <w:sz w:val="24"/>
          <w:szCs w:val="24"/>
        </w:rPr>
        <w:t>;</w:t>
      </w:r>
    </w:p>
    <w:p w:rsidR="005F6096" w:rsidRPr="00BD3220" w:rsidRDefault="005F6096" w:rsidP="008043D3">
      <w:pPr>
        <w:pStyle w:val="notetext"/>
        <w:ind w:left="1418" w:hanging="709"/>
        <w:jc w:val="both"/>
        <w:rPr>
          <w:sz w:val="20"/>
        </w:rPr>
      </w:pPr>
      <w:r w:rsidRPr="00BD3220">
        <w:rPr>
          <w:sz w:val="20"/>
        </w:rPr>
        <w:t>Note 1:</w:t>
      </w:r>
      <w:r w:rsidRPr="00BD3220">
        <w:rPr>
          <w:sz w:val="20"/>
        </w:rPr>
        <w:tab/>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5F6096" w:rsidRPr="00B14410" w:rsidRDefault="005F6096" w:rsidP="008043D3">
      <w:pPr>
        <w:pStyle w:val="notetext"/>
        <w:spacing w:after="120"/>
        <w:ind w:left="1418" w:hanging="709"/>
        <w:jc w:val="both"/>
        <w:rPr>
          <w:b/>
          <w:sz w:val="24"/>
          <w:szCs w:val="24"/>
          <w:lang w:val="en-GB"/>
        </w:rPr>
      </w:pPr>
      <w:r w:rsidRPr="00BD3220">
        <w:rPr>
          <w:sz w:val="20"/>
        </w:rPr>
        <w:t>Note 2:</w:t>
      </w:r>
      <w:r w:rsidRPr="00BD3220">
        <w:rPr>
          <w:sz w:val="20"/>
        </w:rPr>
        <w:tab/>
        <w:t>For the purpose of dose reconstruction, dose is calculated as an average over the mass of a specific tissue or organ. If a tissue is exposed to multiple sources of ionising radiation, the various dose estimates for each type of radiation must be combined.</w:t>
      </w:r>
      <w:bookmarkStart w:id="0" w:name="_GoBack"/>
      <w:bookmarkEnd w:id="0"/>
    </w:p>
    <w:p w:rsidR="00B14410" w:rsidRPr="00B14410" w:rsidRDefault="00B14410" w:rsidP="00B14410">
      <w:pPr>
        <w:tabs>
          <w:tab w:val="num" w:pos="709"/>
        </w:tabs>
        <w:spacing w:after="120" w:line="240" w:lineRule="auto"/>
        <w:ind w:left="720"/>
        <w:jc w:val="both"/>
        <w:rPr>
          <w:rFonts w:eastAsia="Times New Roman" w:cs="Times New Roman"/>
          <w:sz w:val="24"/>
          <w:szCs w:val="24"/>
          <w:lang w:val="en-GB" w:eastAsia="en-AU"/>
        </w:rPr>
      </w:pPr>
      <w:r w:rsidRPr="00B14410">
        <w:rPr>
          <w:rFonts w:eastAsia="Times New Roman" w:cs="Times New Roman"/>
          <w:b/>
          <w:sz w:val="24"/>
          <w:szCs w:val="24"/>
          <w:lang w:val="en-GB" w:eastAsia="en-AU"/>
        </w:rPr>
        <w:t xml:space="preserve">"death from otitis media" </w:t>
      </w:r>
      <w:r w:rsidRPr="00B14410">
        <w:rPr>
          <w:rFonts w:eastAsia="Times New Roman" w:cs="Times New Roman"/>
          <w:sz w:val="24"/>
          <w:szCs w:val="24"/>
          <w:lang w:val="en-GB" w:eastAsia="en-AU"/>
        </w:rPr>
        <w:t>in relation to a person includes death from a terminal event or condition that was contributed to by the person’s otitis media;</w:t>
      </w:r>
    </w:p>
    <w:p w:rsidR="00B14410" w:rsidRPr="00B14410" w:rsidRDefault="00B14410" w:rsidP="00B14410">
      <w:pPr>
        <w:tabs>
          <w:tab w:val="num" w:pos="709"/>
        </w:tabs>
        <w:spacing w:after="120" w:line="240" w:lineRule="auto"/>
        <w:ind w:left="709"/>
        <w:jc w:val="both"/>
        <w:rPr>
          <w:rFonts w:eastAsia="Times New Roman" w:cs="Times New Roman"/>
          <w:sz w:val="24"/>
          <w:szCs w:val="24"/>
          <w:lang w:val="en-GB" w:eastAsia="en-AU"/>
        </w:rPr>
      </w:pPr>
      <w:r w:rsidRPr="00B14410">
        <w:rPr>
          <w:rFonts w:eastAsia="Times New Roman" w:cs="Times New Roman"/>
          <w:b/>
          <w:sz w:val="24"/>
          <w:szCs w:val="24"/>
          <w:lang w:val="en-GB" w:eastAsia="en-AU"/>
        </w:rPr>
        <w:lastRenderedPageBreak/>
        <w:t>"ICD-10-AM code"</w:t>
      </w:r>
      <w:r w:rsidRPr="00B14410">
        <w:rPr>
          <w:rFonts w:eastAsia="Times New Roman" w:cs="Times New Roman"/>
          <w:sz w:val="24"/>
          <w:szCs w:val="24"/>
          <w:lang w:val="en-GB" w:eastAsia="en-AU"/>
        </w:rPr>
        <w:t xml:space="preserve"> means a number assigned to a particular kind of injury or disease in The International Statistical Classification of Diseases and Related Health Problems, 10th Revision, Australian Modification (ICD-10-AM), Eighth Edition, effective date of 1 July 2013, copyrighted by the Independent Hospital Pricing Authority, and having ISBN 978-1-74128-213-9;</w:t>
      </w:r>
    </w:p>
    <w:p w:rsidR="00B14410" w:rsidRPr="00B14410" w:rsidRDefault="00B14410" w:rsidP="00B14410">
      <w:pPr>
        <w:tabs>
          <w:tab w:val="num" w:pos="709"/>
        </w:tabs>
        <w:spacing w:after="120" w:line="240" w:lineRule="auto"/>
        <w:ind w:left="720"/>
        <w:jc w:val="both"/>
        <w:rPr>
          <w:rFonts w:eastAsia="Times New Roman" w:cs="Times New Roman"/>
          <w:sz w:val="24"/>
          <w:szCs w:val="24"/>
          <w:lang w:val="en-GB" w:eastAsia="en-AU"/>
        </w:rPr>
      </w:pPr>
      <w:r w:rsidRPr="00B14410">
        <w:rPr>
          <w:rFonts w:eastAsia="Times New Roman" w:cs="Times New Roman"/>
          <w:b/>
          <w:sz w:val="24"/>
          <w:szCs w:val="24"/>
          <w:lang w:val="en-GB" w:eastAsia="en-AU"/>
        </w:rPr>
        <w:t>"relevant service"</w:t>
      </w:r>
      <w:r w:rsidRPr="00B14410">
        <w:rPr>
          <w:rFonts w:eastAsia="Times New Roman" w:cs="Times New Roman"/>
          <w:sz w:val="24"/>
          <w:szCs w:val="24"/>
          <w:lang w:val="en-GB" w:eastAsia="en-AU"/>
        </w:rPr>
        <w:t xml:space="preserve"> means:</w:t>
      </w:r>
    </w:p>
    <w:p w:rsidR="00B14410" w:rsidRPr="00B14410" w:rsidRDefault="00B14410" w:rsidP="00B14410">
      <w:pPr>
        <w:tabs>
          <w:tab w:val="num" w:pos="709"/>
        </w:tabs>
        <w:spacing w:line="240" w:lineRule="auto"/>
        <w:ind w:left="720"/>
        <w:jc w:val="both"/>
        <w:rPr>
          <w:rFonts w:eastAsia="Times New Roman" w:cs="Times New Roman"/>
          <w:sz w:val="24"/>
          <w:szCs w:val="24"/>
          <w:lang w:val="en-GB" w:eastAsia="en-AU"/>
        </w:rPr>
      </w:pPr>
      <w:r w:rsidRPr="00B14410">
        <w:rPr>
          <w:rFonts w:eastAsia="Times New Roman" w:cs="Times New Roman"/>
          <w:sz w:val="24"/>
          <w:szCs w:val="24"/>
          <w:lang w:val="en-GB" w:eastAsia="en-AU"/>
        </w:rPr>
        <w:t>(a)</w:t>
      </w:r>
      <w:r w:rsidRPr="00B14410">
        <w:rPr>
          <w:rFonts w:eastAsia="Times New Roman" w:cs="Times New Roman"/>
          <w:sz w:val="24"/>
          <w:szCs w:val="24"/>
          <w:lang w:val="en-GB" w:eastAsia="en-AU"/>
        </w:rPr>
        <w:tab/>
        <w:t xml:space="preserve">eligible war service (other than operational service) under the VEA; </w:t>
      </w:r>
    </w:p>
    <w:p w:rsidR="00B14410" w:rsidRPr="00B14410" w:rsidRDefault="00B14410" w:rsidP="00B14410">
      <w:pPr>
        <w:tabs>
          <w:tab w:val="num" w:pos="709"/>
        </w:tabs>
        <w:spacing w:line="240" w:lineRule="auto"/>
        <w:ind w:left="1440" w:hanging="720"/>
        <w:jc w:val="both"/>
        <w:rPr>
          <w:rFonts w:eastAsia="Times New Roman" w:cs="Times New Roman"/>
          <w:sz w:val="24"/>
          <w:szCs w:val="24"/>
          <w:lang w:val="en-GB" w:eastAsia="en-AU"/>
        </w:rPr>
      </w:pPr>
      <w:r w:rsidRPr="00B14410">
        <w:rPr>
          <w:rFonts w:eastAsia="Times New Roman" w:cs="Times New Roman"/>
          <w:sz w:val="24"/>
          <w:szCs w:val="24"/>
          <w:lang w:val="en-GB" w:eastAsia="en-AU"/>
        </w:rPr>
        <w:t>(b)</w:t>
      </w:r>
      <w:r w:rsidRPr="00B14410">
        <w:rPr>
          <w:rFonts w:eastAsia="Times New Roman" w:cs="Times New Roman"/>
          <w:sz w:val="24"/>
          <w:szCs w:val="24"/>
          <w:lang w:val="en-GB" w:eastAsia="en-AU"/>
        </w:rPr>
        <w:tab/>
        <w:t>defence service (other than hazardous service and British nuclear test defence service) under the VEA; or</w:t>
      </w:r>
    </w:p>
    <w:p w:rsidR="00B14410" w:rsidRPr="00B14410" w:rsidRDefault="00B14410" w:rsidP="00B14410">
      <w:pPr>
        <w:tabs>
          <w:tab w:val="num" w:pos="709"/>
        </w:tabs>
        <w:spacing w:after="120" w:line="240" w:lineRule="auto"/>
        <w:ind w:left="720"/>
        <w:jc w:val="both"/>
        <w:rPr>
          <w:rFonts w:eastAsia="Times New Roman" w:cs="Times New Roman"/>
          <w:sz w:val="24"/>
          <w:szCs w:val="24"/>
          <w:lang w:val="en-GB" w:eastAsia="en-AU"/>
        </w:rPr>
      </w:pPr>
      <w:r w:rsidRPr="00B14410">
        <w:rPr>
          <w:rFonts w:eastAsia="Times New Roman" w:cs="Times New Roman"/>
          <w:sz w:val="24"/>
          <w:szCs w:val="24"/>
          <w:lang w:val="en-GB" w:eastAsia="en-AU"/>
        </w:rPr>
        <w:t>(c)</w:t>
      </w:r>
      <w:r w:rsidRPr="00B14410">
        <w:rPr>
          <w:rFonts w:eastAsia="Times New Roman" w:cs="Times New Roman"/>
          <w:sz w:val="24"/>
          <w:szCs w:val="24"/>
          <w:lang w:val="en-GB" w:eastAsia="en-AU"/>
        </w:rPr>
        <w:tab/>
        <w:t>peacetime service under the MRCA;</w:t>
      </w:r>
    </w:p>
    <w:p w:rsidR="00B14410" w:rsidRPr="00B14410" w:rsidRDefault="00B14410" w:rsidP="00B14410">
      <w:pPr>
        <w:tabs>
          <w:tab w:val="num" w:pos="709"/>
        </w:tabs>
        <w:spacing w:after="120" w:line="240" w:lineRule="auto"/>
        <w:ind w:left="720"/>
        <w:jc w:val="both"/>
        <w:rPr>
          <w:rFonts w:eastAsia="Times New Roman" w:cs="Times New Roman"/>
          <w:sz w:val="24"/>
          <w:szCs w:val="24"/>
          <w:lang w:val="en-GB" w:eastAsia="en-AU"/>
        </w:rPr>
      </w:pPr>
      <w:r w:rsidRPr="00B14410">
        <w:rPr>
          <w:rFonts w:eastAsia="Times New Roman" w:cs="Times New Roman"/>
          <w:b/>
          <w:sz w:val="24"/>
          <w:szCs w:val="24"/>
          <w:lang w:val="en-GB" w:eastAsia="en-AU"/>
        </w:rPr>
        <w:t xml:space="preserve">"terminal event" </w:t>
      </w:r>
      <w:r w:rsidRPr="00B14410">
        <w:rPr>
          <w:rFonts w:eastAsia="Times New Roman" w:cs="Times New Roman"/>
          <w:sz w:val="24"/>
          <w:szCs w:val="24"/>
          <w:lang w:val="en-GB" w:eastAsia="en-AU"/>
        </w:rPr>
        <w:t>means the proximate or ultimate cause of death and includes:</w:t>
      </w:r>
    </w:p>
    <w:p w:rsidR="00B14410" w:rsidRPr="00B14410" w:rsidRDefault="00B14410" w:rsidP="00B14410">
      <w:pPr>
        <w:numPr>
          <w:ilvl w:val="0"/>
          <w:numId w:val="17"/>
        </w:numPr>
        <w:spacing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pneumonia;</w:t>
      </w:r>
    </w:p>
    <w:p w:rsidR="00B14410" w:rsidRPr="00B14410" w:rsidRDefault="00B14410" w:rsidP="00B14410">
      <w:pPr>
        <w:numPr>
          <w:ilvl w:val="0"/>
          <w:numId w:val="17"/>
        </w:numPr>
        <w:spacing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respiratory failure;</w:t>
      </w:r>
    </w:p>
    <w:p w:rsidR="00B14410" w:rsidRPr="00B14410" w:rsidRDefault="00B14410" w:rsidP="00B14410">
      <w:pPr>
        <w:numPr>
          <w:ilvl w:val="0"/>
          <w:numId w:val="17"/>
        </w:numPr>
        <w:spacing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cardiac arrest;</w:t>
      </w:r>
    </w:p>
    <w:p w:rsidR="00B14410" w:rsidRPr="00B14410" w:rsidRDefault="00B14410" w:rsidP="00B14410">
      <w:pPr>
        <w:numPr>
          <w:ilvl w:val="0"/>
          <w:numId w:val="17"/>
        </w:numPr>
        <w:spacing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circulatory failure; or</w:t>
      </w:r>
    </w:p>
    <w:p w:rsidR="00B14410" w:rsidRPr="00B14410" w:rsidRDefault="00B14410" w:rsidP="00B14410">
      <w:pPr>
        <w:numPr>
          <w:ilvl w:val="0"/>
          <w:numId w:val="17"/>
        </w:numPr>
        <w:spacing w:after="120" w:line="240" w:lineRule="auto"/>
        <w:jc w:val="both"/>
        <w:rPr>
          <w:rFonts w:eastAsia="Times New Roman" w:cs="Times New Roman"/>
          <w:sz w:val="24"/>
          <w:szCs w:val="24"/>
          <w:lang w:val="en-GB" w:eastAsia="en-AU"/>
        </w:rPr>
      </w:pPr>
      <w:r w:rsidRPr="00B14410">
        <w:rPr>
          <w:rFonts w:eastAsia="Times New Roman" w:cs="Times New Roman"/>
          <w:sz w:val="24"/>
          <w:szCs w:val="24"/>
          <w:lang w:val="en-GB" w:eastAsia="en-AU"/>
        </w:rPr>
        <w:t>cessation of brain function.</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Application</w:t>
      </w:r>
    </w:p>
    <w:p w:rsidR="00B14410" w:rsidRPr="00B14410" w:rsidRDefault="00B14410" w:rsidP="00B14410">
      <w:pPr>
        <w:spacing w:line="240" w:lineRule="auto"/>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10.</w:t>
      </w:r>
      <w:r w:rsidRPr="00B14410">
        <w:rPr>
          <w:rFonts w:eastAsia="Times New Roman" w:cs="Times New Roman"/>
          <w:sz w:val="24"/>
          <w:szCs w:val="24"/>
          <w:lang w:val="en-GB" w:eastAsia="en-AU"/>
        </w:rPr>
        <w:tab/>
        <w:t>This Instrument applies to all matters to which section 120B of the VEA or section 339 of the MRCA applies.</w:t>
      </w:r>
    </w:p>
    <w:p w:rsidR="00B14410" w:rsidRPr="00B14410" w:rsidRDefault="00B14410" w:rsidP="00B14410">
      <w:pPr>
        <w:keepNext/>
        <w:spacing w:before="240" w:after="120" w:line="240" w:lineRule="auto"/>
        <w:jc w:val="both"/>
        <w:outlineLvl w:val="0"/>
        <w:rPr>
          <w:rFonts w:eastAsia="Times New Roman" w:cs="Times New Roman"/>
          <w:b/>
          <w:sz w:val="24"/>
          <w:szCs w:val="24"/>
          <w:lang w:eastAsia="en-AU"/>
        </w:rPr>
      </w:pPr>
      <w:r w:rsidRPr="00B14410">
        <w:rPr>
          <w:rFonts w:eastAsia="Times New Roman" w:cs="Times New Roman"/>
          <w:b/>
          <w:sz w:val="24"/>
          <w:szCs w:val="24"/>
          <w:lang w:eastAsia="en-AU"/>
        </w:rPr>
        <w:t>Date of effect</w:t>
      </w:r>
    </w:p>
    <w:p w:rsidR="00B14410" w:rsidRPr="00B14410" w:rsidRDefault="00B14410" w:rsidP="00B14410">
      <w:pPr>
        <w:spacing w:line="240" w:lineRule="auto"/>
        <w:ind w:left="720" w:hanging="720"/>
        <w:jc w:val="both"/>
        <w:rPr>
          <w:rFonts w:eastAsia="Times New Roman" w:cs="Times New Roman"/>
          <w:sz w:val="24"/>
          <w:szCs w:val="24"/>
          <w:lang w:val="en-GB" w:eastAsia="en-AU"/>
        </w:rPr>
      </w:pPr>
      <w:r w:rsidRPr="00B14410">
        <w:rPr>
          <w:rFonts w:eastAsia="Times New Roman" w:cs="Times New Roman"/>
          <w:b/>
          <w:sz w:val="24"/>
          <w:szCs w:val="24"/>
          <w:lang w:val="en-GB" w:eastAsia="en-AU"/>
        </w:rPr>
        <w:t>11.</w:t>
      </w:r>
      <w:r w:rsidRPr="00B14410">
        <w:rPr>
          <w:rFonts w:eastAsia="Times New Roman" w:cs="Times New Roman"/>
          <w:sz w:val="24"/>
          <w:szCs w:val="24"/>
          <w:lang w:val="en-GB" w:eastAsia="en-AU"/>
        </w:rPr>
        <w:tab/>
        <w:t>This Instrument takes effect from 7 May 2014.</w:t>
      </w:r>
    </w:p>
    <w:p w:rsidR="00DC7B41" w:rsidRDefault="00DC7B41" w:rsidP="00DC7B41">
      <w:pPr>
        <w:sectPr w:rsidR="00DC7B41" w:rsidSect="00AC07B0">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start="1"/>
          <w:cols w:space="708"/>
          <w:docGrid w:linePitch="360"/>
        </w:sectPr>
      </w:pPr>
    </w:p>
    <w:p w:rsidR="00307068" w:rsidRPr="001778F8" w:rsidRDefault="00307068" w:rsidP="00307068">
      <w:pPr>
        <w:pStyle w:val="ENotesHeading1"/>
      </w:pPr>
      <w:r>
        <w:lastRenderedPageBreak/>
        <w:t>Endnotes</w:t>
      </w:r>
    </w:p>
    <w:p w:rsidR="00307068" w:rsidRPr="00BC57F4" w:rsidRDefault="00307068" w:rsidP="00307068">
      <w:pPr>
        <w:pStyle w:val="ENotesHeading2"/>
      </w:pPr>
      <w:r w:rsidRPr="00BC57F4">
        <w:t>Endnote 1—About the endnotes</w:t>
      </w:r>
    </w:p>
    <w:p w:rsidR="00307068" w:rsidRPr="00042EA7" w:rsidRDefault="00307068" w:rsidP="00307068">
      <w:pPr>
        <w:spacing w:after="120"/>
      </w:pPr>
      <w:r w:rsidRPr="00042EA7">
        <w:t>The endnotes provide information about this compilation and the compiled law.</w:t>
      </w:r>
    </w:p>
    <w:p w:rsidR="00307068" w:rsidRPr="00042EA7" w:rsidRDefault="00307068" w:rsidP="00307068">
      <w:pPr>
        <w:spacing w:after="120"/>
      </w:pPr>
      <w:r w:rsidRPr="00042EA7">
        <w:t>The following endnotes are included in every compilation:</w:t>
      </w:r>
    </w:p>
    <w:p w:rsidR="00307068" w:rsidRPr="00042EA7" w:rsidRDefault="00307068" w:rsidP="00307068">
      <w:r w:rsidRPr="00042EA7">
        <w:t>Endnote 1—About the endnotes</w:t>
      </w:r>
    </w:p>
    <w:p w:rsidR="00307068" w:rsidRPr="00042EA7" w:rsidRDefault="00307068" w:rsidP="00307068">
      <w:r w:rsidRPr="00042EA7">
        <w:t>Endnote 2—Abbreviation key</w:t>
      </w:r>
    </w:p>
    <w:p w:rsidR="00307068" w:rsidRPr="00042EA7" w:rsidRDefault="00307068" w:rsidP="00307068">
      <w:r w:rsidRPr="00042EA7">
        <w:t>Endnote 3—Legislation history</w:t>
      </w:r>
    </w:p>
    <w:p w:rsidR="00307068" w:rsidRPr="00042EA7" w:rsidRDefault="00307068" w:rsidP="00307068">
      <w:pPr>
        <w:spacing w:after="120"/>
      </w:pPr>
      <w:r w:rsidRPr="00042EA7">
        <w:t>Endnote 4—Amendment history</w:t>
      </w:r>
    </w:p>
    <w:p w:rsidR="00307068" w:rsidRPr="00042EA7" w:rsidRDefault="00307068" w:rsidP="00307068">
      <w:r w:rsidRPr="00042EA7">
        <w:rPr>
          <w:b/>
        </w:rPr>
        <w:t>Abbreviation key—Endnote 2</w:t>
      </w:r>
    </w:p>
    <w:p w:rsidR="00307068" w:rsidRPr="00042EA7" w:rsidRDefault="00307068" w:rsidP="00307068">
      <w:pPr>
        <w:spacing w:after="120"/>
      </w:pPr>
      <w:r w:rsidRPr="00042EA7">
        <w:t>The abbreviation key sets out abbreviations that may be used in the endnotes.</w:t>
      </w:r>
    </w:p>
    <w:p w:rsidR="00307068" w:rsidRPr="00042EA7" w:rsidRDefault="00307068" w:rsidP="00307068">
      <w:pPr>
        <w:rPr>
          <w:b/>
        </w:rPr>
      </w:pPr>
      <w:r w:rsidRPr="00042EA7">
        <w:rPr>
          <w:b/>
        </w:rPr>
        <w:t>Legislation history and amendment history—Endnotes 3 and 4</w:t>
      </w:r>
    </w:p>
    <w:p w:rsidR="00307068" w:rsidRPr="00042EA7" w:rsidRDefault="00307068" w:rsidP="00307068">
      <w:pPr>
        <w:spacing w:after="120"/>
      </w:pPr>
      <w:r w:rsidRPr="00042EA7">
        <w:t>Amending laws are annotated in the legislation history and amendment history.</w:t>
      </w:r>
    </w:p>
    <w:p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307068" w:rsidRPr="00042EA7" w:rsidRDefault="00307068" w:rsidP="00307068">
      <w:pPr>
        <w:keepNext/>
      </w:pPr>
      <w:proofErr w:type="spellStart"/>
      <w:r w:rsidRPr="00042EA7">
        <w:rPr>
          <w:b/>
        </w:rPr>
        <w:t>Misdescribed</w:t>
      </w:r>
      <w:proofErr w:type="spellEnd"/>
      <w:r w:rsidRPr="00042EA7">
        <w:rPr>
          <w:b/>
        </w:rPr>
        <w:t xml:space="preserve"> amendments</w:t>
      </w:r>
    </w:p>
    <w:p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rsidTr="007C6637">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spacing w:before="60"/>
              <w:ind w:left="34"/>
              <w:rPr>
                <w:sz w:val="20"/>
              </w:rPr>
            </w:pPr>
            <w:r w:rsidRPr="008E7D28">
              <w:rPr>
                <w:sz w:val="20"/>
              </w:rPr>
              <w:t>o = order(s)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ad = added or inserted</w:t>
            </w:r>
          </w:p>
        </w:tc>
        <w:tc>
          <w:tcPr>
            <w:tcW w:w="3686" w:type="dxa"/>
            <w:shd w:val="clear" w:color="auto" w:fill="auto"/>
          </w:tcPr>
          <w:p w:rsidR="00307068" w:rsidRPr="008E7D28" w:rsidRDefault="00307068" w:rsidP="007C6637">
            <w:pPr>
              <w:spacing w:before="60"/>
              <w:ind w:left="34"/>
              <w:rPr>
                <w:sz w:val="20"/>
              </w:rPr>
            </w:pPr>
            <w:r w:rsidRPr="008E7D28">
              <w:rPr>
                <w:sz w:val="20"/>
              </w:rPr>
              <w:t>Ord = Ordinance</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am = amended</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rsidR="00307068" w:rsidRPr="008E7D28" w:rsidRDefault="00307068" w:rsidP="007C6637">
            <w:pPr>
              <w:spacing w:before="60"/>
              <w:ind w:left="34"/>
              <w:rPr>
                <w:sz w:val="20"/>
              </w:rPr>
            </w:pPr>
            <w:r w:rsidRPr="008E7D28">
              <w:rPr>
                <w:sz w:val="20"/>
              </w:rPr>
              <w:t>par = paragraph(s)/subparagraph(s)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 = clause(s)</w:t>
            </w:r>
          </w:p>
        </w:tc>
        <w:tc>
          <w:tcPr>
            <w:tcW w:w="3686" w:type="dxa"/>
            <w:shd w:val="clear" w:color="auto" w:fill="auto"/>
          </w:tcPr>
          <w:p w:rsidR="00307068" w:rsidRPr="008E7D28" w:rsidRDefault="00307068" w:rsidP="007C6637">
            <w:pPr>
              <w:ind w:left="34"/>
              <w:rPr>
                <w:sz w:val="20"/>
              </w:rPr>
            </w:pPr>
            <w:r w:rsidRPr="008E7D28">
              <w:rPr>
                <w:sz w:val="20"/>
              </w:rPr>
              <w:t xml:space="preserve">    /sub</w:t>
            </w:r>
            <w:r>
              <w:rPr>
                <w:sz w:val="20"/>
              </w:rPr>
              <w:noBreakHyphen/>
            </w:r>
            <w:r w:rsidRPr="008E7D28">
              <w:rPr>
                <w:sz w:val="20"/>
              </w:rPr>
              <w:t>subparagraph(s)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C[x] = Compilation No. x</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rsidR="00307068" w:rsidRPr="008E7D28" w:rsidRDefault="00307068" w:rsidP="007C6637">
            <w:pPr>
              <w:spacing w:before="60"/>
              <w:ind w:left="34"/>
              <w:rPr>
                <w:sz w:val="20"/>
              </w:rPr>
            </w:pPr>
            <w:r w:rsidRPr="008E7D28">
              <w:rPr>
                <w:sz w:val="20"/>
              </w:rPr>
              <w:t>(</w:t>
            </w:r>
            <w:proofErr w:type="spellStart"/>
            <w:r w:rsidRPr="008E7D28">
              <w:rPr>
                <w:sz w:val="20"/>
              </w:rPr>
              <w:t>prev</w:t>
            </w:r>
            <w:proofErr w:type="spellEnd"/>
            <w:r w:rsidRPr="008E7D28">
              <w:rPr>
                <w:sz w:val="20"/>
              </w:rPr>
              <w:t>…) = previously</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Dict = Dictionary</w:t>
            </w:r>
          </w:p>
        </w:tc>
        <w:tc>
          <w:tcPr>
            <w:tcW w:w="3686" w:type="dxa"/>
            <w:shd w:val="clear" w:color="auto" w:fill="auto"/>
          </w:tcPr>
          <w:p w:rsidR="00307068" w:rsidRPr="008E7D28" w:rsidRDefault="00307068" w:rsidP="007C6637">
            <w:pPr>
              <w:spacing w:before="60"/>
              <w:ind w:left="34"/>
              <w:rPr>
                <w:sz w:val="20"/>
              </w:rPr>
            </w:pPr>
            <w:r w:rsidRPr="008E7D28">
              <w:rPr>
                <w:sz w:val="20"/>
              </w:rPr>
              <w:t>Pt = 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disallowed = disallowed by Parliament</w:t>
            </w:r>
          </w:p>
        </w:tc>
        <w:tc>
          <w:tcPr>
            <w:tcW w:w="3686" w:type="dxa"/>
            <w:shd w:val="clear" w:color="auto" w:fill="auto"/>
          </w:tcPr>
          <w:p w:rsidR="00307068" w:rsidRPr="008E7D28" w:rsidRDefault="00307068" w:rsidP="007C6637">
            <w:pPr>
              <w:spacing w:before="60"/>
              <w:ind w:left="34"/>
              <w:rPr>
                <w:sz w:val="20"/>
              </w:rPr>
            </w:pPr>
            <w:r w:rsidRPr="008E7D28">
              <w:rPr>
                <w:sz w:val="20"/>
              </w:rPr>
              <w:t>r = regulation(s)/rule(s)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rsidR="00307068" w:rsidRPr="008E7D28" w:rsidRDefault="00307068" w:rsidP="007C6637">
            <w:pPr>
              <w:spacing w:before="60"/>
              <w:ind w:left="34"/>
              <w:rPr>
                <w:sz w:val="20"/>
              </w:rPr>
            </w:pP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rsidR="00307068" w:rsidRPr="008E7D28" w:rsidRDefault="00307068" w:rsidP="007C6637">
            <w:pPr>
              <w:spacing w:before="60"/>
              <w:ind w:left="34"/>
              <w:rPr>
                <w:sz w:val="20"/>
              </w:rPr>
            </w:pPr>
            <w:r w:rsidRPr="008E7D28">
              <w:rPr>
                <w:sz w:val="20"/>
              </w:rPr>
              <w:t>rep = repealed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Pr>
                <w:sz w:val="20"/>
              </w:rPr>
              <w:t xml:space="preserve">LA = </w:t>
            </w:r>
            <w:r w:rsidRPr="009C3FDA">
              <w:rPr>
                <w:i/>
                <w:sz w:val="20"/>
              </w:rPr>
              <w:t>Legislation Act 2003</w:t>
            </w:r>
          </w:p>
        </w:tc>
        <w:tc>
          <w:tcPr>
            <w:tcW w:w="3686" w:type="dxa"/>
            <w:shd w:val="clear" w:color="auto" w:fill="auto"/>
          </w:tcPr>
          <w:p w:rsidR="00307068" w:rsidRPr="008E7D28" w:rsidRDefault="00307068" w:rsidP="007C6637">
            <w:pPr>
              <w:spacing w:before="60"/>
              <w:ind w:left="34"/>
              <w:rPr>
                <w:sz w:val="20"/>
              </w:rPr>
            </w:pPr>
            <w:r w:rsidRPr="008E7D28">
              <w:rPr>
                <w:sz w:val="20"/>
              </w:rPr>
              <w:t>s = section(s)/subsection(s)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effect</w:t>
            </w:r>
          </w:p>
        </w:tc>
        <w:tc>
          <w:tcPr>
            <w:tcW w:w="3686" w:type="dxa"/>
            <w:shd w:val="clear" w:color="auto" w:fill="auto"/>
          </w:tcPr>
          <w:p w:rsidR="00307068" w:rsidRPr="008E7D28" w:rsidRDefault="00307068" w:rsidP="007C6637">
            <w:pPr>
              <w:spacing w:before="60"/>
              <w:ind w:left="34"/>
              <w:rPr>
                <w:sz w:val="20"/>
              </w:rPr>
            </w:pPr>
            <w:r w:rsidRPr="008E7D28">
              <w:rPr>
                <w:sz w:val="20"/>
              </w:rPr>
              <w:t>SLI = Select Legislative Instrument</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rsidR="00307068" w:rsidRPr="008E7D28" w:rsidRDefault="00307068" w:rsidP="007C6637">
            <w:pPr>
              <w:spacing w:before="60"/>
              <w:ind w:left="34"/>
              <w:rPr>
                <w:sz w:val="20"/>
              </w:rPr>
            </w:pPr>
            <w:r w:rsidRPr="008E7D28">
              <w:rPr>
                <w:sz w:val="20"/>
              </w:rPr>
              <w:t>SR = Statutory Rules</w:t>
            </w:r>
          </w:p>
        </w:tc>
      </w:tr>
      <w:tr w:rsidR="00307068" w:rsidRPr="008E7D28" w:rsidTr="007C6637">
        <w:tc>
          <w:tcPr>
            <w:tcW w:w="4253" w:type="dxa"/>
            <w:shd w:val="clear" w:color="auto" w:fill="auto"/>
          </w:tcPr>
          <w:p w:rsidR="00307068" w:rsidRPr="008E7D28" w:rsidRDefault="00307068" w:rsidP="007C6637">
            <w:pPr>
              <w:ind w:left="34"/>
              <w:rPr>
                <w:sz w:val="20"/>
              </w:rPr>
            </w:pPr>
            <w:r w:rsidRPr="008E7D28">
              <w:rPr>
                <w:sz w:val="20"/>
              </w:rPr>
              <w:t xml:space="preserve">    cannot be given effect</w:t>
            </w:r>
          </w:p>
        </w:tc>
        <w:tc>
          <w:tcPr>
            <w:tcW w:w="3686" w:type="dxa"/>
            <w:shd w:val="clear" w:color="auto" w:fill="auto"/>
          </w:tcPr>
          <w:p w:rsidR="00307068" w:rsidRPr="008E7D28" w:rsidRDefault="00307068" w:rsidP="007C6637">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mod = modified/modification</w:t>
            </w:r>
          </w:p>
        </w:tc>
        <w:tc>
          <w:tcPr>
            <w:tcW w:w="3686" w:type="dxa"/>
            <w:shd w:val="clear" w:color="auto" w:fill="auto"/>
          </w:tcPr>
          <w:p w:rsidR="00307068" w:rsidRPr="008E7D28" w:rsidRDefault="00307068" w:rsidP="007C6637">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rsidTr="007C6637">
        <w:tc>
          <w:tcPr>
            <w:tcW w:w="4253" w:type="dxa"/>
            <w:shd w:val="clear" w:color="auto" w:fill="auto"/>
          </w:tcPr>
          <w:p w:rsidR="00307068" w:rsidRPr="008E7D28" w:rsidRDefault="00307068" w:rsidP="007C6637">
            <w:pPr>
              <w:spacing w:before="60"/>
              <w:ind w:left="34"/>
              <w:rPr>
                <w:sz w:val="20"/>
              </w:rPr>
            </w:pPr>
            <w:r w:rsidRPr="008E7D28">
              <w:rPr>
                <w:sz w:val="20"/>
              </w:rPr>
              <w:t>No. = Number(s)</w:t>
            </w:r>
          </w:p>
        </w:tc>
        <w:tc>
          <w:tcPr>
            <w:tcW w:w="3686" w:type="dxa"/>
            <w:shd w:val="clear" w:color="auto" w:fill="auto"/>
          </w:tcPr>
          <w:p w:rsidR="00307068" w:rsidRPr="008E7D28" w:rsidRDefault="00307068" w:rsidP="007C6637">
            <w:pPr>
              <w:spacing w:before="60"/>
              <w:ind w:left="34"/>
              <w:rPr>
                <w:sz w:val="20"/>
              </w:rPr>
            </w:pPr>
            <w:r w:rsidRPr="008E7D28">
              <w:rPr>
                <w:sz w:val="20"/>
                <w:u w:val="single"/>
              </w:rPr>
              <w:t>underlining</w:t>
            </w:r>
            <w:r w:rsidRPr="008E7D28">
              <w:rPr>
                <w:sz w:val="20"/>
              </w:rPr>
              <w:t xml:space="preserve"> = whole or part not</w:t>
            </w:r>
          </w:p>
        </w:tc>
      </w:tr>
      <w:tr w:rsidR="00307068" w:rsidRPr="008E7D28" w:rsidTr="007C6637">
        <w:trPr>
          <w:trHeight w:val="302"/>
        </w:trPr>
        <w:tc>
          <w:tcPr>
            <w:tcW w:w="4253" w:type="dxa"/>
            <w:shd w:val="clear" w:color="auto" w:fill="auto"/>
          </w:tcPr>
          <w:p w:rsidR="00307068" w:rsidRPr="008E7D28" w:rsidRDefault="00307068" w:rsidP="007C6637">
            <w:pPr>
              <w:spacing w:before="60"/>
              <w:ind w:left="34"/>
              <w:rPr>
                <w:sz w:val="20"/>
              </w:rPr>
            </w:pPr>
          </w:p>
        </w:tc>
        <w:tc>
          <w:tcPr>
            <w:tcW w:w="3686" w:type="dxa"/>
            <w:shd w:val="clear" w:color="auto" w:fill="auto"/>
          </w:tcPr>
          <w:p w:rsidR="00307068" w:rsidRPr="008E7D28" w:rsidRDefault="00307068" w:rsidP="007C6637">
            <w:pPr>
              <w:ind w:left="34"/>
              <w:rPr>
                <w:sz w:val="20"/>
              </w:rPr>
            </w:pPr>
            <w:r w:rsidRPr="008E7D28">
              <w:rPr>
                <w:sz w:val="20"/>
              </w:rPr>
              <w:t xml:space="preserve">    commenced or to be commenced</w:t>
            </w:r>
          </w:p>
        </w:tc>
      </w:tr>
    </w:tbl>
    <w:p w:rsidR="00307068" w:rsidRPr="00BC57F4" w:rsidRDefault="00307068" w:rsidP="00307068">
      <w:pPr>
        <w:pStyle w:val="Tabletext"/>
      </w:pPr>
    </w:p>
    <w:p w:rsidR="00307068" w:rsidRDefault="00307068" w:rsidP="00307068">
      <w:pPr>
        <w:pStyle w:val="ENotesHeading2"/>
        <w:pageBreakBefore/>
      </w:pPr>
      <w:r>
        <w:lastRenderedPageBreak/>
        <w:t>Endnote 3—Legislation history</w:t>
      </w:r>
    </w:p>
    <w:p w:rsidR="00307068" w:rsidRDefault="00307068" w:rsidP="00307068">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A01F76" w:rsidRPr="0098546F" w:rsidTr="007C6773">
        <w:trPr>
          <w:cantSplit/>
          <w:tblHeader/>
        </w:trPr>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Name</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Registration</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t>Commencement</w:t>
            </w:r>
          </w:p>
        </w:tc>
        <w:tc>
          <w:tcPr>
            <w:tcW w:w="1806" w:type="dxa"/>
            <w:tcBorders>
              <w:top w:val="single" w:sz="12" w:space="0" w:color="auto"/>
              <w:bottom w:val="single" w:sz="12" w:space="0" w:color="auto"/>
            </w:tcBorders>
            <w:shd w:val="clear" w:color="auto" w:fill="auto"/>
          </w:tcPr>
          <w:p w:rsidR="00A01F76" w:rsidRPr="00E117A3" w:rsidRDefault="00A01F76" w:rsidP="00F46525">
            <w:pPr>
              <w:pStyle w:val="ENoteTableHeading"/>
            </w:pPr>
            <w:r w:rsidRPr="00E117A3">
              <w:t>Application, saving and transitional provisions</w:t>
            </w:r>
          </w:p>
        </w:tc>
      </w:tr>
      <w:tr w:rsidR="007C6773" w:rsidRPr="00E117A3" w:rsidTr="007C6773">
        <w:trPr>
          <w:cantSplit/>
        </w:trPr>
        <w:tc>
          <w:tcPr>
            <w:tcW w:w="1806" w:type="dxa"/>
            <w:tcBorders>
              <w:top w:val="single" w:sz="12" w:space="0" w:color="auto"/>
              <w:bottom w:val="single" w:sz="4" w:space="0" w:color="auto"/>
            </w:tcBorders>
            <w:shd w:val="clear" w:color="auto" w:fill="auto"/>
          </w:tcPr>
          <w:p w:rsidR="00A133FB" w:rsidRPr="005F6096" w:rsidRDefault="00A133FB" w:rsidP="00A133FB">
            <w:pPr>
              <w:pStyle w:val="ENoteTableText"/>
              <w:rPr>
                <w:rFonts w:ascii="Arial" w:hAnsi="Arial" w:cs="Arial"/>
                <w:sz w:val="18"/>
                <w:szCs w:val="18"/>
              </w:rPr>
            </w:pPr>
            <w:r w:rsidRPr="005F6096">
              <w:rPr>
                <w:rFonts w:ascii="Arial" w:hAnsi="Arial" w:cs="Arial"/>
                <w:i/>
                <w:sz w:val="18"/>
                <w:szCs w:val="18"/>
              </w:rPr>
              <w:t xml:space="preserve">Statement of Principles concerning </w:t>
            </w:r>
            <w:r w:rsidR="00B14410" w:rsidRPr="005F6096">
              <w:rPr>
                <w:rFonts w:ascii="Arial" w:hAnsi="Arial" w:cs="Arial"/>
                <w:i/>
                <w:sz w:val="18"/>
                <w:szCs w:val="18"/>
              </w:rPr>
              <w:t>otitis media</w:t>
            </w:r>
            <w:r w:rsidRPr="005F6096">
              <w:rPr>
                <w:rFonts w:ascii="Arial" w:hAnsi="Arial" w:cs="Arial"/>
                <w:i/>
                <w:sz w:val="18"/>
                <w:szCs w:val="18"/>
              </w:rPr>
              <w:t xml:space="preserve"> No. </w:t>
            </w:r>
            <w:r w:rsidR="00B14410" w:rsidRPr="005F6096">
              <w:rPr>
                <w:rFonts w:ascii="Arial" w:hAnsi="Arial" w:cs="Arial"/>
                <w:i/>
                <w:sz w:val="18"/>
                <w:szCs w:val="18"/>
              </w:rPr>
              <w:t>52</w:t>
            </w:r>
            <w:r w:rsidRPr="005F6096">
              <w:rPr>
                <w:rFonts w:ascii="Arial" w:hAnsi="Arial" w:cs="Arial"/>
                <w:i/>
                <w:sz w:val="18"/>
                <w:szCs w:val="18"/>
              </w:rPr>
              <w:t xml:space="preserve"> of </w:t>
            </w:r>
            <w:r w:rsidR="00B14410" w:rsidRPr="005F6096">
              <w:rPr>
                <w:rFonts w:ascii="Arial" w:hAnsi="Arial" w:cs="Arial"/>
                <w:i/>
                <w:sz w:val="18"/>
                <w:szCs w:val="18"/>
              </w:rPr>
              <w:t>2014</w:t>
            </w:r>
          </w:p>
          <w:p w:rsidR="007C6773" w:rsidRPr="005F6096" w:rsidRDefault="007C6773"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7C6773" w:rsidRDefault="00B14410" w:rsidP="00021F2F">
            <w:pPr>
              <w:pStyle w:val="TableOfStatRules"/>
              <w:rPr>
                <w:rFonts w:cs="Arial"/>
                <w:szCs w:val="18"/>
              </w:rPr>
            </w:pPr>
            <w:r>
              <w:rPr>
                <w:rFonts w:cs="Arial"/>
                <w:szCs w:val="18"/>
              </w:rPr>
              <w:t>1 May 2014</w:t>
            </w:r>
          </w:p>
          <w:p w:rsidR="00B14410" w:rsidRPr="00E85EF4" w:rsidRDefault="00B14410" w:rsidP="00021F2F">
            <w:pPr>
              <w:pStyle w:val="TableOfStatRules"/>
              <w:rPr>
                <w:rFonts w:cs="Arial"/>
                <w:szCs w:val="18"/>
              </w:rPr>
            </w:pPr>
          </w:p>
          <w:p w:rsidR="007C6773" w:rsidRPr="00E85EF4" w:rsidRDefault="007C6773" w:rsidP="00B14410">
            <w:pPr>
              <w:pStyle w:val="ENoteTableText"/>
              <w:rPr>
                <w:rFonts w:ascii="Arial" w:hAnsi="Arial" w:cs="Arial"/>
                <w:sz w:val="18"/>
                <w:szCs w:val="18"/>
              </w:rPr>
            </w:pPr>
            <w:r w:rsidRPr="00E85EF4">
              <w:rPr>
                <w:rFonts w:ascii="Arial" w:hAnsi="Arial" w:cs="Arial"/>
                <w:sz w:val="18"/>
                <w:szCs w:val="18"/>
              </w:rPr>
              <w:t>F201</w:t>
            </w:r>
            <w:r w:rsidR="00B14410">
              <w:rPr>
                <w:rFonts w:ascii="Arial" w:hAnsi="Arial" w:cs="Arial"/>
                <w:sz w:val="18"/>
                <w:szCs w:val="18"/>
              </w:rPr>
              <w:t>4L00484</w:t>
            </w:r>
          </w:p>
        </w:tc>
        <w:tc>
          <w:tcPr>
            <w:tcW w:w="1806" w:type="dxa"/>
            <w:tcBorders>
              <w:top w:val="single" w:sz="12" w:space="0" w:color="auto"/>
              <w:bottom w:val="single" w:sz="4" w:space="0" w:color="auto"/>
            </w:tcBorders>
            <w:shd w:val="clear" w:color="auto" w:fill="auto"/>
          </w:tcPr>
          <w:p w:rsidR="007C6773" w:rsidRPr="00E85EF4" w:rsidRDefault="00B14410" w:rsidP="00021F2F">
            <w:pPr>
              <w:pStyle w:val="TableOfStatRules"/>
              <w:rPr>
                <w:rFonts w:cs="Arial"/>
                <w:szCs w:val="18"/>
              </w:rPr>
            </w:pPr>
            <w:r>
              <w:rPr>
                <w:rFonts w:cs="Arial"/>
                <w:szCs w:val="18"/>
              </w:rPr>
              <w:t>7 May 2014</w:t>
            </w:r>
          </w:p>
          <w:p w:rsidR="007C6773" w:rsidRPr="00E85EF4" w:rsidRDefault="007C6773" w:rsidP="00021F2F">
            <w:pPr>
              <w:pStyle w:val="ENoteTableText"/>
              <w:rPr>
                <w:rFonts w:ascii="Arial" w:hAnsi="Arial" w:cs="Arial"/>
                <w:sz w:val="18"/>
                <w:szCs w:val="18"/>
              </w:rPr>
            </w:pPr>
          </w:p>
        </w:tc>
        <w:tc>
          <w:tcPr>
            <w:tcW w:w="1806" w:type="dxa"/>
            <w:tcBorders>
              <w:top w:val="single" w:sz="12" w:space="0" w:color="auto"/>
              <w:bottom w:val="single" w:sz="4" w:space="0" w:color="auto"/>
            </w:tcBorders>
            <w:shd w:val="clear" w:color="auto" w:fill="auto"/>
          </w:tcPr>
          <w:p w:rsidR="007C6773" w:rsidRPr="00E85EF4" w:rsidRDefault="007C6773" w:rsidP="00021F2F">
            <w:pPr>
              <w:pStyle w:val="ENoteTableText"/>
              <w:rPr>
                <w:rFonts w:ascii="Arial" w:hAnsi="Arial" w:cs="Arial"/>
                <w:sz w:val="18"/>
                <w:szCs w:val="18"/>
              </w:rPr>
            </w:pPr>
          </w:p>
        </w:tc>
      </w:tr>
      <w:tr w:rsidR="007C6773" w:rsidTr="007C6773">
        <w:trPr>
          <w:cantSplit/>
        </w:trPr>
        <w:tc>
          <w:tcPr>
            <w:tcW w:w="1806" w:type="dxa"/>
            <w:tcBorders>
              <w:bottom w:val="single" w:sz="12" w:space="0" w:color="auto"/>
            </w:tcBorders>
            <w:shd w:val="clear" w:color="auto" w:fill="auto"/>
          </w:tcPr>
          <w:p w:rsidR="005F6096" w:rsidRPr="005F6096" w:rsidRDefault="005F6096" w:rsidP="005F6096">
            <w:pPr>
              <w:rPr>
                <w:rFonts w:ascii="Arial" w:eastAsia="Times New Roman" w:hAnsi="Arial" w:cs="Arial"/>
                <w:i/>
                <w:sz w:val="18"/>
                <w:szCs w:val="18"/>
                <w:lang w:eastAsia="en-AU"/>
              </w:rPr>
            </w:pPr>
            <w:r w:rsidRPr="005F6096">
              <w:rPr>
                <w:rFonts w:ascii="Arial" w:eastAsia="Times New Roman" w:hAnsi="Arial" w:cs="Arial"/>
                <w:i/>
                <w:sz w:val="18"/>
                <w:szCs w:val="18"/>
                <w:lang w:eastAsia="en-AU"/>
              </w:rPr>
              <w:t>Veterans' Entitlements (Statements of Principles—Cumulative Equivalent Dose) Amendment Determination 2017 (No. 58 of 2017)</w:t>
            </w:r>
          </w:p>
          <w:p w:rsidR="007C6773" w:rsidRPr="005F6096"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5F6096" w:rsidRPr="00E85EF4" w:rsidRDefault="005F6096" w:rsidP="005F6096">
            <w:pPr>
              <w:pStyle w:val="TableOfStatRules"/>
              <w:rPr>
                <w:rFonts w:cs="Arial"/>
                <w:szCs w:val="18"/>
              </w:rPr>
            </w:pPr>
            <w:r>
              <w:rPr>
                <w:rFonts w:cs="Arial"/>
                <w:szCs w:val="18"/>
              </w:rPr>
              <w:t>22 August 2017</w:t>
            </w:r>
          </w:p>
          <w:p w:rsidR="005F6096" w:rsidRPr="00E85EF4" w:rsidRDefault="005F6096" w:rsidP="005F6096">
            <w:pPr>
              <w:pStyle w:val="TableOfStatRules"/>
              <w:rPr>
                <w:rFonts w:cs="Arial"/>
                <w:szCs w:val="18"/>
              </w:rPr>
            </w:pPr>
          </w:p>
          <w:p w:rsidR="005F6096" w:rsidRPr="00E85EF4" w:rsidRDefault="005F6096" w:rsidP="005F6096">
            <w:pPr>
              <w:pStyle w:val="TableOfStatRules"/>
              <w:rPr>
                <w:rFonts w:cs="Arial"/>
                <w:szCs w:val="18"/>
              </w:rPr>
            </w:pPr>
            <w:r w:rsidRPr="00E85EF4">
              <w:rPr>
                <w:rFonts w:cs="Arial"/>
                <w:szCs w:val="18"/>
              </w:rPr>
              <w:t>F201</w:t>
            </w:r>
            <w:r>
              <w:rPr>
                <w:rFonts w:cs="Arial"/>
                <w:szCs w:val="18"/>
              </w:rPr>
              <w:t>7L01067</w:t>
            </w:r>
          </w:p>
          <w:p w:rsidR="007C6773" w:rsidRPr="00E85EF4"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7C6773" w:rsidRPr="00E85EF4" w:rsidRDefault="005F6096" w:rsidP="00021F2F">
            <w:pPr>
              <w:pStyle w:val="TableOfStatRules"/>
              <w:rPr>
                <w:rFonts w:cs="Arial"/>
                <w:szCs w:val="18"/>
              </w:rPr>
            </w:pPr>
            <w:r>
              <w:rPr>
                <w:rFonts w:cs="Arial"/>
                <w:szCs w:val="18"/>
              </w:rPr>
              <w:t>18 September 2017</w:t>
            </w:r>
          </w:p>
          <w:p w:rsidR="007C6773" w:rsidRPr="00E85EF4" w:rsidRDefault="007C6773" w:rsidP="00021F2F">
            <w:pPr>
              <w:pStyle w:val="ENoteTableText"/>
              <w:rPr>
                <w:rFonts w:ascii="Arial" w:hAnsi="Arial" w:cs="Arial"/>
                <w:sz w:val="18"/>
                <w:szCs w:val="18"/>
              </w:rPr>
            </w:pPr>
          </w:p>
        </w:tc>
        <w:tc>
          <w:tcPr>
            <w:tcW w:w="1806" w:type="dxa"/>
            <w:tcBorders>
              <w:bottom w:val="single" w:sz="12" w:space="0" w:color="auto"/>
            </w:tcBorders>
            <w:shd w:val="clear" w:color="auto" w:fill="auto"/>
          </w:tcPr>
          <w:p w:rsidR="007C6773" w:rsidRPr="00E85EF4" w:rsidRDefault="007C6773" w:rsidP="00021F2F">
            <w:pPr>
              <w:pStyle w:val="ENoteTableText"/>
              <w:rPr>
                <w:rFonts w:ascii="Arial" w:hAnsi="Arial" w:cs="Arial"/>
                <w:sz w:val="18"/>
                <w:szCs w:val="18"/>
              </w:rPr>
            </w:pPr>
          </w:p>
        </w:tc>
      </w:tr>
    </w:tbl>
    <w:p w:rsidR="00307068" w:rsidRDefault="00307068" w:rsidP="00307068"/>
    <w:p w:rsidR="00307068" w:rsidRDefault="00307068" w:rsidP="00307068">
      <w:pPr>
        <w:pStyle w:val="ENotesHeading2"/>
        <w:pageBreakBefore/>
      </w:pPr>
      <w:r>
        <w:lastRenderedPageBreak/>
        <w:t>Endnote 4—Amendment history</w:t>
      </w:r>
    </w:p>
    <w:p w:rsidR="00307068" w:rsidRDefault="00307068" w:rsidP="00307068">
      <w:pPr>
        <w:pStyle w:val="Tabletext"/>
      </w:pPr>
    </w:p>
    <w:tbl>
      <w:tblPr>
        <w:tblW w:w="7082" w:type="dxa"/>
        <w:tblInd w:w="113" w:type="dxa"/>
        <w:tblLayout w:type="fixed"/>
        <w:tblLook w:val="0000" w:firstRow="0" w:lastRow="0" w:firstColumn="0" w:lastColumn="0" w:noHBand="0" w:noVBand="0"/>
      </w:tblPr>
      <w:tblGrid>
        <w:gridCol w:w="2139"/>
        <w:gridCol w:w="4943"/>
      </w:tblGrid>
      <w:tr w:rsidR="00307068" w:rsidRPr="0098546F" w:rsidTr="007C6637">
        <w:trPr>
          <w:cantSplit/>
          <w:tblHeader/>
        </w:trPr>
        <w:tc>
          <w:tcPr>
            <w:tcW w:w="2139"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Provision affected</w:t>
            </w:r>
          </w:p>
        </w:tc>
        <w:tc>
          <w:tcPr>
            <w:tcW w:w="4943" w:type="dxa"/>
            <w:tcBorders>
              <w:top w:val="single" w:sz="12" w:space="0" w:color="auto"/>
              <w:bottom w:val="single" w:sz="12" w:space="0" w:color="auto"/>
            </w:tcBorders>
            <w:shd w:val="clear" w:color="auto" w:fill="auto"/>
          </w:tcPr>
          <w:p w:rsidR="00307068" w:rsidRPr="00E117A3" w:rsidRDefault="00307068" w:rsidP="007C6637">
            <w:pPr>
              <w:pStyle w:val="ENoteTableHeading"/>
            </w:pPr>
            <w:r w:rsidRPr="00E117A3">
              <w:t>How affected</w:t>
            </w:r>
          </w:p>
        </w:tc>
      </w:tr>
      <w:tr w:rsidR="005A53B1" w:rsidTr="007C6637">
        <w:trPr>
          <w:cantSplit/>
        </w:trPr>
        <w:tc>
          <w:tcPr>
            <w:tcW w:w="2139" w:type="dxa"/>
            <w:tcBorders>
              <w:bottom w:val="single" w:sz="12" w:space="0" w:color="auto"/>
            </w:tcBorders>
            <w:shd w:val="clear" w:color="auto" w:fill="auto"/>
          </w:tcPr>
          <w:p w:rsidR="005A53B1" w:rsidRDefault="005A53B1" w:rsidP="005A53B1">
            <w:pPr>
              <w:pStyle w:val="TableOfAmend"/>
            </w:pPr>
            <w:r>
              <w:t>Clause 9 – ' "cumulative equivalent dose"……'</w:t>
            </w:r>
          </w:p>
        </w:tc>
        <w:tc>
          <w:tcPr>
            <w:tcW w:w="4943" w:type="dxa"/>
            <w:tcBorders>
              <w:bottom w:val="single" w:sz="12" w:space="0" w:color="auto"/>
            </w:tcBorders>
            <w:shd w:val="clear" w:color="auto" w:fill="auto"/>
          </w:tcPr>
          <w:p w:rsidR="005A53B1" w:rsidRDefault="005A53B1" w:rsidP="005A53B1">
            <w:pPr>
              <w:pStyle w:val="TableOfAmend"/>
            </w:pPr>
            <w:r>
              <w:t>rs. Instrument  No. 58 of 2017</w:t>
            </w:r>
          </w:p>
        </w:tc>
      </w:tr>
    </w:tbl>
    <w:p w:rsidR="00307068" w:rsidRDefault="00307068" w:rsidP="00307068">
      <w:pPr>
        <w:pStyle w:val="Tabletext"/>
      </w:pPr>
    </w:p>
    <w:p w:rsidR="00DF6D7F" w:rsidRDefault="00DF6D7F" w:rsidP="00307068">
      <w:pPr>
        <w:sectPr w:rsidR="00DF6D7F" w:rsidSect="004C79CF">
          <w:headerReference w:type="even" r:id="rId20"/>
          <w:headerReference w:type="default" r:id="rId21"/>
          <w:footerReference w:type="even" r:id="rId22"/>
          <w:footerReference w:type="default" r:id="rId23"/>
          <w:pgSz w:w="11907" w:h="16839" w:code="9"/>
          <w:pgMar w:top="1440" w:right="1797" w:bottom="1440" w:left="1797" w:header="720" w:footer="709" w:gutter="0"/>
          <w:cols w:space="708"/>
          <w:docGrid w:linePitch="360"/>
        </w:sectPr>
      </w:pPr>
    </w:p>
    <w:p w:rsidR="00307068" w:rsidRPr="00152412" w:rsidRDefault="00307068" w:rsidP="00DF6D7F"/>
    <w:sectPr w:rsidR="00307068" w:rsidRPr="00152412" w:rsidSect="00DF6D7F">
      <w:footerReference w:type="even" r:id="rId24"/>
      <w:footerReference w:type="default" r:id="rId2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68" w:rsidRDefault="00307068" w:rsidP="008E17F3">
      <w:pPr>
        <w:spacing w:line="240" w:lineRule="auto"/>
      </w:pPr>
      <w:r>
        <w:separator/>
      </w:r>
    </w:p>
  </w:endnote>
  <w:endnote w:type="continuationSeparator" w:id="0">
    <w:p w:rsidR="00307068" w:rsidRDefault="0030706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983541">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33C1C" w:rsidRDefault="00F85C9A" w:rsidP="00F85C9A">
    <w:pPr>
      <w:pBdr>
        <w:top w:val="single" w:sz="6" w:space="1" w:color="auto"/>
      </w:pBdr>
      <w:spacing w:before="120" w:line="0" w:lineRule="atLeast"/>
      <w:rPr>
        <w:sz w:val="16"/>
        <w:szCs w:val="16"/>
      </w:rPr>
    </w:pPr>
  </w:p>
  <w:p w:rsidR="00DF6D7F" w:rsidRPr="00F85C9A" w:rsidRDefault="00DF6D7F" w:rsidP="00F85C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1F" w:rsidRDefault="00D03A1F" w:rsidP="00D03A1F">
    <w:pPr>
      <w:pStyle w:val="Footer"/>
      <w:spacing w:before="120"/>
    </w:pPr>
    <w:r w:rsidRPr="00CB7761">
      <w:t>Prepared by</w:t>
    </w:r>
    <w:r>
      <w:t xml:space="preserve"> the Repatriation Medical Authority Secretariat, Brisbane</w:t>
    </w:r>
  </w:p>
  <w:p w:rsidR="00307068" w:rsidRPr="00D03A1F" w:rsidRDefault="00307068" w:rsidP="00D03A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33C1C" w:rsidRDefault="00DC7B41" w:rsidP="007177E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C7B41" w:rsidTr="00B33709">
      <w:tc>
        <w:tcPr>
          <w:tcW w:w="709" w:type="dxa"/>
          <w:tcBorders>
            <w:top w:val="nil"/>
            <w:left w:val="nil"/>
            <w:bottom w:val="nil"/>
            <w:right w:val="nil"/>
          </w:tcBorders>
        </w:tcPr>
        <w:p w:rsidR="00DC7B41" w:rsidRDefault="00DC7B41"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rsidR="00DC7B41" w:rsidRDefault="00DC7B41"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C78">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rsidR="00DC7B41" w:rsidRDefault="00DC7B41" w:rsidP="00830B62">
          <w:pPr>
            <w:spacing w:line="0" w:lineRule="atLeast"/>
            <w:jc w:val="right"/>
            <w:rPr>
              <w:sz w:val="18"/>
            </w:rPr>
          </w:pPr>
        </w:p>
      </w:tc>
    </w:tr>
    <w:tr w:rsidR="00DC7B41"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C7B41" w:rsidRDefault="008F0CF0" w:rsidP="00830B62">
          <w:pPr>
            <w:jc w:val="right"/>
            <w:rPr>
              <w:sz w:val="18"/>
            </w:rPr>
          </w:pPr>
          <w:r>
            <w:rPr>
              <w:i/>
              <w:noProof/>
              <w:sz w:val="18"/>
            </w:rPr>
            <w:t>S16MD235.v06.docx</w:t>
          </w:r>
          <w:r w:rsidR="00DC7B41" w:rsidRPr="00ED79B6">
            <w:rPr>
              <w:i/>
              <w:sz w:val="18"/>
            </w:rPr>
            <w:t xml:space="preserve"> </w:t>
          </w:r>
          <w:r>
            <w:rPr>
              <w:i/>
              <w:noProof/>
              <w:sz w:val="18"/>
            </w:rPr>
            <w:t>18/7/2016 12:36 PM</w:t>
          </w:r>
        </w:p>
      </w:tc>
    </w:tr>
  </w:tbl>
  <w:p w:rsidR="00DC7B41" w:rsidRPr="00ED79B6" w:rsidRDefault="00DC7B41"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6B" w:rsidRPr="00E33C1C" w:rsidRDefault="003A396B" w:rsidP="003A396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3A396B" w:rsidTr="00A144DA">
      <w:tc>
        <w:tcPr>
          <w:tcW w:w="851" w:type="dxa"/>
          <w:tcBorders>
            <w:top w:val="nil"/>
            <w:left w:val="nil"/>
            <w:bottom w:val="nil"/>
            <w:right w:val="nil"/>
          </w:tcBorders>
        </w:tcPr>
        <w:p w:rsidR="003A396B" w:rsidRDefault="003A396B" w:rsidP="003A396B">
          <w:pPr>
            <w:spacing w:line="0" w:lineRule="atLeast"/>
            <w:rPr>
              <w:sz w:val="18"/>
            </w:rPr>
          </w:pPr>
        </w:p>
      </w:tc>
      <w:tc>
        <w:tcPr>
          <w:tcW w:w="6762" w:type="dxa"/>
          <w:gridSpan w:val="3"/>
          <w:tcBorders>
            <w:top w:val="nil"/>
            <w:left w:val="nil"/>
            <w:bottom w:val="nil"/>
            <w:right w:val="nil"/>
          </w:tcBorders>
        </w:tcPr>
        <w:p w:rsidR="003A396B" w:rsidRPr="00AD2D4B" w:rsidRDefault="003A396B" w:rsidP="003A396B">
          <w:pPr>
            <w:spacing w:line="0" w:lineRule="atLeast"/>
            <w:jc w:val="center"/>
            <w:rPr>
              <w:i/>
              <w:sz w:val="18"/>
              <w:szCs w:val="18"/>
            </w:rPr>
          </w:pPr>
          <w:r w:rsidRPr="00AD2D4B">
            <w:rPr>
              <w:i/>
              <w:sz w:val="18"/>
              <w:szCs w:val="18"/>
            </w:rPr>
            <w:t xml:space="preserve">Statement of Principles concerning </w:t>
          </w:r>
          <w:r>
            <w:rPr>
              <w:i/>
              <w:sz w:val="18"/>
              <w:szCs w:val="18"/>
            </w:rPr>
            <w:t>Otitis Media</w:t>
          </w:r>
        </w:p>
      </w:tc>
      <w:tc>
        <w:tcPr>
          <w:tcW w:w="700" w:type="dxa"/>
          <w:tcBorders>
            <w:top w:val="nil"/>
            <w:left w:val="nil"/>
            <w:bottom w:val="nil"/>
            <w:right w:val="nil"/>
          </w:tcBorders>
        </w:tcPr>
        <w:p w:rsidR="003A396B" w:rsidRDefault="003A396B" w:rsidP="003A39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43D3">
            <w:rPr>
              <w:i/>
              <w:noProof/>
              <w:sz w:val="18"/>
            </w:rPr>
            <w:t>4</w:t>
          </w:r>
          <w:r w:rsidRPr="00ED79B6">
            <w:rPr>
              <w:i/>
              <w:sz w:val="18"/>
            </w:rPr>
            <w:fldChar w:fldCharType="end"/>
          </w:r>
        </w:p>
      </w:tc>
    </w:tr>
    <w:tr w:rsidR="003A396B" w:rsidTr="00A1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96B" w:rsidRPr="007E56FF" w:rsidRDefault="003A396B" w:rsidP="003A396B">
          <w:pPr>
            <w:jc w:val="center"/>
            <w:rPr>
              <w:i/>
              <w:sz w:val="18"/>
            </w:rPr>
          </w:pPr>
          <w:r w:rsidRPr="007E56FF">
            <w:rPr>
              <w:i/>
              <w:sz w:val="18"/>
            </w:rPr>
            <w:t xml:space="preserve">No. </w:t>
          </w:r>
          <w:r>
            <w:rPr>
              <w:i/>
              <w:sz w:val="18"/>
            </w:rPr>
            <w:t>52</w:t>
          </w:r>
          <w:r w:rsidRPr="007E56FF">
            <w:rPr>
              <w:i/>
              <w:sz w:val="18"/>
            </w:rPr>
            <w:t xml:space="preserve"> of </w:t>
          </w:r>
          <w:r>
            <w:rPr>
              <w:i/>
              <w:sz w:val="18"/>
            </w:rPr>
            <w:t>2014</w:t>
          </w:r>
        </w:p>
      </w:tc>
    </w:tr>
    <w:tr w:rsidR="003A396B" w:rsidTr="00A1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3A396B" w:rsidRPr="007E56FF" w:rsidRDefault="003A396B" w:rsidP="003A396B">
          <w:pPr>
            <w:jc w:val="center"/>
            <w:rPr>
              <w:i/>
              <w:sz w:val="18"/>
            </w:rPr>
          </w:pPr>
          <w:r w:rsidRPr="007E56FF">
            <w:rPr>
              <w:i/>
              <w:sz w:val="18"/>
            </w:rPr>
            <w:t>Veterans' Entitlements Act 1986</w:t>
          </w:r>
        </w:p>
      </w:tc>
    </w:tr>
    <w:tr w:rsidR="003A396B" w:rsidRPr="00130F37" w:rsidTr="00A14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3A396B" w:rsidRPr="00130F37" w:rsidRDefault="003A396B" w:rsidP="003A396B">
          <w:pPr>
            <w:spacing w:before="120"/>
            <w:rPr>
              <w:sz w:val="16"/>
              <w:szCs w:val="16"/>
            </w:rPr>
          </w:pPr>
          <w:r w:rsidRPr="00130F37">
            <w:rPr>
              <w:sz w:val="16"/>
              <w:szCs w:val="16"/>
            </w:rPr>
            <w:t xml:space="preserve">Compilation No. </w:t>
          </w:r>
          <w:r>
            <w:rPr>
              <w:sz w:val="16"/>
              <w:szCs w:val="16"/>
            </w:rPr>
            <w:t>1</w:t>
          </w:r>
        </w:p>
      </w:tc>
      <w:tc>
        <w:tcPr>
          <w:tcW w:w="2859" w:type="dxa"/>
        </w:tcPr>
        <w:p w:rsidR="003A396B" w:rsidRPr="00130F37" w:rsidRDefault="003A396B" w:rsidP="003A396B">
          <w:pPr>
            <w:spacing w:before="120"/>
            <w:jc w:val="center"/>
            <w:rPr>
              <w:sz w:val="16"/>
              <w:szCs w:val="16"/>
            </w:rPr>
          </w:pPr>
        </w:p>
      </w:tc>
      <w:tc>
        <w:tcPr>
          <w:tcW w:w="3297" w:type="dxa"/>
          <w:gridSpan w:val="2"/>
        </w:tcPr>
        <w:p w:rsidR="003A396B" w:rsidRPr="00130F37" w:rsidRDefault="003A396B" w:rsidP="000550F3">
          <w:pPr>
            <w:spacing w:before="120"/>
            <w:jc w:val="right"/>
            <w:rPr>
              <w:sz w:val="16"/>
              <w:szCs w:val="16"/>
            </w:rPr>
          </w:pPr>
          <w:r w:rsidRPr="00130F37">
            <w:rPr>
              <w:sz w:val="16"/>
              <w:szCs w:val="16"/>
            </w:rPr>
            <w:t xml:space="preserve">Compilation date: </w:t>
          </w:r>
          <w:r w:rsidR="000550F3">
            <w:rPr>
              <w:sz w:val="16"/>
              <w:szCs w:val="16"/>
            </w:rPr>
            <w:t>18</w:t>
          </w:r>
          <w:r>
            <w:rPr>
              <w:sz w:val="16"/>
              <w:szCs w:val="16"/>
            </w:rPr>
            <w:t>/</w:t>
          </w:r>
          <w:r w:rsidR="000550F3">
            <w:rPr>
              <w:sz w:val="16"/>
              <w:szCs w:val="16"/>
            </w:rPr>
            <w:t>09</w:t>
          </w:r>
          <w:r>
            <w:rPr>
              <w:sz w:val="16"/>
              <w:szCs w:val="16"/>
            </w:rPr>
            <w:t>/</w:t>
          </w:r>
          <w:r w:rsidR="000550F3">
            <w:rPr>
              <w:sz w:val="16"/>
              <w:szCs w:val="16"/>
            </w:rPr>
            <w:t>2017</w:t>
          </w:r>
        </w:p>
      </w:tc>
    </w:tr>
  </w:tbl>
  <w:p w:rsidR="00DC7B41" w:rsidRPr="00ED79B6" w:rsidRDefault="00DC7B41"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307068" w:rsidTr="00203E60">
      <w:trPr>
        <w:gridAfter w:val="1"/>
        <w:wAfter w:w="283" w:type="dxa"/>
      </w:trPr>
      <w:tc>
        <w:tcPr>
          <w:tcW w:w="709" w:type="dxa"/>
          <w:tcBorders>
            <w:top w:val="nil"/>
            <w:left w:val="nil"/>
            <w:bottom w:val="nil"/>
            <w:right w:val="nil"/>
          </w:tcBorders>
        </w:tcPr>
        <w:p w:rsidR="00307068" w:rsidRDefault="00307068" w:rsidP="001A0BE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gridSpan w:val="3"/>
          <w:tcBorders>
            <w:top w:val="nil"/>
            <w:left w:val="nil"/>
            <w:bottom w:val="nil"/>
            <w:right w:val="nil"/>
          </w:tcBorders>
        </w:tcPr>
        <w:p w:rsidR="00307068" w:rsidRPr="00910EED" w:rsidRDefault="00307068" w:rsidP="0065450D">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rsidR="00307068" w:rsidRDefault="00307068" w:rsidP="001A0BEE">
          <w:pPr>
            <w:spacing w:line="0" w:lineRule="atLeast"/>
            <w:jc w:val="right"/>
            <w:rPr>
              <w:sz w:val="18"/>
            </w:rPr>
          </w:pPr>
        </w:p>
      </w:tc>
    </w:tr>
    <w:tr w:rsidR="00307068"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rsidR="00307068" w:rsidRDefault="00307068" w:rsidP="001A0BEE">
          <w:pPr>
            <w:jc w:val="right"/>
            <w:rPr>
              <w:sz w:val="18"/>
            </w:rPr>
          </w:pPr>
        </w:p>
      </w:tc>
    </w:tr>
    <w:tr w:rsidR="00307068" w:rsidRPr="00130F37" w:rsidTr="00203E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rsidR="00307068" w:rsidRPr="00130F37" w:rsidRDefault="00307068" w:rsidP="00194012">
          <w:pPr>
            <w:spacing w:before="120"/>
            <w:rPr>
              <w:sz w:val="16"/>
              <w:szCs w:val="16"/>
            </w:rPr>
          </w:pPr>
          <w:r w:rsidRPr="00130F37">
            <w:rPr>
              <w:sz w:val="16"/>
              <w:szCs w:val="16"/>
            </w:rPr>
            <w:t xml:space="preserve">Compilation No. </w:t>
          </w:r>
          <w:r>
            <w:rPr>
              <w:sz w:val="16"/>
              <w:szCs w:val="16"/>
            </w:rPr>
            <w:t>XX</w:t>
          </w:r>
        </w:p>
      </w:tc>
      <w:tc>
        <w:tcPr>
          <w:tcW w:w="2920" w:type="dxa"/>
        </w:tcPr>
        <w:p w:rsidR="00307068" w:rsidRPr="00130F37" w:rsidRDefault="00307068" w:rsidP="00194012">
          <w:pPr>
            <w:spacing w:before="120"/>
            <w:jc w:val="center"/>
            <w:rPr>
              <w:sz w:val="16"/>
              <w:szCs w:val="16"/>
            </w:rPr>
          </w:pPr>
        </w:p>
      </w:tc>
      <w:tc>
        <w:tcPr>
          <w:tcW w:w="3645" w:type="dxa"/>
          <w:gridSpan w:val="3"/>
        </w:tcPr>
        <w:p w:rsidR="00307068" w:rsidRPr="00130F37" w:rsidRDefault="00307068" w:rsidP="00194012">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rsidR="00307068" w:rsidRPr="00ED79B6" w:rsidRDefault="00307068" w:rsidP="001A0BE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E33C1C" w:rsidRDefault="00307068" w:rsidP="001A0BE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851"/>
      <w:gridCol w:w="1306"/>
      <w:gridCol w:w="2859"/>
      <w:gridCol w:w="2597"/>
      <w:gridCol w:w="700"/>
    </w:tblGrid>
    <w:tr w:rsidR="009A55F7" w:rsidTr="0034373D">
      <w:tc>
        <w:tcPr>
          <w:tcW w:w="851" w:type="dxa"/>
          <w:tcBorders>
            <w:top w:val="nil"/>
            <w:left w:val="nil"/>
            <w:bottom w:val="nil"/>
            <w:right w:val="nil"/>
          </w:tcBorders>
        </w:tcPr>
        <w:p w:rsidR="009A55F7" w:rsidRDefault="009A55F7" w:rsidP="009A55F7">
          <w:pPr>
            <w:spacing w:line="0" w:lineRule="atLeast"/>
            <w:rPr>
              <w:sz w:val="18"/>
            </w:rPr>
          </w:pPr>
        </w:p>
      </w:tc>
      <w:tc>
        <w:tcPr>
          <w:tcW w:w="6762" w:type="dxa"/>
          <w:gridSpan w:val="3"/>
          <w:tcBorders>
            <w:top w:val="nil"/>
            <w:left w:val="nil"/>
            <w:bottom w:val="nil"/>
            <w:right w:val="nil"/>
          </w:tcBorders>
        </w:tcPr>
        <w:p w:rsidR="009A55F7" w:rsidRPr="00AD2D4B" w:rsidRDefault="009A55F7" w:rsidP="003A396B">
          <w:pPr>
            <w:spacing w:line="0" w:lineRule="atLeast"/>
            <w:jc w:val="center"/>
            <w:rPr>
              <w:i/>
              <w:sz w:val="18"/>
              <w:szCs w:val="18"/>
            </w:rPr>
          </w:pPr>
          <w:r w:rsidRPr="00AD2D4B">
            <w:rPr>
              <w:i/>
              <w:sz w:val="18"/>
              <w:szCs w:val="18"/>
            </w:rPr>
            <w:t xml:space="preserve">Statement of Principles concerning </w:t>
          </w:r>
          <w:r w:rsidR="003A396B">
            <w:rPr>
              <w:i/>
              <w:sz w:val="18"/>
              <w:szCs w:val="18"/>
            </w:rPr>
            <w:t>Otitis Media</w:t>
          </w:r>
        </w:p>
      </w:tc>
      <w:tc>
        <w:tcPr>
          <w:tcW w:w="700" w:type="dxa"/>
          <w:tcBorders>
            <w:top w:val="nil"/>
            <w:left w:val="nil"/>
            <w:bottom w:val="nil"/>
            <w:right w:val="nil"/>
          </w:tcBorders>
        </w:tcPr>
        <w:p w:rsidR="009A55F7" w:rsidRDefault="009A55F7" w:rsidP="009A55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43D3">
            <w:rPr>
              <w:i/>
              <w:noProof/>
              <w:sz w:val="18"/>
            </w:rPr>
            <w:t>6</w:t>
          </w:r>
          <w:r w:rsidRPr="00ED79B6">
            <w:rPr>
              <w:i/>
              <w:sz w:val="18"/>
            </w:rPr>
            <w:fldChar w:fldCharType="end"/>
          </w:r>
        </w:p>
      </w:tc>
    </w:tr>
    <w:tr w:rsidR="009A55F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A55F7" w:rsidRPr="007E56FF" w:rsidRDefault="009A55F7" w:rsidP="003A396B">
          <w:pPr>
            <w:jc w:val="center"/>
            <w:rPr>
              <w:i/>
              <w:sz w:val="18"/>
            </w:rPr>
          </w:pPr>
          <w:r w:rsidRPr="007E56FF">
            <w:rPr>
              <w:i/>
              <w:sz w:val="18"/>
            </w:rPr>
            <w:t xml:space="preserve">No. </w:t>
          </w:r>
          <w:r w:rsidR="003A396B">
            <w:rPr>
              <w:i/>
              <w:sz w:val="18"/>
            </w:rPr>
            <w:t>52</w:t>
          </w:r>
          <w:r w:rsidRPr="007E56FF">
            <w:rPr>
              <w:i/>
              <w:sz w:val="18"/>
            </w:rPr>
            <w:t xml:space="preserve"> of </w:t>
          </w:r>
          <w:r w:rsidR="003A396B">
            <w:rPr>
              <w:i/>
              <w:sz w:val="18"/>
            </w:rPr>
            <w:t>2014</w:t>
          </w:r>
        </w:p>
      </w:tc>
    </w:tr>
    <w:tr w:rsidR="009A55F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13" w:type="dxa"/>
          <w:gridSpan w:val="5"/>
        </w:tcPr>
        <w:p w:rsidR="009A55F7" w:rsidRPr="007E56FF" w:rsidRDefault="009A55F7" w:rsidP="009A55F7">
          <w:pPr>
            <w:jc w:val="center"/>
            <w:rPr>
              <w:i/>
              <w:sz w:val="18"/>
            </w:rPr>
          </w:pPr>
          <w:r w:rsidRPr="007E56FF">
            <w:rPr>
              <w:i/>
              <w:sz w:val="18"/>
            </w:rPr>
            <w:t>Veterans' Entitlements Act 1986</w:t>
          </w:r>
        </w:p>
      </w:tc>
    </w:tr>
    <w:tr w:rsidR="009A55F7" w:rsidRPr="00130F37" w:rsidTr="00343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gridSpan w:val="2"/>
        </w:tcPr>
        <w:p w:rsidR="009A55F7" w:rsidRPr="00130F37" w:rsidRDefault="009A55F7" w:rsidP="009A55F7">
          <w:pPr>
            <w:spacing w:before="120"/>
            <w:rPr>
              <w:sz w:val="16"/>
              <w:szCs w:val="16"/>
            </w:rPr>
          </w:pPr>
          <w:r w:rsidRPr="00130F37">
            <w:rPr>
              <w:sz w:val="16"/>
              <w:szCs w:val="16"/>
            </w:rPr>
            <w:t xml:space="preserve">Compilation No. </w:t>
          </w:r>
          <w:r w:rsidR="003A396B">
            <w:rPr>
              <w:sz w:val="16"/>
              <w:szCs w:val="16"/>
            </w:rPr>
            <w:t>1</w:t>
          </w:r>
        </w:p>
      </w:tc>
      <w:tc>
        <w:tcPr>
          <w:tcW w:w="2859" w:type="dxa"/>
        </w:tcPr>
        <w:p w:rsidR="009A55F7" w:rsidRPr="00130F37" w:rsidRDefault="009A55F7" w:rsidP="009A55F7">
          <w:pPr>
            <w:spacing w:before="120"/>
            <w:jc w:val="center"/>
            <w:rPr>
              <w:sz w:val="16"/>
              <w:szCs w:val="16"/>
            </w:rPr>
          </w:pPr>
        </w:p>
      </w:tc>
      <w:tc>
        <w:tcPr>
          <w:tcW w:w="3297" w:type="dxa"/>
          <w:gridSpan w:val="2"/>
        </w:tcPr>
        <w:p w:rsidR="009A55F7" w:rsidRPr="00130F37" w:rsidRDefault="009A55F7" w:rsidP="00431A46">
          <w:pPr>
            <w:spacing w:before="120"/>
            <w:jc w:val="right"/>
            <w:rPr>
              <w:sz w:val="16"/>
              <w:szCs w:val="16"/>
            </w:rPr>
          </w:pPr>
          <w:r w:rsidRPr="00130F37">
            <w:rPr>
              <w:sz w:val="16"/>
              <w:szCs w:val="16"/>
            </w:rPr>
            <w:t xml:space="preserve">Compilation date: </w:t>
          </w:r>
          <w:r w:rsidR="00431A46">
            <w:rPr>
              <w:sz w:val="16"/>
              <w:szCs w:val="16"/>
            </w:rPr>
            <w:t>18</w:t>
          </w:r>
          <w:r>
            <w:rPr>
              <w:sz w:val="16"/>
              <w:szCs w:val="16"/>
            </w:rPr>
            <w:t>/</w:t>
          </w:r>
          <w:r w:rsidR="00431A46">
            <w:rPr>
              <w:sz w:val="16"/>
              <w:szCs w:val="16"/>
            </w:rPr>
            <w:t>09</w:t>
          </w:r>
          <w:r>
            <w:rPr>
              <w:sz w:val="16"/>
              <w:szCs w:val="16"/>
            </w:rPr>
            <w:t>/</w:t>
          </w:r>
          <w:r w:rsidR="00431A46">
            <w:rPr>
              <w:sz w:val="16"/>
              <w:szCs w:val="16"/>
            </w:rPr>
            <w:t>2017</w:t>
          </w:r>
        </w:p>
      </w:tc>
    </w:tr>
  </w:tbl>
  <w:p w:rsidR="00307068" w:rsidRPr="00ED79B6" w:rsidRDefault="00307068" w:rsidP="0075398B">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DF6D7F">
      <w:rPr>
        <w:noProof/>
      </w:rPr>
      <w:t>6</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68" w:rsidRDefault="00307068" w:rsidP="008E17F3">
      <w:pPr>
        <w:spacing w:line="240" w:lineRule="auto"/>
      </w:pPr>
      <w:r>
        <w:separator/>
      </w:r>
    </w:p>
  </w:footnote>
  <w:footnote w:type="continuationSeparator" w:id="0">
    <w:p w:rsidR="00307068" w:rsidRDefault="00307068" w:rsidP="008E17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Default="00307068" w:rsidP="0076547B">
    <w:pPr>
      <w:pStyle w:val="Header"/>
      <w:pBdr>
        <w:bottom w:val="single" w:sz="4" w:space="1" w:color="auto"/>
      </w:pBdr>
      <w:tabs>
        <w:tab w:val="clear" w:pos="4150"/>
        <w:tab w:val="clear" w:pos="8307"/>
      </w:tabs>
    </w:pPr>
  </w:p>
  <w:p w:rsidR="00307068" w:rsidRDefault="00307068" w:rsidP="0076547B">
    <w:pPr>
      <w:pStyle w:val="Header"/>
      <w:pBdr>
        <w:bottom w:val="single" w:sz="4" w:space="1" w:color="auto"/>
      </w:pBdr>
      <w:tabs>
        <w:tab w:val="clear" w:pos="4150"/>
        <w:tab w:val="clear" w:pos="8307"/>
      </w:tabs>
    </w:pPr>
  </w:p>
  <w:p w:rsidR="00307068" w:rsidRPr="005F1388" w:rsidRDefault="00307068" w:rsidP="0076547B">
    <w:pPr>
      <w:pStyle w:val="Header"/>
      <w:pBdr>
        <w:bottom w:val="single" w:sz="4" w:space="1" w:color="auto"/>
      </w:pBd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9A" w:rsidRPr="00ED79B6" w:rsidRDefault="00F85C9A" w:rsidP="00F85C9A">
    <w:pPr>
      <w:pBdr>
        <w:bottom w:val="single" w:sz="12" w:space="1" w:color="auto"/>
      </w:pBdr>
      <w:spacing w:before="1000" w:line="240" w:lineRule="auto"/>
    </w:pPr>
  </w:p>
  <w:p w:rsidR="00307068" w:rsidRPr="00F85C9A" w:rsidRDefault="00307068" w:rsidP="00F85C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5F1388" w:rsidRDefault="00307068" w:rsidP="0076547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5C0CFA">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41" w:rsidRPr="00ED79B6" w:rsidRDefault="00DC7B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rPr>
        <w:sz w:val="26"/>
        <w:szCs w:val="26"/>
      </w:rPr>
    </w:pPr>
  </w:p>
  <w:p w:rsidR="00307068" w:rsidRPr="00965EE7" w:rsidRDefault="00307068" w:rsidP="001A0BEE">
    <w:pPr>
      <w:rPr>
        <w:b/>
        <w:sz w:val="20"/>
      </w:rPr>
    </w:pPr>
    <w:r w:rsidRPr="00965EE7">
      <w:rPr>
        <w:b/>
        <w:sz w:val="20"/>
      </w:rPr>
      <w:t>Endnotes</w:t>
    </w:r>
  </w:p>
  <w:p w:rsidR="00307068" w:rsidRPr="007A1328" w:rsidRDefault="00307068" w:rsidP="001A0BEE">
    <w:pPr>
      <w:rPr>
        <w:sz w:val="20"/>
      </w:rPr>
    </w:pPr>
  </w:p>
  <w:p w:rsidR="00307068" w:rsidRPr="007A1328" w:rsidRDefault="00307068" w:rsidP="001A0BEE">
    <w:pPr>
      <w:rPr>
        <w:b/>
        <w:sz w:val="24"/>
      </w:rPr>
    </w:pPr>
  </w:p>
  <w:p w:rsidR="00307068" w:rsidRPr="00C4473E" w:rsidRDefault="00307068" w:rsidP="001A0BEE">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75C78">
      <w:rPr>
        <w:noProof/>
        <w:szCs w:val="22"/>
      </w:rPr>
      <w:t>Endnote 1—About the endnotes</w:t>
    </w:r>
    <w:r w:rsidRPr="00C4473E">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68" w:rsidRPr="00C4473E" w:rsidRDefault="00307068" w:rsidP="001A0BEE">
    <w:pPr>
      <w:jc w:val="right"/>
      <w:rPr>
        <w:sz w:val="26"/>
        <w:szCs w:val="26"/>
      </w:rPr>
    </w:pPr>
  </w:p>
  <w:p w:rsidR="00307068" w:rsidRPr="00965EE7" w:rsidRDefault="00307068" w:rsidP="001A0BEE">
    <w:pPr>
      <w:jc w:val="right"/>
      <w:rPr>
        <w:b/>
        <w:sz w:val="20"/>
      </w:rPr>
    </w:pPr>
    <w:r w:rsidRPr="00965EE7">
      <w:rPr>
        <w:b/>
        <w:sz w:val="20"/>
      </w:rPr>
      <w:t>Endnotes</w:t>
    </w:r>
  </w:p>
  <w:p w:rsidR="00307068" w:rsidRPr="007A1328" w:rsidRDefault="00307068" w:rsidP="001A0BEE">
    <w:pPr>
      <w:jc w:val="right"/>
      <w:rPr>
        <w:sz w:val="20"/>
      </w:rPr>
    </w:pPr>
  </w:p>
  <w:p w:rsidR="00307068" w:rsidRPr="007A1328" w:rsidRDefault="00307068" w:rsidP="001A0BEE">
    <w:pPr>
      <w:jc w:val="right"/>
      <w:rPr>
        <w:b/>
        <w:sz w:val="24"/>
      </w:rPr>
    </w:pPr>
  </w:p>
  <w:p w:rsidR="00307068" w:rsidRPr="00C4473E" w:rsidRDefault="00307068" w:rsidP="001A0BEE">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043D3">
      <w:rPr>
        <w:noProof/>
        <w:szCs w:val="22"/>
      </w:rPr>
      <w:t>Endnote 2—Abbreviation key</w:t>
    </w:r>
    <w:r w:rsidRPr="00C4473E">
      <w:rPr>
        <w:szCs w:val="22"/>
      </w:rPr>
      <w:fldChar w:fldCharType="end"/>
    </w:r>
  </w:p>
  <w:p w:rsidR="00307068" w:rsidRDefault="003070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E4C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481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B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86C3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F82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20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2C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54CB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4B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0C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654D0"/>
    <w:multiLevelType w:val="hybridMultilevel"/>
    <w:tmpl w:val="F578B6FA"/>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252F4"/>
    <w:multiLevelType w:val="singleLevel"/>
    <w:tmpl w:val="9B9C1B44"/>
    <w:lvl w:ilvl="0">
      <w:start w:val="9"/>
      <w:numFmt w:val="decimal"/>
      <w:lvlText w:val="%1."/>
      <w:lvlJc w:val="left"/>
      <w:pPr>
        <w:tabs>
          <w:tab w:val="num" w:pos="720"/>
        </w:tabs>
        <w:ind w:left="720" w:hanging="720"/>
      </w:pPr>
      <w:rPr>
        <w:rFonts w:hint="default"/>
        <w:b/>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ED17128"/>
    <w:multiLevelType w:val="singleLevel"/>
    <w:tmpl w:val="AF42EB8E"/>
    <w:lvl w:ilvl="0">
      <w:start w:val="1"/>
      <w:numFmt w:val="lowerLetter"/>
      <w:lvlText w:val="(%1)"/>
      <w:lvlJc w:val="left"/>
      <w:pPr>
        <w:tabs>
          <w:tab w:val="num" w:pos="1429"/>
        </w:tabs>
        <w:ind w:left="1429" w:hanging="720"/>
      </w:pPr>
      <w:rPr>
        <w:rFonts w:hint="default"/>
      </w:rPr>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B150D9"/>
    <w:multiLevelType w:val="singleLevel"/>
    <w:tmpl w:val="7C30B6C8"/>
    <w:lvl w:ilvl="0">
      <w:start w:val="8"/>
      <w:numFmt w:val="decimal"/>
      <w:lvlText w:val="%1."/>
      <w:lvlJc w:val="left"/>
      <w:pPr>
        <w:tabs>
          <w:tab w:val="num" w:pos="720"/>
        </w:tabs>
        <w:ind w:left="720" w:hanging="720"/>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2"/>
  </w:num>
  <w:num w:numId="15">
    <w:abstractNumId w:val="1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27984"/>
    <w:rsid w:val="000341FA"/>
    <w:rsid w:val="00036B0B"/>
    <w:rsid w:val="000550F3"/>
    <w:rsid w:val="00056743"/>
    <w:rsid w:val="000614BF"/>
    <w:rsid w:val="00075C78"/>
    <w:rsid w:val="000C604C"/>
    <w:rsid w:val="000D05EF"/>
    <w:rsid w:val="000D7F8C"/>
    <w:rsid w:val="00101F45"/>
    <w:rsid w:val="0010745C"/>
    <w:rsid w:val="00166C2F"/>
    <w:rsid w:val="001939E1"/>
    <w:rsid w:val="00195382"/>
    <w:rsid w:val="001C69C4"/>
    <w:rsid w:val="001E3590"/>
    <w:rsid w:val="001E7407"/>
    <w:rsid w:val="00253D1B"/>
    <w:rsid w:val="00295FBA"/>
    <w:rsid w:val="002970D7"/>
    <w:rsid w:val="00297ECB"/>
    <w:rsid w:val="002C7668"/>
    <w:rsid w:val="002D043A"/>
    <w:rsid w:val="002D6A8E"/>
    <w:rsid w:val="00307068"/>
    <w:rsid w:val="00311448"/>
    <w:rsid w:val="0032286F"/>
    <w:rsid w:val="00352B0F"/>
    <w:rsid w:val="00360FB0"/>
    <w:rsid w:val="00377A00"/>
    <w:rsid w:val="003A396B"/>
    <w:rsid w:val="003B5735"/>
    <w:rsid w:val="003D0BFE"/>
    <w:rsid w:val="003D5700"/>
    <w:rsid w:val="003D6F8A"/>
    <w:rsid w:val="003E4160"/>
    <w:rsid w:val="004116CD"/>
    <w:rsid w:val="00424CA9"/>
    <w:rsid w:val="00431A46"/>
    <w:rsid w:val="0044291A"/>
    <w:rsid w:val="004560FB"/>
    <w:rsid w:val="004653F8"/>
    <w:rsid w:val="00496F97"/>
    <w:rsid w:val="00516B8D"/>
    <w:rsid w:val="005327A0"/>
    <w:rsid w:val="00537FBC"/>
    <w:rsid w:val="00584811"/>
    <w:rsid w:val="00594161"/>
    <w:rsid w:val="00594749"/>
    <w:rsid w:val="005A53B1"/>
    <w:rsid w:val="005F6096"/>
    <w:rsid w:val="00600219"/>
    <w:rsid w:val="00613A55"/>
    <w:rsid w:val="006207A3"/>
    <w:rsid w:val="006279B8"/>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7C6773"/>
    <w:rsid w:val="008006B2"/>
    <w:rsid w:val="008043D3"/>
    <w:rsid w:val="00856A31"/>
    <w:rsid w:val="00872162"/>
    <w:rsid w:val="008754D0"/>
    <w:rsid w:val="00893A33"/>
    <w:rsid w:val="008E17F3"/>
    <w:rsid w:val="008E3B8C"/>
    <w:rsid w:val="008E4F16"/>
    <w:rsid w:val="008F0CF0"/>
    <w:rsid w:val="008F20EA"/>
    <w:rsid w:val="00910C7A"/>
    <w:rsid w:val="00917C66"/>
    <w:rsid w:val="0094622F"/>
    <w:rsid w:val="0098638B"/>
    <w:rsid w:val="009A55F7"/>
    <w:rsid w:val="00A01F76"/>
    <w:rsid w:val="00A133FB"/>
    <w:rsid w:val="00A231E2"/>
    <w:rsid w:val="00A64912"/>
    <w:rsid w:val="00A707C3"/>
    <w:rsid w:val="00A70A74"/>
    <w:rsid w:val="00A87E76"/>
    <w:rsid w:val="00A91B5C"/>
    <w:rsid w:val="00AC07B0"/>
    <w:rsid w:val="00AD5641"/>
    <w:rsid w:val="00B14410"/>
    <w:rsid w:val="00B33B3C"/>
    <w:rsid w:val="00BE719A"/>
    <w:rsid w:val="00BE720A"/>
    <w:rsid w:val="00C42BF8"/>
    <w:rsid w:val="00C50043"/>
    <w:rsid w:val="00C544DF"/>
    <w:rsid w:val="00C61CDD"/>
    <w:rsid w:val="00C7573B"/>
    <w:rsid w:val="00C83868"/>
    <w:rsid w:val="00C9377B"/>
    <w:rsid w:val="00CB3D6B"/>
    <w:rsid w:val="00CB48D8"/>
    <w:rsid w:val="00CC0A9E"/>
    <w:rsid w:val="00CD0200"/>
    <w:rsid w:val="00CF0BB2"/>
    <w:rsid w:val="00D03A1F"/>
    <w:rsid w:val="00D108FC"/>
    <w:rsid w:val="00D13441"/>
    <w:rsid w:val="00D70DFB"/>
    <w:rsid w:val="00D766DF"/>
    <w:rsid w:val="00DB3CFE"/>
    <w:rsid w:val="00DB6E60"/>
    <w:rsid w:val="00DC7B41"/>
    <w:rsid w:val="00DE7073"/>
    <w:rsid w:val="00DF1CF5"/>
    <w:rsid w:val="00DF6D7F"/>
    <w:rsid w:val="00E74DC7"/>
    <w:rsid w:val="00E76A98"/>
    <w:rsid w:val="00ED0C49"/>
    <w:rsid w:val="00EE0816"/>
    <w:rsid w:val="00EF2E3A"/>
    <w:rsid w:val="00F04811"/>
    <w:rsid w:val="00F078DC"/>
    <w:rsid w:val="00F23E5F"/>
    <w:rsid w:val="00F51269"/>
    <w:rsid w:val="00F85C9A"/>
    <w:rsid w:val="00FA25AC"/>
    <w:rsid w:val="00FE495E"/>
    <w:rsid w:val="00FE50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AC4AAFAB-80C6-452D-BCA1-B7DFEB54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paragraph" w:customStyle="1" w:styleId="TableOfStatRules">
    <w:name w:val="TableOfStatRules"/>
    <w:basedOn w:val="Normal"/>
    <w:rsid w:val="00A01F76"/>
    <w:pPr>
      <w:spacing w:before="60" w:line="200" w:lineRule="exact"/>
    </w:pPr>
    <w:rPr>
      <w:rFonts w:ascii="Arial" w:eastAsia="Times New Roman" w:hAnsi="Arial" w:cs="Times New Roman"/>
      <w:noProof/>
      <w:sz w:val="18"/>
      <w:szCs w:val="24"/>
      <w:lang w:eastAsia="en-AU"/>
    </w:rPr>
  </w:style>
  <w:style w:type="paragraph" w:customStyle="1" w:styleId="Plainheader">
    <w:name w:val="Plain header"/>
    <w:autoRedefine/>
    <w:uiPriority w:val="2"/>
    <w:qFormat/>
    <w:rsid w:val="00027984"/>
    <w:pPr>
      <w:spacing w:before="120" w:after="120" w:line="280" w:lineRule="atLeast"/>
      <w:outlineLvl w:val="0"/>
    </w:pPr>
    <w:rPr>
      <w:rFonts w:eastAsia="Calibri" w:cs="Arial"/>
      <w:color w:val="000000"/>
      <w:sz w:val="24"/>
    </w:rPr>
  </w:style>
  <w:style w:type="character" w:customStyle="1" w:styleId="notetextChar">
    <w:name w:val="note(text) Char"/>
    <w:aliases w:val="n Char"/>
    <w:link w:val="notetext"/>
    <w:rsid w:val="005F6096"/>
    <w:rPr>
      <w:rFonts w:eastAsia="Times New Roman" w:cs="Times New Roman"/>
      <w:sz w:val="18"/>
      <w:lang w:eastAsia="en-AU"/>
    </w:rPr>
  </w:style>
  <w:style w:type="paragraph" w:customStyle="1" w:styleId="TableOfAmend">
    <w:name w:val="TableOfAmend"/>
    <w:basedOn w:val="Normal"/>
    <w:rsid w:val="005A53B1"/>
    <w:pPr>
      <w:tabs>
        <w:tab w:val="right" w:leader="dot" w:pos="2268"/>
      </w:tabs>
      <w:spacing w:before="60" w:line="200" w:lineRule="exact"/>
      <w:ind w:left="170" w:right="-11" w:hanging="170"/>
    </w:pPr>
    <w:rPr>
      <w:rFonts w:ascii="Arial" w:eastAsia="Times New Roman" w:hAnsi="Arial" w:cs="Times New Roman"/>
      <w:noProof/>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Template>
  <TotalTime>13</TotalTime>
  <Pages>10</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Lochel, Sarah</cp:lastModifiedBy>
  <cp:revision>10</cp:revision>
  <cp:lastPrinted>2016-11-03T03:57:00Z</cp:lastPrinted>
  <dcterms:created xsi:type="dcterms:W3CDTF">2017-06-13T03:11:00Z</dcterms:created>
  <dcterms:modified xsi:type="dcterms:W3CDTF">2017-08-25T01:04:00Z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