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F0" w:rsidRDefault="00F37FF8" w:rsidP="00744E6B">
      <w:pPr>
        <w:pStyle w:val="Heading"/>
        <w:jc w:val="center"/>
        <w:rPr>
          <w:rFonts w:ascii="Times New Roman" w:hAnsi="Times New Roman" w:cs="Times New Roman"/>
          <w:sz w:val="24"/>
          <w:szCs w:val="24"/>
        </w:rPr>
      </w:pPr>
      <w:bookmarkStart w:id="0" w:name="bkInstrumentTitle"/>
      <w:bookmarkStart w:id="1" w:name="_GoBack"/>
      <w:bookmarkEnd w:id="0"/>
      <w:bookmarkEnd w:id="1"/>
      <w:r>
        <w:rPr>
          <w:rFonts w:ascii="Times New Roman" w:hAnsi="Times New Roman" w:cs="Times New Roman"/>
          <w:sz w:val="24"/>
          <w:szCs w:val="24"/>
        </w:rPr>
        <w:t xml:space="preserve">Financial </w:t>
      </w:r>
      <w:r w:rsidR="00D53FCA">
        <w:rPr>
          <w:rFonts w:ascii="Times New Roman" w:hAnsi="Times New Roman" w:cs="Times New Roman"/>
          <w:sz w:val="24"/>
          <w:szCs w:val="24"/>
        </w:rPr>
        <w:t>S</w:t>
      </w:r>
      <w:r>
        <w:rPr>
          <w:rFonts w:ascii="Times New Roman" w:hAnsi="Times New Roman" w:cs="Times New Roman"/>
          <w:sz w:val="24"/>
          <w:szCs w:val="24"/>
        </w:rPr>
        <w:t xml:space="preserve">ector </w:t>
      </w:r>
      <w:r w:rsidR="002D4738">
        <w:rPr>
          <w:rFonts w:ascii="Times New Roman" w:hAnsi="Times New Roman" w:cs="Times New Roman"/>
          <w:sz w:val="24"/>
          <w:szCs w:val="24"/>
        </w:rPr>
        <w:t>(</w:t>
      </w:r>
      <w:r w:rsidR="00D53FCA">
        <w:rPr>
          <w:rFonts w:ascii="Times New Roman" w:hAnsi="Times New Roman" w:cs="Times New Roman"/>
          <w:sz w:val="24"/>
          <w:szCs w:val="24"/>
        </w:rPr>
        <w:t>C</w:t>
      </w:r>
      <w:r>
        <w:rPr>
          <w:rFonts w:ascii="Times New Roman" w:hAnsi="Times New Roman" w:cs="Times New Roman"/>
          <w:sz w:val="24"/>
          <w:szCs w:val="24"/>
        </w:rPr>
        <w:t xml:space="preserve">ollection of </w:t>
      </w:r>
      <w:r w:rsidR="002D4738">
        <w:rPr>
          <w:rFonts w:ascii="Times New Roman" w:hAnsi="Times New Roman" w:cs="Times New Roman"/>
          <w:sz w:val="24"/>
          <w:szCs w:val="24"/>
        </w:rPr>
        <w:t>D</w:t>
      </w:r>
      <w:r>
        <w:rPr>
          <w:rFonts w:ascii="Times New Roman" w:hAnsi="Times New Roman" w:cs="Times New Roman"/>
          <w:sz w:val="24"/>
          <w:szCs w:val="24"/>
        </w:rPr>
        <w:t>ata</w:t>
      </w:r>
      <w:r w:rsidR="002D4738">
        <w:rPr>
          <w:rFonts w:ascii="Times New Roman" w:hAnsi="Times New Roman" w:cs="Times New Roman"/>
          <w:sz w:val="24"/>
          <w:szCs w:val="24"/>
        </w:rPr>
        <w:t>)</w:t>
      </w:r>
      <w:r>
        <w:rPr>
          <w:rFonts w:ascii="Times New Roman" w:hAnsi="Times New Roman" w:cs="Times New Roman"/>
          <w:sz w:val="24"/>
          <w:szCs w:val="24"/>
        </w:rPr>
        <w:t xml:space="preserve"> </w:t>
      </w:r>
      <w:r w:rsidR="002D4738">
        <w:rPr>
          <w:rFonts w:ascii="Times New Roman" w:hAnsi="Times New Roman" w:cs="Times New Roman"/>
          <w:sz w:val="24"/>
          <w:szCs w:val="24"/>
        </w:rPr>
        <w:t>(</w:t>
      </w:r>
      <w:r>
        <w:rPr>
          <w:rFonts w:ascii="Times New Roman" w:hAnsi="Times New Roman" w:cs="Times New Roman"/>
          <w:sz w:val="24"/>
          <w:szCs w:val="24"/>
        </w:rPr>
        <w:t>reporting standard</w:t>
      </w:r>
      <w:r w:rsidR="002D4738">
        <w:rPr>
          <w:rFonts w:ascii="Times New Roman" w:hAnsi="Times New Roman" w:cs="Times New Roman"/>
          <w:sz w:val="24"/>
          <w:szCs w:val="24"/>
        </w:rPr>
        <w:t>)</w:t>
      </w:r>
      <w:r>
        <w:rPr>
          <w:rFonts w:ascii="Times New Roman" w:hAnsi="Times New Roman" w:cs="Times New Roman"/>
          <w:sz w:val="24"/>
          <w:szCs w:val="24"/>
        </w:rPr>
        <w:t xml:space="preserve"> </w:t>
      </w:r>
      <w:r w:rsidR="002D4738">
        <w:rPr>
          <w:rFonts w:ascii="Times New Roman" w:hAnsi="Times New Roman" w:cs="Times New Roman"/>
          <w:sz w:val="24"/>
          <w:szCs w:val="24"/>
        </w:rPr>
        <w:t xml:space="preserve">determination No. </w:t>
      </w:r>
      <w:r w:rsidR="003E299C">
        <w:rPr>
          <w:rFonts w:ascii="Times New Roman" w:hAnsi="Times New Roman" w:cs="Times New Roman"/>
          <w:sz w:val="24"/>
          <w:szCs w:val="24"/>
        </w:rPr>
        <w:t>2</w:t>
      </w:r>
      <w:r>
        <w:rPr>
          <w:rFonts w:ascii="Times New Roman" w:hAnsi="Times New Roman" w:cs="Times New Roman"/>
          <w:sz w:val="24"/>
          <w:szCs w:val="24"/>
        </w:rPr>
        <w:t xml:space="preserve"> of 2014</w:t>
      </w:r>
    </w:p>
    <w:p w:rsidR="008C228A" w:rsidRDefault="006D0523" w:rsidP="00744E6B">
      <w:pPr>
        <w:pStyle w:val="Heading"/>
        <w:jc w:val="center"/>
        <w:rPr>
          <w:rFonts w:ascii="Times New Roman" w:hAnsi="Times New Roman" w:cs="Times New Roman"/>
          <w:sz w:val="24"/>
          <w:szCs w:val="24"/>
        </w:rPr>
      </w:pPr>
      <w:bookmarkStart w:id="2" w:name="bkInstrumentSubTitle"/>
      <w:bookmarkEnd w:id="2"/>
      <w:r>
        <w:rPr>
          <w:rFonts w:ascii="Times New Roman" w:hAnsi="Times New Roman" w:cs="Times New Roman"/>
          <w:sz w:val="24"/>
          <w:szCs w:val="24"/>
        </w:rPr>
        <w:t xml:space="preserve">Reporting Standard </w:t>
      </w:r>
      <w:r w:rsidR="00F37FF8">
        <w:rPr>
          <w:rFonts w:ascii="Times New Roman" w:hAnsi="Times New Roman" w:cs="Times New Roman"/>
          <w:sz w:val="24"/>
          <w:szCs w:val="24"/>
        </w:rPr>
        <w:t>ARS 210 Liquidity</w:t>
      </w:r>
    </w:p>
    <w:p w:rsidR="005941E1" w:rsidRPr="008B7528" w:rsidRDefault="005941E1" w:rsidP="00EA6BF0">
      <w:pPr>
        <w:pStyle w:val="Heading"/>
        <w:tabs>
          <w:tab w:val="left" w:pos="360"/>
        </w:tabs>
        <w:ind w:left="-360"/>
        <w:jc w:val="center"/>
        <w:rPr>
          <w:rFonts w:ascii="Times New Roman" w:hAnsi="Times New Roman" w:cs="Times New Roman"/>
          <w:sz w:val="24"/>
          <w:szCs w:val="24"/>
          <w:u w:val="single"/>
        </w:rPr>
      </w:pPr>
      <w:bookmarkStart w:id="3" w:name="bkStart"/>
      <w:bookmarkEnd w:id="3"/>
      <w:r w:rsidRPr="008B7528">
        <w:rPr>
          <w:rFonts w:ascii="Times New Roman" w:hAnsi="Times New Roman" w:cs="Times New Roman"/>
          <w:sz w:val="24"/>
          <w:szCs w:val="24"/>
          <w:u w:val="single"/>
        </w:rPr>
        <w:t>EXPLANATORY STATEMENT</w:t>
      </w:r>
    </w:p>
    <w:p w:rsidR="00102F9E" w:rsidRDefault="005941E1" w:rsidP="005941E1">
      <w:pPr>
        <w:pStyle w:val="Heading"/>
        <w:jc w:val="center"/>
        <w:rPr>
          <w:rFonts w:ascii="Times New Roman" w:hAnsi="Times New Roman" w:cs="Times New Roman"/>
          <w:sz w:val="24"/>
          <w:szCs w:val="24"/>
        </w:rPr>
      </w:pPr>
      <w:r>
        <w:rPr>
          <w:rFonts w:ascii="Times New Roman" w:hAnsi="Times New Roman" w:cs="Times New Roman"/>
          <w:sz w:val="24"/>
          <w:szCs w:val="24"/>
        </w:rPr>
        <w:t>Prepared by the Australian Prudential Regulation Authority</w:t>
      </w:r>
      <w:r w:rsidR="00102F9E">
        <w:rPr>
          <w:rFonts w:ascii="Times New Roman" w:hAnsi="Times New Roman" w:cs="Times New Roman"/>
          <w:sz w:val="24"/>
          <w:szCs w:val="24"/>
        </w:rPr>
        <w:t xml:space="preserve"> </w:t>
      </w:r>
    </w:p>
    <w:p w:rsidR="00F37FF8" w:rsidRDefault="00F37FF8" w:rsidP="0087745A">
      <w:pPr>
        <w:pStyle w:val="Heading"/>
        <w:tabs>
          <w:tab w:val="left" w:pos="360"/>
        </w:tabs>
        <w:ind w:left="-360"/>
        <w:jc w:val="center"/>
        <w:rPr>
          <w:rFonts w:ascii="Times New Roman" w:hAnsi="Times New Roman" w:cs="Times New Roman"/>
          <w:b w:val="0"/>
          <w:color w:val="000000"/>
          <w:sz w:val="24"/>
          <w:szCs w:val="24"/>
        </w:rPr>
      </w:pPr>
      <w:r w:rsidRPr="00F37FF8">
        <w:rPr>
          <w:rFonts w:ascii="Times New Roman" w:hAnsi="Times New Roman" w:cs="Times New Roman"/>
          <w:b w:val="0"/>
          <w:i/>
          <w:color w:val="000000"/>
          <w:sz w:val="24"/>
          <w:szCs w:val="24"/>
        </w:rPr>
        <w:t xml:space="preserve">Financial Sector </w:t>
      </w:r>
      <w:r w:rsidR="00D53FCA">
        <w:rPr>
          <w:rFonts w:ascii="Times New Roman" w:hAnsi="Times New Roman" w:cs="Times New Roman"/>
          <w:b w:val="0"/>
          <w:i/>
          <w:color w:val="000000"/>
          <w:sz w:val="24"/>
          <w:szCs w:val="24"/>
        </w:rPr>
        <w:t>(</w:t>
      </w:r>
      <w:r w:rsidRPr="00F37FF8">
        <w:rPr>
          <w:rFonts w:ascii="Times New Roman" w:hAnsi="Times New Roman" w:cs="Times New Roman"/>
          <w:b w:val="0"/>
          <w:i/>
          <w:color w:val="000000"/>
          <w:sz w:val="24"/>
          <w:szCs w:val="24"/>
        </w:rPr>
        <w:t>Collection of Data</w:t>
      </w:r>
      <w:r w:rsidR="00D53FCA">
        <w:rPr>
          <w:rFonts w:ascii="Times New Roman" w:hAnsi="Times New Roman" w:cs="Times New Roman"/>
          <w:b w:val="0"/>
          <w:i/>
          <w:color w:val="000000"/>
          <w:sz w:val="24"/>
          <w:szCs w:val="24"/>
        </w:rPr>
        <w:t>)</w:t>
      </w:r>
      <w:r w:rsidRPr="00F37FF8">
        <w:rPr>
          <w:rFonts w:ascii="Times New Roman" w:hAnsi="Times New Roman" w:cs="Times New Roman"/>
          <w:b w:val="0"/>
          <w:i/>
          <w:color w:val="000000"/>
          <w:sz w:val="24"/>
          <w:szCs w:val="24"/>
        </w:rPr>
        <w:t xml:space="preserve"> Act 2001 </w:t>
      </w:r>
      <w:r w:rsidRPr="00D53FCA">
        <w:rPr>
          <w:rFonts w:ascii="Times New Roman" w:hAnsi="Times New Roman" w:cs="Times New Roman"/>
          <w:b w:val="0"/>
          <w:color w:val="000000"/>
          <w:sz w:val="24"/>
          <w:szCs w:val="24"/>
        </w:rPr>
        <w:t>s</w:t>
      </w:r>
      <w:r w:rsidR="00A03D60">
        <w:rPr>
          <w:rFonts w:ascii="Times New Roman" w:hAnsi="Times New Roman" w:cs="Times New Roman"/>
          <w:b w:val="0"/>
          <w:color w:val="000000"/>
          <w:sz w:val="24"/>
          <w:szCs w:val="24"/>
        </w:rPr>
        <w:t>ection</w:t>
      </w:r>
      <w:r w:rsidRPr="00D53FCA">
        <w:rPr>
          <w:rFonts w:ascii="Times New Roman" w:hAnsi="Times New Roman" w:cs="Times New Roman"/>
          <w:b w:val="0"/>
          <w:color w:val="000000"/>
          <w:sz w:val="24"/>
          <w:szCs w:val="24"/>
        </w:rPr>
        <w:t xml:space="preserve"> 13</w:t>
      </w:r>
    </w:p>
    <w:p w:rsidR="002D4738" w:rsidRPr="002D4738" w:rsidRDefault="002D4738" w:rsidP="0087745A">
      <w:pPr>
        <w:pStyle w:val="Heading"/>
        <w:tabs>
          <w:tab w:val="left" w:pos="360"/>
        </w:tabs>
        <w:ind w:left="-360"/>
        <w:jc w:val="center"/>
        <w:rPr>
          <w:rFonts w:ascii="Times New Roman" w:hAnsi="Times New Roman" w:cs="Times New Roman"/>
          <w:b w:val="0"/>
          <w:color w:val="000000"/>
          <w:sz w:val="24"/>
          <w:szCs w:val="24"/>
        </w:rPr>
      </w:pPr>
      <w:r>
        <w:rPr>
          <w:rFonts w:ascii="Times New Roman" w:hAnsi="Times New Roman" w:cs="Times New Roman"/>
          <w:b w:val="0"/>
          <w:i/>
          <w:color w:val="000000"/>
          <w:sz w:val="24"/>
          <w:szCs w:val="24"/>
        </w:rPr>
        <w:t>Acts Interpretation Act 1901</w:t>
      </w:r>
      <w:r>
        <w:rPr>
          <w:rFonts w:ascii="Times New Roman" w:hAnsi="Times New Roman" w:cs="Times New Roman"/>
          <w:b w:val="0"/>
          <w:color w:val="000000"/>
          <w:sz w:val="24"/>
          <w:szCs w:val="24"/>
        </w:rPr>
        <w:t>, subsection 33(3)</w:t>
      </w:r>
    </w:p>
    <w:p w:rsidR="003A551B" w:rsidRDefault="003A551B" w:rsidP="00C62FA1">
      <w:pPr>
        <w:pStyle w:val="Heading"/>
        <w:ind w:left="-360"/>
        <w:rPr>
          <w:rFonts w:ascii="Times New Roman" w:hAnsi="Times New Roman" w:cs="Times New Roman"/>
          <w:b w:val="0"/>
          <w:color w:val="000000"/>
          <w:sz w:val="24"/>
          <w:szCs w:val="24"/>
        </w:rPr>
      </w:pPr>
      <w:bookmarkStart w:id="4" w:name="bkAct"/>
      <w:bookmarkStart w:id="5" w:name="bkExplanatory"/>
      <w:bookmarkEnd w:id="4"/>
      <w:bookmarkEnd w:id="5"/>
    </w:p>
    <w:p w:rsidR="00A03D60" w:rsidRDefault="00A03D60" w:rsidP="00DA6D1E">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Under paragraph 13(1)(a) of the </w:t>
      </w:r>
      <w:r>
        <w:rPr>
          <w:rFonts w:ascii="Times New Roman" w:hAnsi="Times New Roman" w:cs="Times New Roman"/>
          <w:b w:val="0"/>
          <w:i/>
          <w:color w:val="000000"/>
          <w:sz w:val="24"/>
          <w:szCs w:val="24"/>
        </w:rPr>
        <w:t>Financial Sector (Collection of Data) Act 2001 (the Act)</w:t>
      </w:r>
      <w:r>
        <w:rPr>
          <w:rFonts w:ascii="Times New Roman" w:hAnsi="Times New Roman" w:cs="Times New Roman"/>
          <w:b w:val="0"/>
          <w:color w:val="000000"/>
          <w:sz w:val="24"/>
          <w:szCs w:val="24"/>
        </w:rPr>
        <w:t>, APRA has the power</w:t>
      </w:r>
      <w:r w:rsidR="002D4738">
        <w:rPr>
          <w:rFonts w:ascii="Times New Roman" w:hAnsi="Times New Roman" w:cs="Times New Roman"/>
          <w:b w:val="0"/>
          <w:color w:val="000000"/>
          <w:sz w:val="24"/>
          <w:szCs w:val="24"/>
        </w:rPr>
        <w:t xml:space="preserve"> to determine reporting standards, in writing, with which financial sector entities must comply. Such standards relate to reporting financial or accounting data and other information regarding the business or activities of the entities. Subsection 33(3) of the </w:t>
      </w:r>
      <w:r w:rsidR="002D4738">
        <w:rPr>
          <w:rFonts w:ascii="Times New Roman" w:hAnsi="Times New Roman" w:cs="Times New Roman"/>
          <w:b w:val="0"/>
          <w:i/>
          <w:color w:val="000000"/>
          <w:sz w:val="24"/>
          <w:szCs w:val="24"/>
        </w:rPr>
        <w:t>Acts Interpretation Act 1901</w:t>
      </w:r>
      <w:r w:rsidR="002D4738">
        <w:rPr>
          <w:rFonts w:ascii="Times New Roman" w:hAnsi="Times New Roman" w:cs="Times New Roman"/>
          <w:b w:val="0"/>
          <w:color w:val="000000"/>
          <w:sz w:val="24"/>
          <w:szCs w:val="24"/>
        </w:rPr>
        <w:t xml:space="preserve"> provides that where an Act confers a power to issue an instrument the power shall, unless the contrary intention appears, be construed a</w:t>
      </w:r>
      <w:r w:rsidR="00AB569C">
        <w:rPr>
          <w:rFonts w:ascii="Times New Roman" w:hAnsi="Times New Roman" w:cs="Times New Roman"/>
          <w:b w:val="0"/>
          <w:color w:val="000000"/>
          <w:sz w:val="24"/>
          <w:szCs w:val="24"/>
        </w:rPr>
        <w:t>s including a power exercisable in the like manner and subject to the like conditions (if any) to revoke any such instrument.</w:t>
      </w:r>
    </w:p>
    <w:p w:rsidR="00AB569C" w:rsidRPr="002F4A14" w:rsidRDefault="003531D9" w:rsidP="00DA6D1E">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On </w:t>
      </w:r>
      <w:r w:rsidR="000F161D">
        <w:rPr>
          <w:rFonts w:ascii="Times New Roman" w:hAnsi="Times New Roman" w:cs="Times New Roman"/>
          <w:b w:val="0"/>
          <w:color w:val="000000"/>
          <w:sz w:val="24"/>
          <w:szCs w:val="24"/>
        </w:rPr>
        <w:t>4</w:t>
      </w:r>
      <w:r w:rsidR="00262018">
        <w:rPr>
          <w:rFonts w:ascii="Times New Roman" w:hAnsi="Times New Roman" w:cs="Times New Roman"/>
          <w:b w:val="0"/>
          <w:color w:val="000000"/>
          <w:sz w:val="24"/>
          <w:szCs w:val="24"/>
        </w:rPr>
        <w:t xml:space="preserve"> April</w:t>
      </w:r>
      <w:r>
        <w:rPr>
          <w:rFonts w:ascii="Times New Roman" w:hAnsi="Times New Roman" w:cs="Times New Roman"/>
          <w:b w:val="0"/>
          <w:color w:val="000000"/>
          <w:sz w:val="24"/>
          <w:szCs w:val="24"/>
        </w:rPr>
        <w:t xml:space="preserve"> 2014, APRA made Financial Sector (Collection of Data) (reporting standard) determination No.</w:t>
      </w:r>
      <w:r w:rsidR="00BA78BC">
        <w:rPr>
          <w:rFonts w:ascii="Times New Roman" w:hAnsi="Times New Roman" w:cs="Times New Roman"/>
          <w:b w:val="0"/>
          <w:color w:val="000000"/>
          <w:sz w:val="24"/>
          <w:szCs w:val="24"/>
        </w:rPr>
        <w:t xml:space="preserve"> 2</w:t>
      </w:r>
      <w:r>
        <w:rPr>
          <w:rFonts w:ascii="Times New Roman" w:hAnsi="Times New Roman" w:cs="Times New Roman"/>
          <w:b w:val="0"/>
          <w:color w:val="000000"/>
          <w:sz w:val="24"/>
          <w:szCs w:val="24"/>
        </w:rPr>
        <w:t xml:space="preserve"> of 2014 (the instrument), which revokes Financial Sector (Collection of Data) (reporting standard) determination No. 18 of 2008 (which </w:t>
      </w:r>
      <w:r w:rsidR="00CA56F0">
        <w:rPr>
          <w:rFonts w:ascii="Times New Roman" w:hAnsi="Times New Roman" w:cs="Times New Roman"/>
          <w:b w:val="0"/>
          <w:color w:val="000000"/>
          <w:sz w:val="24"/>
          <w:szCs w:val="24"/>
        </w:rPr>
        <w:t>made</w:t>
      </w:r>
      <w:r>
        <w:rPr>
          <w:rFonts w:ascii="Times New Roman" w:hAnsi="Times New Roman" w:cs="Times New Roman"/>
          <w:b w:val="0"/>
          <w:color w:val="000000"/>
          <w:sz w:val="24"/>
          <w:szCs w:val="24"/>
        </w:rPr>
        <w:t xml:space="preserve"> </w:t>
      </w:r>
      <w:r>
        <w:rPr>
          <w:rFonts w:ascii="Times New Roman" w:hAnsi="Times New Roman" w:cs="Times New Roman"/>
          <w:b w:val="0"/>
          <w:i/>
          <w:color w:val="000000"/>
          <w:sz w:val="24"/>
          <w:szCs w:val="24"/>
        </w:rPr>
        <w:t>Reporting Standard ARS 210.0 Statement of High Quality Liquid Assets Calculation</w:t>
      </w:r>
      <w:r>
        <w:rPr>
          <w:rFonts w:ascii="Times New Roman" w:hAnsi="Times New Roman" w:cs="Times New Roman"/>
          <w:b w:val="0"/>
          <w:color w:val="000000"/>
          <w:sz w:val="24"/>
          <w:szCs w:val="24"/>
        </w:rPr>
        <w:t xml:space="preserve">) and determines a new </w:t>
      </w:r>
      <w:r>
        <w:rPr>
          <w:rFonts w:ascii="Times New Roman" w:hAnsi="Times New Roman" w:cs="Times New Roman"/>
          <w:b w:val="0"/>
          <w:i/>
          <w:color w:val="000000"/>
          <w:sz w:val="24"/>
          <w:szCs w:val="24"/>
        </w:rPr>
        <w:t>Reporting Standard ARS 210.</w:t>
      </w:r>
      <w:r w:rsidRPr="005F334B">
        <w:rPr>
          <w:rFonts w:ascii="Times New Roman" w:hAnsi="Times New Roman" w:cs="Times New Roman"/>
          <w:b w:val="0"/>
          <w:i/>
          <w:color w:val="000000"/>
          <w:sz w:val="24"/>
          <w:szCs w:val="24"/>
        </w:rPr>
        <w:t>0</w:t>
      </w:r>
      <w:r w:rsidR="002F4A14">
        <w:rPr>
          <w:rFonts w:ascii="Times New Roman" w:hAnsi="Times New Roman" w:cs="Times New Roman"/>
          <w:b w:val="0"/>
          <w:i/>
          <w:color w:val="000000"/>
          <w:sz w:val="24"/>
          <w:szCs w:val="24"/>
        </w:rPr>
        <w:t xml:space="preserve"> Liquidity</w:t>
      </w:r>
      <w:r w:rsidR="002F4A14">
        <w:rPr>
          <w:rFonts w:ascii="Times New Roman" w:hAnsi="Times New Roman" w:cs="Times New Roman"/>
          <w:b w:val="0"/>
          <w:color w:val="000000"/>
          <w:sz w:val="24"/>
          <w:szCs w:val="24"/>
        </w:rPr>
        <w:t xml:space="preserve"> (ARS 210</w:t>
      </w:r>
      <w:r w:rsidR="002F4A14" w:rsidRPr="005F334B">
        <w:rPr>
          <w:rFonts w:ascii="Times New Roman" w:hAnsi="Times New Roman" w:cs="Times New Roman"/>
          <w:b w:val="0"/>
          <w:color w:val="000000"/>
          <w:sz w:val="24"/>
          <w:szCs w:val="24"/>
        </w:rPr>
        <w:t>.0).</w:t>
      </w:r>
    </w:p>
    <w:p w:rsidR="00A03D60" w:rsidRPr="00673E01" w:rsidRDefault="00B5701D" w:rsidP="00DA6D1E">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Th</w:t>
      </w:r>
      <w:r w:rsidR="00CB6FEF">
        <w:rPr>
          <w:rFonts w:ascii="Times New Roman" w:hAnsi="Times New Roman" w:cs="Times New Roman"/>
          <w:b w:val="0"/>
          <w:color w:val="000000"/>
          <w:sz w:val="24"/>
          <w:szCs w:val="24"/>
        </w:rPr>
        <w:t>e</w:t>
      </w:r>
      <w:r>
        <w:rPr>
          <w:rFonts w:ascii="Times New Roman" w:hAnsi="Times New Roman" w:cs="Times New Roman"/>
          <w:b w:val="0"/>
          <w:color w:val="000000"/>
          <w:sz w:val="24"/>
          <w:szCs w:val="24"/>
        </w:rPr>
        <w:t xml:space="preserve"> instrument is to take effect on its date of registration on the Federal Register of Legislative Instruments.</w:t>
      </w:r>
    </w:p>
    <w:p w:rsidR="005941E1" w:rsidRDefault="005941E1" w:rsidP="00DA6D1E">
      <w:pPr>
        <w:pStyle w:val="Heading"/>
        <w:numPr>
          <w:ilvl w:val="0"/>
          <w:numId w:val="1"/>
        </w:numPr>
        <w:ind w:left="0" w:hanging="720"/>
        <w:jc w:val="both"/>
        <w:rPr>
          <w:rFonts w:ascii="Times New Roman" w:hAnsi="Times New Roman" w:cs="Times New Roman"/>
          <w:sz w:val="24"/>
          <w:szCs w:val="24"/>
        </w:rPr>
      </w:pPr>
      <w:r>
        <w:rPr>
          <w:rFonts w:ascii="Times New Roman" w:hAnsi="Times New Roman" w:cs="Times New Roman"/>
          <w:sz w:val="24"/>
          <w:szCs w:val="24"/>
        </w:rPr>
        <w:t>Background</w:t>
      </w:r>
    </w:p>
    <w:p w:rsidR="00EA3B04" w:rsidRDefault="00EA3B04" w:rsidP="00DA6D1E">
      <w:pPr>
        <w:pStyle w:val="Heading"/>
        <w:jc w:val="both"/>
        <w:rPr>
          <w:rFonts w:ascii="Times New Roman" w:hAnsi="Times New Roman" w:cs="Times New Roman"/>
          <w:b w:val="0"/>
          <w:color w:val="000000"/>
          <w:sz w:val="24"/>
          <w:szCs w:val="24"/>
        </w:rPr>
      </w:pPr>
      <w:bookmarkStart w:id="6" w:name="bkBackground"/>
      <w:bookmarkEnd w:id="6"/>
      <w:r w:rsidRPr="00EA3B04">
        <w:rPr>
          <w:rFonts w:ascii="Times New Roman" w:hAnsi="Times New Roman" w:cs="Times New Roman"/>
          <w:b w:val="0"/>
          <w:color w:val="000000"/>
          <w:sz w:val="24"/>
          <w:szCs w:val="24"/>
        </w:rPr>
        <w:t xml:space="preserve">APRA’s mandate </w:t>
      </w:r>
      <w:r>
        <w:rPr>
          <w:rFonts w:ascii="Times New Roman" w:hAnsi="Times New Roman" w:cs="Times New Roman"/>
          <w:b w:val="0"/>
          <w:color w:val="000000"/>
          <w:sz w:val="24"/>
          <w:szCs w:val="24"/>
        </w:rPr>
        <w:t xml:space="preserve">is to ensure the safety and soundness of prudentially regulated financial institutions so that they can meet their financial promises to depositors, policyholders and fund members within a stable, efficient and competitive financial system. In response to the global financial crisis, the Basel Committee on Banking Supervision developed and released global liquidity measures for internationally active banks, known as Basel III liquidity. APRA incorporated these measures in </w:t>
      </w:r>
      <w:r>
        <w:rPr>
          <w:rFonts w:ascii="Times New Roman" w:hAnsi="Times New Roman" w:cs="Times New Roman"/>
          <w:b w:val="0"/>
          <w:i/>
          <w:color w:val="000000"/>
          <w:sz w:val="24"/>
          <w:szCs w:val="24"/>
        </w:rPr>
        <w:t xml:space="preserve">Prudential Standard APS 210 </w:t>
      </w:r>
      <w:r w:rsidR="003E299C">
        <w:rPr>
          <w:rFonts w:ascii="Times New Roman" w:hAnsi="Times New Roman" w:cs="Times New Roman"/>
          <w:b w:val="0"/>
          <w:i/>
          <w:color w:val="000000"/>
          <w:sz w:val="24"/>
          <w:szCs w:val="24"/>
        </w:rPr>
        <w:t>Liquidity</w:t>
      </w:r>
      <w:r w:rsidR="005F334B">
        <w:rPr>
          <w:rFonts w:ascii="Times New Roman" w:hAnsi="Times New Roman" w:cs="Times New Roman"/>
          <w:b w:val="0"/>
          <w:color w:val="000000"/>
          <w:sz w:val="24"/>
          <w:szCs w:val="24"/>
        </w:rPr>
        <w:t xml:space="preserve"> (APS 210)</w:t>
      </w:r>
      <w:r w:rsidR="003E299C">
        <w:rPr>
          <w:rFonts w:ascii="Times New Roman" w:hAnsi="Times New Roman" w:cs="Times New Roman"/>
          <w:b w:val="0"/>
          <w:color w:val="000000"/>
          <w:sz w:val="24"/>
          <w:szCs w:val="24"/>
        </w:rPr>
        <w:t xml:space="preserve">. </w:t>
      </w:r>
      <w:r w:rsidR="00922FB7">
        <w:rPr>
          <w:rFonts w:ascii="Times New Roman" w:hAnsi="Times New Roman" w:cs="Times New Roman"/>
          <w:b w:val="0"/>
          <w:color w:val="000000"/>
          <w:sz w:val="24"/>
          <w:szCs w:val="24"/>
        </w:rPr>
        <w:t xml:space="preserve"> </w:t>
      </w:r>
    </w:p>
    <w:p w:rsidR="005941E1" w:rsidRDefault="008B7528" w:rsidP="00DA6D1E">
      <w:pPr>
        <w:pStyle w:val="Heading"/>
        <w:numPr>
          <w:ilvl w:val="0"/>
          <w:numId w:val="1"/>
        </w:numPr>
        <w:ind w:left="0" w:hanging="720"/>
        <w:jc w:val="both"/>
        <w:rPr>
          <w:rFonts w:ascii="Times New Roman" w:hAnsi="Times New Roman" w:cs="Times New Roman"/>
          <w:sz w:val="24"/>
          <w:szCs w:val="24"/>
        </w:rPr>
      </w:pPr>
      <w:r>
        <w:rPr>
          <w:rFonts w:ascii="Times New Roman" w:hAnsi="Times New Roman" w:cs="Times New Roman"/>
          <w:sz w:val="24"/>
          <w:szCs w:val="24"/>
        </w:rPr>
        <w:t xml:space="preserve">Purpose </w:t>
      </w:r>
      <w:r w:rsidR="006B62F6">
        <w:rPr>
          <w:rFonts w:ascii="Times New Roman" w:hAnsi="Times New Roman" w:cs="Times New Roman"/>
          <w:sz w:val="24"/>
          <w:szCs w:val="24"/>
        </w:rPr>
        <w:t xml:space="preserve">and operation </w:t>
      </w:r>
      <w:r>
        <w:rPr>
          <w:rFonts w:ascii="Times New Roman" w:hAnsi="Times New Roman" w:cs="Times New Roman"/>
          <w:sz w:val="24"/>
          <w:szCs w:val="24"/>
        </w:rPr>
        <w:t>of the instrument</w:t>
      </w:r>
    </w:p>
    <w:p w:rsidR="003A551B" w:rsidRPr="003A551B" w:rsidRDefault="00922FB7" w:rsidP="00DA6D1E">
      <w:pPr>
        <w:pStyle w:val="Heading"/>
        <w:jc w:val="both"/>
        <w:rPr>
          <w:rFonts w:ascii="Times New Roman" w:hAnsi="Times New Roman" w:cs="Times New Roman"/>
          <w:b w:val="0"/>
          <w:sz w:val="24"/>
          <w:szCs w:val="24"/>
        </w:rPr>
      </w:pPr>
      <w:bookmarkStart w:id="7" w:name="bkPurpose"/>
      <w:bookmarkEnd w:id="7"/>
      <w:r>
        <w:rPr>
          <w:rFonts w:ascii="Times New Roman" w:hAnsi="Times New Roman" w:cs="Times New Roman"/>
          <w:b w:val="0"/>
          <w:sz w:val="24"/>
          <w:szCs w:val="24"/>
        </w:rPr>
        <w:t>The purpose of the instrument is to revoke the existing ARS 210.0 and replace it with a new version of ARS 210.0.</w:t>
      </w:r>
    </w:p>
    <w:p w:rsidR="003A551B" w:rsidRDefault="005F334B" w:rsidP="00DA6D1E">
      <w:pPr>
        <w:pStyle w:val="Heading"/>
        <w:jc w:val="both"/>
        <w:rPr>
          <w:rFonts w:ascii="Times New Roman" w:hAnsi="Times New Roman" w:cs="Times New Roman"/>
          <w:b w:val="0"/>
          <w:sz w:val="24"/>
          <w:szCs w:val="24"/>
        </w:rPr>
      </w:pPr>
      <w:bookmarkStart w:id="8" w:name="bkoperation"/>
      <w:bookmarkEnd w:id="8"/>
      <w:r>
        <w:rPr>
          <w:rFonts w:ascii="Times New Roman" w:hAnsi="Times New Roman" w:cs="Times New Roman"/>
          <w:b w:val="0"/>
          <w:sz w:val="24"/>
          <w:szCs w:val="24"/>
        </w:rPr>
        <w:t xml:space="preserve">ARS 210.0 collects information that will be used by APRA for the purpose of prudential supervision, including assessing compliance with APS 210. </w:t>
      </w:r>
      <w:r w:rsidR="00BE0D9E">
        <w:rPr>
          <w:rFonts w:ascii="Times New Roman" w:hAnsi="Times New Roman" w:cs="Times New Roman"/>
          <w:b w:val="0"/>
          <w:sz w:val="24"/>
          <w:szCs w:val="24"/>
        </w:rPr>
        <w:t xml:space="preserve">ARS 210 </w:t>
      </w:r>
      <w:r w:rsidR="00BE0D9E">
        <w:rPr>
          <w:rFonts w:ascii="Times New Roman" w:hAnsi="Times New Roman" w:cs="Times New Roman"/>
          <w:b w:val="0"/>
          <w:sz w:val="24"/>
          <w:szCs w:val="24"/>
        </w:rPr>
        <w:lastRenderedPageBreak/>
        <w:t>consists of a suite of</w:t>
      </w:r>
      <w:r w:rsidR="00E37D23">
        <w:rPr>
          <w:rFonts w:ascii="Times New Roman" w:hAnsi="Times New Roman" w:cs="Times New Roman"/>
          <w:b w:val="0"/>
          <w:sz w:val="24"/>
          <w:szCs w:val="24"/>
        </w:rPr>
        <w:t xml:space="preserve"> five reporting forms that will collect information from authorised deposit-taking institutions (ADIs) and the non-operating holding company (NOHC) of an ADI in certain circumstances.  The five forms and the associated reporting</w:t>
      </w:r>
      <w:r w:rsidR="005A13F5">
        <w:rPr>
          <w:rFonts w:ascii="Times New Roman" w:hAnsi="Times New Roman" w:cs="Times New Roman"/>
          <w:b w:val="0"/>
          <w:sz w:val="24"/>
          <w:szCs w:val="24"/>
        </w:rPr>
        <w:t xml:space="preserve"> </w:t>
      </w:r>
      <w:r w:rsidR="00BE0D9E">
        <w:rPr>
          <w:rFonts w:ascii="Times New Roman" w:hAnsi="Times New Roman" w:cs="Times New Roman"/>
          <w:b w:val="0"/>
          <w:sz w:val="24"/>
          <w:szCs w:val="24"/>
        </w:rPr>
        <w:t>r</w:t>
      </w:r>
      <w:r w:rsidR="00E37D23">
        <w:rPr>
          <w:rFonts w:ascii="Times New Roman" w:hAnsi="Times New Roman" w:cs="Times New Roman"/>
          <w:b w:val="0"/>
          <w:sz w:val="24"/>
          <w:szCs w:val="24"/>
        </w:rPr>
        <w:t>e</w:t>
      </w:r>
      <w:r w:rsidR="00BE0D9E">
        <w:rPr>
          <w:rFonts w:ascii="Times New Roman" w:hAnsi="Times New Roman" w:cs="Times New Roman"/>
          <w:b w:val="0"/>
          <w:sz w:val="24"/>
          <w:szCs w:val="24"/>
        </w:rPr>
        <w:t>q</w:t>
      </w:r>
      <w:r w:rsidR="00E37D23">
        <w:rPr>
          <w:rFonts w:ascii="Times New Roman" w:hAnsi="Times New Roman" w:cs="Times New Roman"/>
          <w:b w:val="0"/>
          <w:sz w:val="24"/>
          <w:szCs w:val="24"/>
        </w:rPr>
        <w:t>uirements of</w:t>
      </w:r>
      <w:r w:rsidR="005A13F5">
        <w:rPr>
          <w:rFonts w:ascii="Times New Roman" w:hAnsi="Times New Roman" w:cs="Times New Roman"/>
          <w:b w:val="0"/>
          <w:sz w:val="24"/>
          <w:szCs w:val="24"/>
        </w:rPr>
        <w:t xml:space="preserve"> ARS 210.0 are:</w:t>
      </w:r>
    </w:p>
    <w:p w:rsidR="005A13F5" w:rsidRPr="00E04C29" w:rsidRDefault="00E04C29" w:rsidP="00DA6D1E">
      <w:pPr>
        <w:pStyle w:val="Heading"/>
        <w:numPr>
          <w:ilvl w:val="0"/>
          <w:numId w:val="9"/>
        </w:numPr>
        <w:ind w:left="567" w:hanging="567"/>
        <w:jc w:val="both"/>
        <w:rPr>
          <w:rFonts w:ascii="Times New Roman" w:hAnsi="Times New Roman" w:cs="Times New Roman"/>
          <w:b w:val="0"/>
          <w:i/>
          <w:sz w:val="24"/>
          <w:szCs w:val="24"/>
        </w:rPr>
      </w:pPr>
      <w:r w:rsidRPr="00E04C29">
        <w:rPr>
          <w:rFonts w:ascii="Times New Roman" w:hAnsi="Times New Roman" w:cs="Times New Roman"/>
          <w:b w:val="0"/>
          <w:i/>
          <w:sz w:val="24"/>
          <w:szCs w:val="24"/>
        </w:rPr>
        <w:t xml:space="preserve">Reporting Form </w:t>
      </w:r>
      <w:r w:rsidR="009B20E0" w:rsidRPr="00E04C29">
        <w:rPr>
          <w:rFonts w:ascii="Times New Roman" w:hAnsi="Times New Roman" w:cs="Times New Roman"/>
          <w:b w:val="0"/>
          <w:i/>
          <w:sz w:val="24"/>
          <w:szCs w:val="24"/>
        </w:rPr>
        <w:t xml:space="preserve">ARF 210.1 </w:t>
      </w:r>
      <w:r w:rsidRPr="00E04C29">
        <w:rPr>
          <w:rFonts w:ascii="Times New Roman" w:hAnsi="Times New Roman" w:cs="Times New Roman"/>
          <w:b w:val="0"/>
          <w:i/>
          <w:sz w:val="24"/>
          <w:szCs w:val="24"/>
        </w:rPr>
        <w:t xml:space="preserve">Liquidity Coverage Ratio </w:t>
      </w:r>
      <w:r>
        <w:rPr>
          <w:rFonts w:ascii="Times New Roman" w:hAnsi="Times New Roman" w:cs="Times New Roman"/>
          <w:b w:val="0"/>
          <w:sz w:val="24"/>
          <w:szCs w:val="24"/>
        </w:rPr>
        <w:t>is a new form that collects data required for calculation of the Liquidity Coverage Ratio (LCR). The form consists of four sections covering liquid assets, cash inflows, cash outflows and calculation of the LCR. This form will be required to be submitted on a quarterly basis for those ADIs requiring to submit the form;</w:t>
      </w:r>
    </w:p>
    <w:p w:rsidR="00E04C29" w:rsidRPr="00DA6D1E" w:rsidRDefault="00051B62" w:rsidP="00DA6D1E">
      <w:pPr>
        <w:pStyle w:val="Heading"/>
        <w:numPr>
          <w:ilvl w:val="0"/>
          <w:numId w:val="9"/>
        </w:numPr>
        <w:ind w:left="567" w:hanging="567"/>
        <w:jc w:val="both"/>
        <w:rPr>
          <w:rFonts w:ascii="Times New Roman" w:hAnsi="Times New Roman" w:cs="Times New Roman"/>
          <w:b w:val="0"/>
          <w:sz w:val="24"/>
          <w:szCs w:val="24"/>
        </w:rPr>
      </w:pPr>
      <w:r w:rsidRPr="00DA6D1E">
        <w:rPr>
          <w:rFonts w:ascii="Times New Roman" w:hAnsi="Times New Roman" w:cs="Times New Roman"/>
          <w:b w:val="0"/>
          <w:i/>
          <w:sz w:val="24"/>
          <w:szCs w:val="24"/>
        </w:rPr>
        <w:t xml:space="preserve">Reporting Form ARF 210.2 </w:t>
      </w:r>
      <w:r w:rsidR="00FB0D78" w:rsidRPr="00DA6D1E">
        <w:rPr>
          <w:rFonts w:ascii="Times New Roman" w:hAnsi="Times New Roman" w:cs="Times New Roman"/>
          <w:b w:val="0"/>
          <w:i/>
          <w:sz w:val="24"/>
          <w:szCs w:val="24"/>
        </w:rPr>
        <w:t>Minimum Liquidity Holdings Ratio</w:t>
      </w:r>
      <w:r w:rsidRPr="00DA6D1E">
        <w:rPr>
          <w:rFonts w:ascii="Times New Roman" w:hAnsi="Times New Roman" w:cs="Times New Roman"/>
          <w:b w:val="0"/>
          <w:sz w:val="24"/>
          <w:szCs w:val="24"/>
        </w:rPr>
        <w:t xml:space="preserve"> </w:t>
      </w:r>
      <w:r w:rsidR="00BF0089" w:rsidRPr="00DA6D1E">
        <w:rPr>
          <w:rFonts w:ascii="Times New Roman" w:hAnsi="Times New Roman" w:cs="Times New Roman"/>
          <w:b w:val="0"/>
          <w:sz w:val="24"/>
          <w:szCs w:val="24"/>
        </w:rPr>
        <w:t>amends the existing Reporting Form ARF 210.0 Statement of High Quality Liquid Assets Calculation to incorporate updated terminology and provide additional information necessary for the supervision of MLH ADIs — being an ADI required by APRA for liquidity purposes to comply with minimum liquidity holding requirements as outlined in APS 210 Attachment C.</w:t>
      </w:r>
      <w:r w:rsidRPr="00DA6D1E">
        <w:rPr>
          <w:rFonts w:ascii="Times New Roman" w:hAnsi="Times New Roman" w:cs="Times New Roman"/>
          <w:b w:val="0"/>
          <w:sz w:val="24"/>
          <w:szCs w:val="24"/>
        </w:rPr>
        <w:t xml:space="preserve"> </w:t>
      </w:r>
    </w:p>
    <w:p w:rsidR="00A1007B" w:rsidRPr="00DA6D1E" w:rsidRDefault="00A1007B" w:rsidP="00DA6D1E">
      <w:pPr>
        <w:pStyle w:val="Heading"/>
        <w:numPr>
          <w:ilvl w:val="0"/>
          <w:numId w:val="9"/>
        </w:numPr>
        <w:ind w:left="567" w:hanging="567"/>
        <w:jc w:val="both"/>
        <w:rPr>
          <w:rFonts w:ascii="Times New Roman" w:hAnsi="Times New Roman" w:cs="Times New Roman"/>
          <w:b w:val="0"/>
          <w:sz w:val="24"/>
          <w:szCs w:val="24"/>
        </w:rPr>
      </w:pPr>
      <w:r w:rsidRPr="00DA6D1E">
        <w:rPr>
          <w:rFonts w:ascii="Times New Roman" w:hAnsi="Times New Roman" w:cs="Times New Roman"/>
          <w:b w:val="0"/>
          <w:i/>
          <w:sz w:val="24"/>
          <w:szCs w:val="24"/>
        </w:rPr>
        <w:t>Reporting Form ARF 210.3 Balance Sheet Maturity</w:t>
      </w:r>
      <w:r w:rsidR="00221AB2" w:rsidRPr="00DA6D1E">
        <w:rPr>
          <w:rFonts w:ascii="Times New Roman" w:hAnsi="Times New Roman" w:cs="Times New Roman"/>
          <w:b w:val="0"/>
          <w:sz w:val="24"/>
          <w:szCs w:val="24"/>
        </w:rPr>
        <w:t xml:space="preserve"> is a new reporting form designed to facilitate the reporting of data required for balance sheet gap and maturity analysis. This information will assist APRA in monitoring the funding requirements of an ADI as well as the industry as a whole.</w:t>
      </w:r>
    </w:p>
    <w:p w:rsidR="00221AB2" w:rsidRPr="00DA6D1E" w:rsidRDefault="00221AB2" w:rsidP="00DA6D1E">
      <w:pPr>
        <w:pStyle w:val="Heading"/>
        <w:numPr>
          <w:ilvl w:val="0"/>
          <w:numId w:val="9"/>
        </w:numPr>
        <w:ind w:left="567" w:hanging="567"/>
        <w:jc w:val="both"/>
        <w:rPr>
          <w:rFonts w:ascii="Times New Roman" w:hAnsi="Times New Roman" w:cs="Times New Roman"/>
          <w:b w:val="0"/>
          <w:sz w:val="24"/>
          <w:szCs w:val="24"/>
        </w:rPr>
      </w:pPr>
      <w:r w:rsidRPr="00DA6D1E">
        <w:rPr>
          <w:rFonts w:ascii="Times New Roman" w:hAnsi="Times New Roman" w:cs="Times New Roman"/>
          <w:b w:val="0"/>
          <w:i/>
          <w:sz w:val="24"/>
          <w:szCs w:val="24"/>
        </w:rPr>
        <w:t>Reporting Form ARF 210.4 Balance Sheet Forecast</w:t>
      </w:r>
      <w:r w:rsidR="003069EC" w:rsidRPr="00DA6D1E">
        <w:rPr>
          <w:rFonts w:ascii="Times New Roman" w:hAnsi="Times New Roman" w:cs="Times New Roman"/>
          <w:b w:val="0"/>
          <w:sz w:val="24"/>
          <w:szCs w:val="24"/>
        </w:rPr>
        <w:t xml:space="preserve"> will</w:t>
      </w:r>
      <w:r w:rsidR="003069EC" w:rsidRPr="00DA6D1E">
        <w:rPr>
          <w:rFonts w:ascii="Times New Roman" w:hAnsi="Times New Roman" w:cs="Times New Roman"/>
          <w:b w:val="0"/>
          <w:i/>
          <w:sz w:val="24"/>
          <w:szCs w:val="24"/>
        </w:rPr>
        <w:t xml:space="preserve"> </w:t>
      </w:r>
      <w:r w:rsidR="003069EC" w:rsidRPr="00DA6D1E">
        <w:rPr>
          <w:rFonts w:ascii="Times New Roman" w:hAnsi="Times New Roman" w:cs="Times New Roman"/>
          <w:b w:val="0"/>
          <w:sz w:val="24"/>
          <w:szCs w:val="24"/>
        </w:rPr>
        <w:t>provide a high level snapshot of the forecast balance sheet of an ADI.</w:t>
      </w:r>
    </w:p>
    <w:p w:rsidR="008B7528" w:rsidRDefault="006B62F6" w:rsidP="00DA6D1E">
      <w:pPr>
        <w:pStyle w:val="Heading"/>
        <w:tabs>
          <w:tab w:val="left" w:pos="360"/>
        </w:tabs>
        <w:ind w:hanging="720"/>
        <w:jc w:val="both"/>
        <w:rPr>
          <w:rFonts w:ascii="Times New Roman" w:hAnsi="Times New Roman" w:cs="Times New Roman"/>
          <w:sz w:val="24"/>
          <w:szCs w:val="24"/>
        </w:rPr>
      </w:pPr>
      <w:bookmarkStart w:id="9" w:name="bkConsultationNo"/>
      <w:bookmarkEnd w:id="9"/>
      <w:r>
        <w:rPr>
          <w:rFonts w:ascii="Times New Roman" w:hAnsi="Times New Roman" w:cs="Times New Roman"/>
          <w:sz w:val="24"/>
          <w:szCs w:val="24"/>
        </w:rPr>
        <w:t>3</w:t>
      </w:r>
      <w:r w:rsidR="00056DFC">
        <w:rPr>
          <w:rFonts w:ascii="Times New Roman" w:hAnsi="Times New Roman" w:cs="Times New Roman"/>
          <w:sz w:val="24"/>
          <w:szCs w:val="24"/>
        </w:rPr>
        <w:t>.</w:t>
      </w:r>
      <w:r w:rsidR="00056DFC">
        <w:rPr>
          <w:rFonts w:ascii="Times New Roman" w:hAnsi="Times New Roman" w:cs="Times New Roman"/>
          <w:sz w:val="24"/>
          <w:szCs w:val="24"/>
        </w:rPr>
        <w:tab/>
      </w:r>
      <w:r w:rsidR="008B7528">
        <w:rPr>
          <w:rFonts w:ascii="Times New Roman" w:hAnsi="Times New Roman" w:cs="Times New Roman"/>
          <w:sz w:val="24"/>
          <w:szCs w:val="24"/>
        </w:rPr>
        <w:t>Consultation</w:t>
      </w:r>
    </w:p>
    <w:p w:rsidR="003E1487" w:rsidRDefault="004674E3" w:rsidP="00DA6D1E">
      <w:pPr>
        <w:pStyle w:val="Heading"/>
        <w:jc w:val="both"/>
        <w:rPr>
          <w:rFonts w:ascii="Times New Roman" w:hAnsi="Times New Roman" w:cs="Times New Roman"/>
          <w:b w:val="0"/>
          <w:sz w:val="24"/>
          <w:szCs w:val="24"/>
        </w:rPr>
      </w:pPr>
      <w:bookmarkStart w:id="10" w:name="bkConsultation"/>
      <w:bookmarkEnd w:id="10"/>
      <w:r>
        <w:rPr>
          <w:rFonts w:ascii="Times New Roman" w:hAnsi="Times New Roman" w:cs="Times New Roman"/>
          <w:b w:val="0"/>
          <w:sz w:val="24"/>
          <w:szCs w:val="24"/>
        </w:rPr>
        <w:t xml:space="preserve">APRA has consulted extensively on its new liquidity requirements, including the liquidity reporting requirements. </w:t>
      </w:r>
      <w:r w:rsidR="00AD721F">
        <w:rPr>
          <w:rFonts w:ascii="Times New Roman" w:hAnsi="Times New Roman" w:cs="Times New Roman"/>
          <w:b w:val="0"/>
          <w:sz w:val="24"/>
          <w:szCs w:val="24"/>
        </w:rPr>
        <w:t>This consultation has been set out in three discussion papers and a final response paper:</w:t>
      </w:r>
    </w:p>
    <w:p w:rsidR="00AD721F" w:rsidRDefault="00AD721F" w:rsidP="00DA6D1E">
      <w:pPr>
        <w:pStyle w:val="Heading"/>
        <w:numPr>
          <w:ilvl w:val="0"/>
          <w:numId w:val="10"/>
        </w:numPr>
        <w:ind w:left="567" w:hanging="567"/>
        <w:jc w:val="both"/>
        <w:rPr>
          <w:rFonts w:ascii="Times New Roman" w:hAnsi="Times New Roman" w:cs="Times New Roman"/>
          <w:b w:val="0"/>
          <w:sz w:val="24"/>
          <w:szCs w:val="24"/>
        </w:rPr>
      </w:pPr>
      <w:r w:rsidRPr="00AD721F">
        <w:rPr>
          <w:rFonts w:ascii="Times New Roman" w:hAnsi="Times New Roman" w:cs="Times New Roman"/>
          <w:b w:val="0"/>
          <w:sz w:val="24"/>
          <w:szCs w:val="24"/>
        </w:rPr>
        <w:t xml:space="preserve">Discussion </w:t>
      </w:r>
      <w:r>
        <w:rPr>
          <w:rFonts w:ascii="Times New Roman" w:hAnsi="Times New Roman" w:cs="Times New Roman"/>
          <w:b w:val="0"/>
          <w:sz w:val="24"/>
          <w:szCs w:val="24"/>
        </w:rPr>
        <w:t>p</w:t>
      </w:r>
      <w:r w:rsidRPr="00AD721F">
        <w:rPr>
          <w:rFonts w:ascii="Times New Roman" w:hAnsi="Times New Roman" w:cs="Times New Roman"/>
          <w:b w:val="0"/>
          <w:sz w:val="24"/>
          <w:szCs w:val="24"/>
        </w:rPr>
        <w:t>aper,</w:t>
      </w:r>
      <w:r>
        <w:rPr>
          <w:rFonts w:ascii="Times New Roman" w:hAnsi="Times New Roman" w:cs="Times New Roman"/>
          <w:b w:val="0"/>
          <w:i/>
          <w:sz w:val="24"/>
          <w:szCs w:val="24"/>
        </w:rPr>
        <w:t xml:space="preserve"> </w:t>
      </w:r>
      <w:r w:rsidRPr="00AD721F">
        <w:rPr>
          <w:rFonts w:ascii="Times New Roman" w:hAnsi="Times New Roman" w:cs="Times New Roman"/>
          <w:b w:val="0"/>
          <w:i/>
          <w:sz w:val="24"/>
          <w:szCs w:val="24"/>
        </w:rPr>
        <w:t>Implementing Basel III liquidity reforms in Australia</w:t>
      </w:r>
      <w:r>
        <w:rPr>
          <w:rFonts w:ascii="Times New Roman" w:hAnsi="Times New Roman" w:cs="Times New Roman"/>
          <w:b w:val="0"/>
          <w:sz w:val="24"/>
          <w:szCs w:val="24"/>
        </w:rPr>
        <w:t>, November 2011;</w:t>
      </w:r>
    </w:p>
    <w:p w:rsidR="00AD721F" w:rsidRDefault="00AD721F" w:rsidP="00DA6D1E">
      <w:pPr>
        <w:pStyle w:val="Heading"/>
        <w:numPr>
          <w:ilvl w:val="0"/>
          <w:numId w:val="10"/>
        </w:numPr>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Discussion paper, </w:t>
      </w:r>
      <w:r w:rsidRPr="00AD721F">
        <w:rPr>
          <w:rFonts w:ascii="Times New Roman" w:hAnsi="Times New Roman" w:cs="Times New Roman"/>
          <w:b w:val="0"/>
          <w:i/>
          <w:sz w:val="24"/>
          <w:szCs w:val="24"/>
        </w:rPr>
        <w:t>Liquidity reporting requirements for authorised deposit-taking institutions</w:t>
      </w:r>
      <w:r>
        <w:rPr>
          <w:rFonts w:ascii="Times New Roman" w:hAnsi="Times New Roman" w:cs="Times New Roman"/>
          <w:b w:val="0"/>
          <w:sz w:val="24"/>
          <w:szCs w:val="24"/>
        </w:rPr>
        <w:t>, November 2012;</w:t>
      </w:r>
    </w:p>
    <w:p w:rsidR="00AD721F" w:rsidRDefault="00AD721F" w:rsidP="00DA6D1E">
      <w:pPr>
        <w:pStyle w:val="Heading"/>
        <w:numPr>
          <w:ilvl w:val="0"/>
          <w:numId w:val="10"/>
        </w:numPr>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Discussion paper, </w:t>
      </w:r>
      <w:r w:rsidRPr="00AD721F">
        <w:rPr>
          <w:rFonts w:ascii="Times New Roman" w:hAnsi="Times New Roman" w:cs="Times New Roman"/>
          <w:b w:val="0"/>
          <w:i/>
          <w:sz w:val="24"/>
          <w:szCs w:val="24"/>
        </w:rPr>
        <w:t>Implementing Basel III liquidity reforms in Australia</w:t>
      </w:r>
      <w:r>
        <w:rPr>
          <w:rFonts w:ascii="Times New Roman" w:hAnsi="Times New Roman" w:cs="Times New Roman"/>
          <w:b w:val="0"/>
          <w:sz w:val="24"/>
          <w:szCs w:val="24"/>
        </w:rPr>
        <w:t>, May 2013; and</w:t>
      </w:r>
    </w:p>
    <w:p w:rsidR="00AD721F" w:rsidRDefault="006B62F6" w:rsidP="00DA6D1E">
      <w:pPr>
        <w:pStyle w:val="Heading"/>
        <w:numPr>
          <w:ilvl w:val="0"/>
          <w:numId w:val="10"/>
        </w:numPr>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Response to Submissions, </w:t>
      </w:r>
      <w:r w:rsidRPr="00AD721F">
        <w:rPr>
          <w:rFonts w:ascii="Times New Roman" w:hAnsi="Times New Roman" w:cs="Times New Roman"/>
          <w:b w:val="0"/>
          <w:i/>
          <w:sz w:val="24"/>
          <w:szCs w:val="24"/>
        </w:rPr>
        <w:t>Implementing Basel III liquidity reforms in Australia</w:t>
      </w:r>
      <w:r>
        <w:rPr>
          <w:rFonts w:ascii="Times New Roman" w:hAnsi="Times New Roman" w:cs="Times New Roman"/>
          <w:b w:val="0"/>
          <w:sz w:val="24"/>
          <w:szCs w:val="24"/>
        </w:rPr>
        <w:t>, December 2013.</w:t>
      </w:r>
    </w:p>
    <w:p w:rsidR="00434CC5" w:rsidRPr="006B62F6" w:rsidRDefault="006B62F6" w:rsidP="00DA6D1E">
      <w:pPr>
        <w:pStyle w:val="Heading"/>
        <w:tabs>
          <w:tab w:val="left" w:pos="360"/>
        </w:tabs>
        <w:ind w:hanging="720"/>
        <w:jc w:val="both"/>
        <w:rPr>
          <w:rFonts w:ascii="Times New Roman" w:hAnsi="Times New Roman" w:cs="Times New Roman"/>
          <w:sz w:val="24"/>
          <w:szCs w:val="24"/>
        </w:rPr>
      </w:pPr>
      <w:r w:rsidRPr="006B62F6">
        <w:rPr>
          <w:rFonts w:ascii="Times New Roman" w:hAnsi="Times New Roman" w:cs="Times New Roman"/>
          <w:sz w:val="24"/>
          <w:szCs w:val="24"/>
        </w:rPr>
        <w:t>4.</w:t>
      </w:r>
      <w:r>
        <w:rPr>
          <w:rFonts w:ascii="Times New Roman" w:hAnsi="Times New Roman" w:cs="Times New Roman"/>
          <w:sz w:val="24"/>
          <w:szCs w:val="24"/>
        </w:rPr>
        <w:tab/>
      </w:r>
      <w:r w:rsidRPr="006B62F6">
        <w:rPr>
          <w:rFonts w:ascii="Times New Roman" w:hAnsi="Times New Roman" w:cs="Times New Roman"/>
          <w:sz w:val="24"/>
          <w:szCs w:val="24"/>
        </w:rPr>
        <w:t>Regulation Impact Statement</w:t>
      </w:r>
    </w:p>
    <w:p w:rsidR="006B4444" w:rsidRDefault="006B62F6" w:rsidP="00DA6D1E">
      <w:pPr>
        <w:pStyle w:val="Heading"/>
        <w:jc w:val="both"/>
        <w:rPr>
          <w:rFonts w:ascii="Times New Roman" w:hAnsi="Times New Roman" w:cs="Times New Roman"/>
          <w:b w:val="0"/>
          <w:sz w:val="24"/>
          <w:szCs w:val="24"/>
        </w:rPr>
      </w:pPr>
      <w:bookmarkStart w:id="11" w:name="bkRISNO"/>
      <w:bookmarkEnd w:id="11"/>
      <w:r>
        <w:rPr>
          <w:rFonts w:ascii="Times New Roman" w:hAnsi="Times New Roman" w:cs="Times New Roman"/>
          <w:b w:val="0"/>
          <w:sz w:val="24"/>
          <w:szCs w:val="24"/>
        </w:rPr>
        <w:t>APRA prepared a Regulation Impact Statement that has been lodged as supporting material.</w:t>
      </w:r>
    </w:p>
    <w:p w:rsidR="00180054" w:rsidRDefault="00180054" w:rsidP="00DA6D1E">
      <w:pPr>
        <w:pStyle w:val="Heading"/>
        <w:jc w:val="both"/>
        <w:rPr>
          <w:rFonts w:ascii="Times New Roman" w:hAnsi="Times New Roman" w:cs="Times New Roman"/>
          <w:b w:val="0"/>
          <w:sz w:val="24"/>
          <w:szCs w:val="24"/>
        </w:rPr>
      </w:pPr>
    </w:p>
    <w:p w:rsidR="006B62F6" w:rsidRPr="00DA6D1E" w:rsidRDefault="006B62F6" w:rsidP="00180054">
      <w:pPr>
        <w:pStyle w:val="Heading"/>
        <w:tabs>
          <w:tab w:val="left" w:pos="360"/>
        </w:tabs>
        <w:ind w:hanging="720"/>
        <w:jc w:val="both"/>
        <w:rPr>
          <w:rFonts w:ascii="Times New Roman" w:hAnsi="Times New Roman" w:cs="Times New Roman"/>
          <w:sz w:val="24"/>
          <w:szCs w:val="24"/>
        </w:rPr>
      </w:pPr>
      <w:r w:rsidRPr="00DA6D1E">
        <w:rPr>
          <w:rFonts w:ascii="Times New Roman" w:hAnsi="Times New Roman" w:cs="Times New Roman"/>
          <w:sz w:val="24"/>
          <w:szCs w:val="24"/>
        </w:rPr>
        <w:lastRenderedPageBreak/>
        <w:t xml:space="preserve">5. </w:t>
      </w:r>
      <w:r w:rsidR="00DA6D1E">
        <w:rPr>
          <w:rFonts w:ascii="Times New Roman" w:hAnsi="Times New Roman" w:cs="Times New Roman"/>
          <w:sz w:val="24"/>
          <w:szCs w:val="24"/>
        </w:rPr>
        <w:tab/>
      </w:r>
      <w:r w:rsidRPr="00DA6D1E">
        <w:rPr>
          <w:rFonts w:ascii="Times New Roman" w:hAnsi="Times New Roman" w:cs="Times New Roman"/>
          <w:sz w:val="24"/>
          <w:szCs w:val="24"/>
        </w:rPr>
        <w:t xml:space="preserve">Statement of </w:t>
      </w:r>
      <w:r w:rsidR="00DA6D1E" w:rsidRPr="00DA6D1E">
        <w:rPr>
          <w:rFonts w:ascii="Times New Roman" w:hAnsi="Times New Roman" w:cs="Times New Roman"/>
          <w:sz w:val="24"/>
          <w:szCs w:val="24"/>
        </w:rPr>
        <w:t>compatibility</w:t>
      </w:r>
      <w:r w:rsidRPr="00DA6D1E">
        <w:rPr>
          <w:rFonts w:ascii="Times New Roman" w:hAnsi="Times New Roman" w:cs="Times New Roman"/>
          <w:sz w:val="24"/>
          <w:szCs w:val="24"/>
        </w:rPr>
        <w:t xml:space="preserve"> prepared in accordance with Part 3 of the </w:t>
      </w:r>
      <w:r w:rsidRPr="007D1D66">
        <w:rPr>
          <w:rFonts w:ascii="Times New Roman" w:hAnsi="Times New Roman" w:cs="Times New Roman"/>
          <w:i/>
          <w:sz w:val="24"/>
          <w:szCs w:val="24"/>
        </w:rPr>
        <w:t>Human Rights (Parliamentary Scrutiny) Act 2011</w:t>
      </w:r>
      <w:r w:rsidRPr="00DA6D1E">
        <w:rPr>
          <w:rFonts w:ascii="Times New Roman" w:hAnsi="Times New Roman" w:cs="Times New Roman"/>
          <w:sz w:val="24"/>
          <w:szCs w:val="24"/>
        </w:rPr>
        <w:t>.</w:t>
      </w:r>
    </w:p>
    <w:p w:rsidR="00D22D14" w:rsidRPr="006B62F6" w:rsidRDefault="00DA6D1E" w:rsidP="00180054">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A Statement of compatibility prepared in accordance with Part 3 of the </w:t>
      </w:r>
      <w:r w:rsidRPr="00DA6D1E">
        <w:rPr>
          <w:rFonts w:ascii="Times New Roman" w:hAnsi="Times New Roman" w:cs="Times New Roman"/>
          <w:b w:val="0"/>
          <w:i/>
          <w:sz w:val="24"/>
          <w:szCs w:val="24"/>
        </w:rPr>
        <w:t>Human Rights (Parliamentary Scrutiny) Act 2011</w:t>
      </w:r>
      <w:r>
        <w:rPr>
          <w:rFonts w:ascii="Times New Roman" w:hAnsi="Times New Roman" w:cs="Times New Roman"/>
          <w:b w:val="0"/>
          <w:sz w:val="24"/>
          <w:szCs w:val="24"/>
        </w:rPr>
        <w:t xml:space="preserve"> is provided at Attachment A to this Explanatory Statement.</w:t>
      </w:r>
    </w:p>
    <w:p w:rsidR="00D22D14" w:rsidRDefault="00D22D14" w:rsidP="00DA6D1E">
      <w:pPr>
        <w:pStyle w:val="Heading"/>
        <w:jc w:val="both"/>
        <w:rPr>
          <w:rFonts w:ascii="Times New Roman" w:hAnsi="Times New Roman" w:cs="Times New Roman"/>
          <w:sz w:val="24"/>
          <w:szCs w:val="24"/>
        </w:rPr>
      </w:pPr>
    </w:p>
    <w:p w:rsidR="00FE4378" w:rsidRDefault="00FE4378">
      <w:pPr>
        <w:rPr>
          <w:rFonts w:ascii="Arial" w:hAnsi="Arial" w:cs="Arial"/>
          <w:b/>
          <w:bCs/>
          <w:kern w:val="32"/>
          <w:sz w:val="32"/>
          <w:szCs w:val="32"/>
        </w:rPr>
        <w:sectPr w:rsidR="00FE4378" w:rsidSect="00FE4378">
          <w:footerReference w:type="even" r:id="rId8"/>
          <w:footerReference w:type="default" r:id="rId9"/>
          <w:pgSz w:w="11906" w:h="16838"/>
          <w:pgMar w:top="1440" w:right="1797" w:bottom="1440" w:left="1797" w:header="709" w:footer="709" w:gutter="0"/>
          <w:cols w:space="708"/>
          <w:docGrid w:linePitch="360"/>
        </w:sectPr>
      </w:pPr>
    </w:p>
    <w:p w:rsidR="000B0734" w:rsidRDefault="000B0734">
      <w:pPr>
        <w:rPr>
          <w:rFonts w:ascii="Arial" w:hAnsi="Arial" w:cs="Arial"/>
          <w:b/>
          <w:bCs/>
          <w:kern w:val="32"/>
          <w:sz w:val="32"/>
          <w:szCs w:val="32"/>
        </w:rPr>
      </w:pPr>
    </w:p>
    <w:p w:rsidR="00D22D14" w:rsidRDefault="000B0734" w:rsidP="000B0734">
      <w:pPr>
        <w:jc w:val="center"/>
        <w:rPr>
          <w:b/>
          <w:sz w:val="24"/>
        </w:rPr>
      </w:pPr>
      <w:r>
        <w:rPr>
          <w:b/>
          <w:sz w:val="24"/>
        </w:rPr>
        <w:t>Statement of Compatibility with Human Rights</w:t>
      </w:r>
    </w:p>
    <w:p w:rsidR="000B0734" w:rsidRDefault="000B0734" w:rsidP="000B0734">
      <w:pPr>
        <w:jc w:val="center"/>
        <w:rPr>
          <w:b/>
          <w:sz w:val="24"/>
        </w:rPr>
      </w:pPr>
    </w:p>
    <w:p w:rsidR="000B0734" w:rsidRPr="007A2842" w:rsidRDefault="00923598" w:rsidP="000B0734">
      <w:pPr>
        <w:rPr>
          <w:rFonts w:ascii="Times New Roman" w:hAnsi="Times New Roman"/>
          <w:sz w:val="24"/>
        </w:rPr>
      </w:pPr>
      <w:r w:rsidRPr="007A2842">
        <w:rPr>
          <w:rFonts w:ascii="Times New Roman" w:hAnsi="Times New Roman"/>
          <w:sz w:val="24"/>
        </w:rPr>
        <w:t>Prepared in accordance with Part 3 of the</w:t>
      </w:r>
      <w:r w:rsidRPr="007A2842">
        <w:rPr>
          <w:rFonts w:ascii="Times New Roman" w:hAnsi="Times New Roman"/>
          <w:i/>
          <w:sz w:val="24"/>
        </w:rPr>
        <w:t xml:space="preserve"> Human Rights (Parliamentary Scrutiny) Act 2011</w:t>
      </w:r>
      <w:r w:rsidR="007A2842">
        <w:rPr>
          <w:rFonts w:ascii="Times New Roman" w:hAnsi="Times New Roman"/>
          <w:sz w:val="24"/>
        </w:rPr>
        <w:t>.</w:t>
      </w:r>
    </w:p>
    <w:p w:rsidR="00923598" w:rsidRDefault="00923598" w:rsidP="000B0734">
      <w:pPr>
        <w:rPr>
          <w:szCs w:val="22"/>
        </w:rPr>
      </w:pPr>
    </w:p>
    <w:p w:rsidR="00923598" w:rsidRDefault="00923598" w:rsidP="000B0734">
      <w:pPr>
        <w:rPr>
          <w:szCs w:val="22"/>
        </w:rPr>
      </w:pPr>
      <w:r>
        <w:rPr>
          <w:b/>
          <w:szCs w:val="22"/>
        </w:rPr>
        <w:t>Financial Sector (Collection of Data) (reporting standard) determination No.2 of 2014</w:t>
      </w:r>
    </w:p>
    <w:p w:rsidR="00923598" w:rsidRDefault="00923598" w:rsidP="000B0734">
      <w:pPr>
        <w:rPr>
          <w:szCs w:val="22"/>
        </w:rPr>
      </w:pPr>
    </w:p>
    <w:p w:rsidR="00923598" w:rsidRPr="007A2842" w:rsidRDefault="00CC1B2A" w:rsidP="000B0734">
      <w:pPr>
        <w:rPr>
          <w:rFonts w:ascii="Times New Roman" w:hAnsi="Times New Roman"/>
          <w:sz w:val="24"/>
        </w:rPr>
      </w:pPr>
      <w:r w:rsidRPr="007A2842">
        <w:rPr>
          <w:rFonts w:ascii="Times New Roman" w:hAnsi="Times New Roman"/>
          <w:sz w:val="24"/>
        </w:rPr>
        <w:t xml:space="preserve">This Legislative Instrument is compatible with the human rights and freedoms recognised or declared in the international instruments listed in section 3 of the </w:t>
      </w:r>
      <w:r w:rsidRPr="007A2842">
        <w:rPr>
          <w:rFonts w:ascii="Times New Roman" w:hAnsi="Times New Roman"/>
          <w:i/>
          <w:sz w:val="24"/>
        </w:rPr>
        <w:t>Human Rights (Parliamentary Scrutiny) Act 2011</w:t>
      </w:r>
      <w:r w:rsidR="004A6388" w:rsidRPr="007A2842">
        <w:rPr>
          <w:rFonts w:ascii="Times New Roman" w:hAnsi="Times New Roman"/>
          <w:sz w:val="24"/>
        </w:rPr>
        <w:t xml:space="preserve"> (HRPS Act)</w:t>
      </w:r>
      <w:r w:rsidRPr="007A2842">
        <w:rPr>
          <w:rFonts w:ascii="Times New Roman" w:hAnsi="Times New Roman"/>
          <w:sz w:val="24"/>
        </w:rPr>
        <w:t>.</w:t>
      </w:r>
    </w:p>
    <w:p w:rsidR="00CC1B2A" w:rsidRDefault="00CC1B2A" w:rsidP="000B0734">
      <w:pPr>
        <w:rPr>
          <w:szCs w:val="22"/>
        </w:rPr>
      </w:pPr>
    </w:p>
    <w:p w:rsidR="00CC1B2A" w:rsidRDefault="00CC1B2A" w:rsidP="000B0734">
      <w:pPr>
        <w:rPr>
          <w:szCs w:val="22"/>
        </w:rPr>
      </w:pPr>
      <w:r w:rsidRPr="00CC1B2A">
        <w:rPr>
          <w:b/>
          <w:szCs w:val="22"/>
        </w:rPr>
        <w:t>Overview of the Legislative Instrument</w:t>
      </w:r>
    </w:p>
    <w:p w:rsidR="00CC1B2A" w:rsidRDefault="00CC1B2A" w:rsidP="000B0734">
      <w:pPr>
        <w:rPr>
          <w:szCs w:val="22"/>
        </w:rPr>
      </w:pPr>
    </w:p>
    <w:p w:rsidR="00CC1B2A" w:rsidRPr="007A2842" w:rsidRDefault="00CC1B2A" w:rsidP="000B0734">
      <w:pPr>
        <w:rPr>
          <w:rFonts w:ascii="Times New Roman" w:hAnsi="Times New Roman"/>
          <w:sz w:val="24"/>
        </w:rPr>
      </w:pPr>
      <w:r w:rsidRPr="007A2842">
        <w:rPr>
          <w:rFonts w:ascii="Times New Roman" w:hAnsi="Times New Roman"/>
          <w:sz w:val="24"/>
        </w:rPr>
        <w:t xml:space="preserve">The instrument revokes </w:t>
      </w:r>
      <w:r w:rsidRPr="007A2842">
        <w:rPr>
          <w:rFonts w:ascii="Times New Roman" w:hAnsi="Times New Roman"/>
          <w:i/>
          <w:sz w:val="24"/>
        </w:rPr>
        <w:t>Reporting Standard ARS 210.0 Statement of High Quality Liquid Assets Calculation</w:t>
      </w:r>
      <w:r w:rsidRPr="007A2842">
        <w:rPr>
          <w:rFonts w:ascii="Times New Roman" w:hAnsi="Times New Roman"/>
          <w:sz w:val="24"/>
        </w:rPr>
        <w:t xml:space="preserve"> made under Financial Sector (Collection of Data) (reporting standard) determination No. 18 of 2008 and determines a new </w:t>
      </w:r>
      <w:r w:rsidRPr="007A2842">
        <w:rPr>
          <w:rFonts w:ascii="Times New Roman" w:hAnsi="Times New Roman"/>
          <w:i/>
          <w:sz w:val="24"/>
        </w:rPr>
        <w:t>Reporting Standard ARS 210.0 Liquidity</w:t>
      </w:r>
      <w:r w:rsidRPr="007A2842">
        <w:rPr>
          <w:rFonts w:ascii="Times New Roman" w:hAnsi="Times New Roman"/>
          <w:sz w:val="24"/>
        </w:rPr>
        <w:t xml:space="preserve"> (ARS 210.0). ARS 210.0 aims to ensure that ADIs provide information to APRA necessary to allow it to assess compliance with </w:t>
      </w:r>
      <w:r w:rsidRPr="007A2842">
        <w:rPr>
          <w:rFonts w:ascii="Times New Roman" w:hAnsi="Times New Roman"/>
          <w:i/>
          <w:sz w:val="24"/>
        </w:rPr>
        <w:t>Prudential Standard APS 210 Liquidity</w:t>
      </w:r>
      <w:r w:rsidRPr="007A2842">
        <w:rPr>
          <w:rFonts w:ascii="Times New Roman" w:hAnsi="Times New Roman"/>
          <w:sz w:val="24"/>
        </w:rPr>
        <w:t>.</w:t>
      </w:r>
    </w:p>
    <w:p w:rsidR="004A6388" w:rsidRDefault="004A6388" w:rsidP="000B0734">
      <w:pPr>
        <w:rPr>
          <w:szCs w:val="22"/>
        </w:rPr>
      </w:pPr>
    </w:p>
    <w:p w:rsidR="004A6388" w:rsidRDefault="004A6388" w:rsidP="000B0734">
      <w:pPr>
        <w:rPr>
          <w:szCs w:val="22"/>
        </w:rPr>
      </w:pPr>
      <w:r>
        <w:rPr>
          <w:b/>
          <w:szCs w:val="22"/>
        </w:rPr>
        <w:t>Human rights implications</w:t>
      </w:r>
    </w:p>
    <w:p w:rsidR="004A6388" w:rsidRDefault="004A6388" w:rsidP="000B0734">
      <w:pPr>
        <w:rPr>
          <w:szCs w:val="22"/>
        </w:rPr>
      </w:pPr>
    </w:p>
    <w:p w:rsidR="004A6388" w:rsidRPr="007A2842" w:rsidRDefault="004A6388" w:rsidP="000B0734">
      <w:pPr>
        <w:rPr>
          <w:rFonts w:ascii="Times New Roman" w:hAnsi="Times New Roman"/>
          <w:sz w:val="24"/>
        </w:rPr>
      </w:pPr>
      <w:r w:rsidRPr="007A2842">
        <w:rPr>
          <w:rFonts w:ascii="Times New Roman" w:hAnsi="Times New Roman"/>
          <w:sz w:val="24"/>
        </w:rPr>
        <w:t>APRA has assessed the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rsidR="004A6388" w:rsidRDefault="004A6388" w:rsidP="000B0734">
      <w:pPr>
        <w:rPr>
          <w:szCs w:val="22"/>
        </w:rPr>
      </w:pPr>
    </w:p>
    <w:p w:rsidR="004A6388" w:rsidRDefault="004A6388" w:rsidP="000B0734">
      <w:pPr>
        <w:rPr>
          <w:szCs w:val="22"/>
        </w:rPr>
      </w:pPr>
      <w:r>
        <w:rPr>
          <w:b/>
          <w:szCs w:val="22"/>
        </w:rPr>
        <w:t>Conclusion</w:t>
      </w:r>
    </w:p>
    <w:p w:rsidR="004A6388" w:rsidRDefault="004A6388" w:rsidP="000B0734">
      <w:pPr>
        <w:rPr>
          <w:szCs w:val="22"/>
        </w:rPr>
      </w:pPr>
    </w:p>
    <w:p w:rsidR="004A6388" w:rsidRPr="007A2842" w:rsidRDefault="004A6388" w:rsidP="000B0734">
      <w:pPr>
        <w:rPr>
          <w:rFonts w:ascii="Times New Roman" w:hAnsi="Times New Roman"/>
          <w:sz w:val="24"/>
        </w:rPr>
      </w:pPr>
      <w:r w:rsidRPr="007A2842">
        <w:rPr>
          <w:rFonts w:ascii="Times New Roman" w:hAnsi="Times New Roman"/>
          <w:sz w:val="24"/>
        </w:rPr>
        <w:t xml:space="preserve">The Legislative Instrument is compatible with human rights as it does not raise any human rights issues. </w:t>
      </w:r>
    </w:p>
    <w:sectPr w:rsidR="004A6388" w:rsidRPr="007A2842" w:rsidSect="002330A5">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F8" w:rsidRDefault="00F37FF8">
      <w:r>
        <w:separator/>
      </w:r>
    </w:p>
  </w:endnote>
  <w:endnote w:type="continuationSeparator" w:id="0">
    <w:p w:rsidR="00F37FF8" w:rsidRDefault="00F3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90" w:rsidRDefault="00436690" w:rsidP="00000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378">
      <w:rPr>
        <w:rStyle w:val="PageNumber"/>
        <w:noProof/>
      </w:rPr>
      <w:t>2</w:t>
    </w:r>
    <w:r>
      <w:rPr>
        <w:rStyle w:val="PageNumber"/>
      </w:rPr>
      <w:fldChar w:fldCharType="end"/>
    </w:r>
  </w:p>
  <w:p w:rsidR="00436690" w:rsidRDefault="00436690" w:rsidP="00000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1157"/>
      <w:docPartObj>
        <w:docPartGallery w:val="Page Numbers (Bottom of Page)"/>
        <w:docPartUnique/>
      </w:docPartObj>
    </w:sdtPr>
    <w:sdtEndPr/>
    <w:sdtContent>
      <w:sdt>
        <w:sdtPr>
          <w:id w:val="860082579"/>
          <w:docPartObj>
            <w:docPartGallery w:val="Page Numbers (Top of Page)"/>
            <w:docPartUnique/>
          </w:docPartObj>
        </w:sdtPr>
        <w:sdtEndPr/>
        <w:sdtContent>
          <w:p w:rsidR="00FE4378" w:rsidRDefault="00FE4378">
            <w:pPr>
              <w:pStyle w:val="Footer"/>
              <w:jc w:val="right"/>
            </w:pPr>
            <w:r w:rsidRPr="0087745A">
              <w:rPr>
                <w:rFonts w:ascii="Times New Roman" w:hAnsi="Times New Roman"/>
                <w:bCs/>
                <w:sz w:val="24"/>
              </w:rPr>
              <w:fldChar w:fldCharType="begin"/>
            </w:r>
            <w:r w:rsidRPr="0087745A">
              <w:rPr>
                <w:rFonts w:ascii="Times New Roman" w:hAnsi="Times New Roman"/>
                <w:bCs/>
              </w:rPr>
              <w:instrText xml:space="preserve"> PAGE </w:instrText>
            </w:r>
            <w:r w:rsidRPr="0087745A">
              <w:rPr>
                <w:rFonts w:ascii="Times New Roman" w:hAnsi="Times New Roman"/>
                <w:bCs/>
                <w:sz w:val="24"/>
              </w:rPr>
              <w:fldChar w:fldCharType="separate"/>
            </w:r>
            <w:r w:rsidR="00527F7E">
              <w:rPr>
                <w:rFonts w:ascii="Times New Roman" w:hAnsi="Times New Roman"/>
                <w:bCs/>
                <w:noProof/>
              </w:rPr>
              <w:t>1</w:t>
            </w:r>
            <w:r w:rsidRPr="0087745A">
              <w:rPr>
                <w:rFonts w:ascii="Times New Roman" w:hAnsi="Times New Roman"/>
                <w:bCs/>
                <w:sz w:val="24"/>
              </w:rPr>
              <w:fldChar w:fldCharType="end"/>
            </w:r>
            <w:r>
              <w:t xml:space="preserve"> </w:t>
            </w:r>
          </w:p>
        </w:sdtContent>
      </w:sdt>
    </w:sdtContent>
  </w:sdt>
  <w:p w:rsidR="00FE4378" w:rsidRDefault="00FE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F8" w:rsidRDefault="00F37FF8">
      <w:r>
        <w:separator/>
      </w:r>
    </w:p>
  </w:footnote>
  <w:footnote w:type="continuationSeparator" w:id="0">
    <w:p w:rsidR="00F37FF8" w:rsidRDefault="00F3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78" w:rsidRDefault="00FE4378">
    <w:pPr>
      <w:pStyle w:val="Header"/>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47574B"/>
    <w:multiLevelType w:val="hybridMultilevel"/>
    <w:tmpl w:val="28D275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2C8B0D85"/>
    <w:multiLevelType w:val="hybridMultilevel"/>
    <w:tmpl w:val="A148B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4"/>
  </w:num>
  <w:num w:numId="5">
    <w:abstractNumId w:val="3"/>
  </w:num>
  <w:num w:numId="6">
    <w:abstractNumId w:val="9"/>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F8"/>
    <w:rsid w:val="00000AE6"/>
    <w:rsid w:val="00012695"/>
    <w:rsid w:val="000201AE"/>
    <w:rsid w:val="000218B6"/>
    <w:rsid w:val="00026726"/>
    <w:rsid w:val="0002731C"/>
    <w:rsid w:val="00027386"/>
    <w:rsid w:val="00030BD8"/>
    <w:rsid w:val="000324C9"/>
    <w:rsid w:val="00032E46"/>
    <w:rsid w:val="00033B73"/>
    <w:rsid w:val="00043838"/>
    <w:rsid w:val="00051B62"/>
    <w:rsid w:val="00055C1B"/>
    <w:rsid w:val="00056C6C"/>
    <w:rsid w:val="00056DFC"/>
    <w:rsid w:val="000631DA"/>
    <w:rsid w:val="00063B11"/>
    <w:rsid w:val="00076969"/>
    <w:rsid w:val="00080B55"/>
    <w:rsid w:val="000A579A"/>
    <w:rsid w:val="000B0734"/>
    <w:rsid w:val="000B22C3"/>
    <w:rsid w:val="000B3626"/>
    <w:rsid w:val="000B5532"/>
    <w:rsid w:val="000B59FF"/>
    <w:rsid w:val="000C3A21"/>
    <w:rsid w:val="000D046E"/>
    <w:rsid w:val="000D6AC0"/>
    <w:rsid w:val="000E055A"/>
    <w:rsid w:val="000F161D"/>
    <w:rsid w:val="000F309E"/>
    <w:rsid w:val="000F3E1E"/>
    <w:rsid w:val="000F6592"/>
    <w:rsid w:val="00102F9E"/>
    <w:rsid w:val="0010495D"/>
    <w:rsid w:val="00105F5C"/>
    <w:rsid w:val="00110071"/>
    <w:rsid w:val="0012491A"/>
    <w:rsid w:val="00124EE2"/>
    <w:rsid w:val="00126BDF"/>
    <w:rsid w:val="001271A7"/>
    <w:rsid w:val="00146362"/>
    <w:rsid w:val="00147418"/>
    <w:rsid w:val="0016350A"/>
    <w:rsid w:val="001636BF"/>
    <w:rsid w:val="00163AE4"/>
    <w:rsid w:val="001735C0"/>
    <w:rsid w:val="00176630"/>
    <w:rsid w:val="00180054"/>
    <w:rsid w:val="00183A1C"/>
    <w:rsid w:val="00191382"/>
    <w:rsid w:val="0019482E"/>
    <w:rsid w:val="001A0790"/>
    <w:rsid w:val="001B6E91"/>
    <w:rsid w:val="001C0BC5"/>
    <w:rsid w:val="001D16A9"/>
    <w:rsid w:val="001D1DC0"/>
    <w:rsid w:val="001E06CB"/>
    <w:rsid w:val="001E2DB0"/>
    <w:rsid w:val="001E54DD"/>
    <w:rsid w:val="001E623B"/>
    <w:rsid w:val="001E6EA4"/>
    <w:rsid w:val="001F4FB6"/>
    <w:rsid w:val="002114F1"/>
    <w:rsid w:val="00221AB2"/>
    <w:rsid w:val="00223C69"/>
    <w:rsid w:val="00225921"/>
    <w:rsid w:val="002330A5"/>
    <w:rsid w:val="002341A1"/>
    <w:rsid w:val="002430F8"/>
    <w:rsid w:val="002504E2"/>
    <w:rsid w:val="002529DB"/>
    <w:rsid w:val="00254ED3"/>
    <w:rsid w:val="00262018"/>
    <w:rsid w:val="002642DC"/>
    <w:rsid w:val="00265913"/>
    <w:rsid w:val="00282B1D"/>
    <w:rsid w:val="00285041"/>
    <w:rsid w:val="002962EE"/>
    <w:rsid w:val="002A0F36"/>
    <w:rsid w:val="002A47FA"/>
    <w:rsid w:val="002B2A6A"/>
    <w:rsid w:val="002B53FC"/>
    <w:rsid w:val="002B6511"/>
    <w:rsid w:val="002B6780"/>
    <w:rsid w:val="002B6E99"/>
    <w:rsid w:val="002C3F98"/>
    <w:rsid w:val="002C7D5C"/>
    <w:rsid w:val="002D003A"/>
    <w:rsid w:val="002D15B6"/>
    <w:rsid w:val="002D4738"/>
    <w:rsid w:val="002D5680"/>
    <w:rsid w:val="002D7440"/>
    <w:rsid w:val="002E68FA"/>
    <w:rsid w:val="002F4A14"/>
    <w:rsid w:val="00300114"/>
    <w:rsid w:val="003033E4"/>
    <w:rsid w:val="003069EC"/>
    <w:rsid w:val="00313A40"/>
    <w:rsid w:val="00314F61"/>
    <w:rsid w:val="003168CC"/>
    <w:rsid w:val="00323DBD"/>
    <w:rsid w:val="003404B7"/>
    <w:rsid w:val="0034386A"/>
    <w:rsid w:val="00347FCC"/>
    <w:rsid w:val="003531D9"/>
    <w:rsid w:val="0036074D"/>
    <w:rsid w:val="00361972"/>
    <w:rsid w:val="00361A51"/>
    <w:rsid w:val="003664C9"/>
    <w:rsid w:val="003671DF"/>
    <w:rsid w:val="00385EBA"/>
    <w:rsid w:val="003A0FB4"/>
    <w:rsid w:val="003A551B"/>
    <w:rsid w:val="003B6B84"/>
    <w:rsid w:val="003C1F4C"/>
    <w:rsid w:val="003C3568"/>
    <w:rsid w:val="003D14AA"/>
    <w:rsid w:val="003D671F"/>
    <w:rsid w:val="003E1487"/>
    <w:rsid w:val="003E299C"/>
    <w:rsid w:val="003E2F84"/>
    <w:rsid w:val="003E399F"/>
    <w:rsid w:val="003E7F89"/>
    <w:rsid w:val="003F2D0E"/>
    <w:rsid w:val="00403EA8"/>
    <w:rsid w:val="0040568B"/>
    <w:rsid w:val="00414E21"/>
    <w:rsid w:val="00416296"/>
    <w:rsid w:val="00426F46"/>
    <w:rsid w:val="00427335"/>
    <w:rsid w:val="00434CC5"/>
    <w:rsid w:val="00436690"/>
    <w:rsid w:val="00443B03"/>
    <w:rsid w:val="00446793"/>
    <w:rsid w:val="00452BFF"/>
    <w:rsid w:val="00455CFD"/>
    <w:rsid w:val="00456B13"/>
    <w:rsid w:val="00463269"/>
    <w:rsid w:val="00466BE1"/>
    <w:rsid w:val="004674E3"/>
    <w:rsid w:val="00480AB5"/>
    <w:rsid w:val="00485359"/>
    <w:rsid w:val="00485782"/>
    <w:rsid w:val="004913BF"/>
    <w:rsid w:val="00491AD1"/>
    <w:rsid w:val="004974E6"/>
    <w:rsid w:val="00497A10"/>
    <w:rsid w:val="004A6388"/>
    <w:rsid w:val="004A7EF8"/>
    <w:rsid w:val="004B004C"/>
    <w:rsid w:val="004B621D"/>
    <w:rsid w:val="004C79A4"/>
    <w:rsid w:val="004F0124"/>
    <w:rsid w:val="004F0E6C"/>
    <w:rsid w:val="004F3053"/>
    <w:rsid w:val="004F4CCA"/>
    <w:rsid w:val="00505C2A"/>
    <w:rsid w:val="00514E54"/>
    <w:rsid w:val="0051573E"/>
    <w:rsid w:val="00523E14"/>
    <w:rsid w:val="00527F7E"/>
    <w:rsid w:val="005323E9"/>
    <w:rsid w:val="005378DF"/>
    <w:rsid w:val="00544186"/>
    <w:rsid w:val="00544768"/>
    <w:rsid w:val="0054724E"/>
    <w:rsid w:val="00554D51"/>
    <w:rsid w:val="00561055"/>
    <w:rsid w:val="00562B07"/>
    <w:rsid w:val="00565315"/>
    <w:rsid w:val="00567A9A"/>
    <w:rsid w:val="005718A5"/>
    <w:rsid w:val="00574616"/>
    <w:rsid w:val="005748FE"/>
    <w:rsid w:val="005833B9"/>
    <w:rsid w:val="00587962"/>
    <w:rsid w:val="00591630"/>
    <w:rsid w:val="00592576"/>
    <w:rsid w:val="00593BF7"/>
    <w:rsid w:val="005941E1"/>
    <w:rsid w:val="005A13F5"/>
    <w:rsid w:val="005A743A"/>
    <w:rsid w:val="005C37A6"/>
    <w:rsid w:val="005C3C75"/>
    <w:rsid w:val="005C701A"/>
    <w:rsid w:val="005C7AB3"/>
    <w:rsid w:val="005D0304"/>
    <w:rsid w:val="005D435B"/>
    <w:rsid w:val="005D7020"/>
    <w:rsid w:val="005F0577"/>
    <w:rsid w:val="005F334B"/>
    <w:rsid w:val="005F5DF4"/>
    <w:rsid w:val="005F6BAC"/>
    <w:rsid w:val="00604B62"/>
    <w:rsid w:val="00611A4D"/>
    <w:rsid w:val="0061258F"/>
    <w:rsid w:val="006208F9"/>
    <w:rsid w:val="006210C2"/>
    <w:rsid w:val="00625D6C"/>
    <w:rsid w:val="00634FF0"/>
    <w:rsid w:val="00635A7C"/>
    <w:rsid w:val="00644F26"/>
    <w:rsid w:val="00645119"/>
    <w:rsid w:val="00647B94"/>
    <w:rsid w:val="00652397"/>
    <w:rsid w:val="00663C9A"/>
    <w:rsid w:val="00673E01"/>
    <w:rsid w:val="00685CF1"/>
    <w:rsid w:val="00685F96"/>
    <w:rsid w:val="00694F60"/>
    <w:rsid w:val="006967C8"/>
    <w:rsid w:val="006A05FB"/>
    <w:rsid w:val="006B4444"/>
    <w:rsid w:val="006B6285"/>
    <w:rsid w:val="006B62F6"/>
    <w:rsid w:val="006C0777"/>
    <w:rsid w:val="006C0888"/>
    <w:rsid w:val="006C6A19"/>
    <w:rsid w:val="006D0523"/>
    <w:rsid w:val="006D1265"/>
    <w:rsid w:val="006E15EA"/>
    <w:rsid w:val="006E222F"/>
    <w:rsid w:val="006F6C05"/>
    <w:rsid w:val="00702EF7"/>
    <w:rsid w:val="00704E26"/>
    <w:rsid w:val="007060F0"/>
    <w:rsid w:val="00712E3F"/>
    <w:rsid w:val="00717A79"/>
    <w:rsid w:val="007262DD"/>
    <w:rsid w:val="00733B48"/>
    <w:rsid w:val="00743617"/>
    <w:rsid w:val="00744E6B"/>
    <w:rsid w:val="00760CF4"/>
    <w:rsid w:val="00770264"/>
    <w:rsid w:val="00780C75"/>
    <w:rsid w:val="00785B77"/>
    <w:rsid w:val="00796DE0"/>
    <w:rsid w:val="007A2842"/>
    <w:rsid w:val="007B093E"/>
    <w:rsid w:val="007B49C0"/>
    <w:rsid w:val="007C3365"/>
    <w:rsid w:val="007D1D66"/>
    <w:rsid w:val="007F50A4"/>
    <w:rsid w:val="008015D2"/>
    <w:rsid w:val="0080552D"/>
    <w:rsid w:val="00806B31"/>
    <w:rsid w:val="00807B3F"/>
    <w:rsid w:val="008124F3"/>
    <w:rsid w:val="0082354F"/>
    <w:rsid w:val="00826B4E"/>
    <w:rsid w:val="00830C54"/>
    <w:rsid w:val="00830E90"/>
    <w:rsid w:val="0083482E"/>
    <w:rsid w:val="00837FB3"/>
    <w:rsid w:val="00844445"/>
    <w:rsid w:val="0084490C"/>
    <w:rsid w:val="0084495C"/>
    <w:rsid w:val="00853398"/>
    <w:rsid w:val="00860DC0"/>
    <w:rsid w:val="008713A5"/>
    <w:rsid w:val="0087745A"/>
    <w:rsid w:val="00881B57"/>
    <w:rsid w:val="008825C2"/>
    <w:rsid w:val="0088539F"/>
    <w:rsid w:val="00885D7C"/>
    <w:rsid w:val="008A1A5F"/>
    <w:rsid w:val="008A7848"/>
    <w:rsid w:val="008B1DD5"/>
    <w:rsid w:val="008B5B9B"/>
    <w:rsid w:val="008B7528"/>
    <w:rsid w:val="008C0F09"/>
    <w:rsid w:val="008C228A"/>
    <w:rsid w:val="008D0E01"/>
    <w:rsid w:val="008E1C9F"/>
    <w:rsid w:val="008E25C7"/>
    <w:rsid w:val="008E445F"/>
    <w:rsid w:val="008F07CE"/>
    <w:rsid w:val="008F6AA0"/>
    <w:rsid w:val="00910F17"/>
    <w:rsid w:val="00915A33"/>
    <w:rsid w:val="00922097"/>
    <w:rsid w:val="00922FB7"/>
    <w:rsid w:val="00923598"/>
    <w:rsid w:val="00932D57"/>
    <w:rsid w:val="009403D0"/>
    <w:rsid w:val="00953841"/>
    <w:rsid w:val="00956A1C"/>
    <w:rsid w:val="009732D4"/>
    <w:rsid w:val="00981651"/>
    <w:rsid w:val="00985A96"/>
    <w:rsid w:val="00997B46"/>
    <w:rsid w:val="009B20E0"/>
    <w:rsid w:val="009C19B4"/>
    <w:rsid w:val="009E216B"/>
    <w:rsid w:val="009F2DFF"/>
    <w:rsid w:val="00A03AB9"/>
    <w:rsid w:val="00A03D60"/>
    <w:rsid w:val="00A047B5"/>
    <w:rsid w:val="00A1007B"/>
    <w:rsid w:val="00A15209"/>
    <w:rsid w:val="00A208EB"/>
    <w:rsid w:val="00A32B98"/>
    <w:rsid w:val="00A40D5C"/>
    <w:rsid w:val="00A43FF9"/>
    <w:rsid w:val="00A51D19"/>
    <w:rsid w:val="00A55057"/>
    <w:rsid w:val="00A66958"/>
    <w:rsid w:val="00A66DF3"/>
    <w:rsid w:val="00A82561"/>
    <w:rsid w:val="00A96F6A"/>
    <w:rsid w:val="00AA08EC"/>
    <w:rsid w:val="00AA2735"/>
    <w:rsid w:val="00AB0A7D"/>
    <w:rsid w:val="00AB1F92"/>
    <w:rsid w:val="00AB3FCB"/>
    <w:rsid w:val="00AB533D"/>
    <w:rsid w:val="00AB569C"/>
    <w:rsid w:val="00AC031B"/>
    <w:rsid w:val="00AC2996"/>
    <w:rsid w:val="00AC3F07"/>
    <w:rsid w:val="00AD31BC"/>
    <w:rsid w:val="00AD62C5"/>
    <w:rsid w:val="00AD6D8D"/>
    <w:rsid w:val="00AD721F"/>
    <w:rsid w:val="00AE287A"/>
    <w:rsid w:val="00AE2D97"/>
    <w:rsid w:val="00AE7E64"/>
    <w:rsid w:val="00AF3144"/>
    <w:rsid w:val="00B02043"/>
    <w:rsid w:val="00B12376"/>
    <w:rsid w:val="00B27510"/>
    <w:rsid w:val="00B458A3"/>
    <w:rsid w:val="00B46846"/>
    <w:rsid w:val="00B52C31"/>
    <w:rsid w:val="00B5701D"/>
    <w:rsid w:val="00B57341"/>
    <w:rsid w:val="00B71A97"/>
    <w:rsid w:val="00B77BD4"/>
    <w:rsid w:val="00B84194"/>
    <w:rsid w:val="00B97B6E"/>
    <w:rsid w:val="00BA0BC1"/>
    <w:rsid w:val="00BA3189"/>
    <w:rsid w:val="00BA78BC"/>
    <w:rsid w:val="00BB27C5"/>
    <w:rsid w:val="00BB387D"/>
    <w:rsid w:val="00BC2BFB"/>
    <w:rsid w:val="00BC6A8D"/>
    <w:rsid w:val="00BE0D9E"/>
    <w:rsid w:val="00BE32F3"/>
    <w:rsid w:val="00BE5F98"/>
    <w:rsid w:val="00BF0089"/>
    <w:rsid w:val="00C007F6"/>
    <w:rsid w:val="00C03925"/>
    <w:rsid w:val="00C047E7"/>
    <w:rsid w:val="00C06282"/>
    <w:rsid w:val="00C16BD6"/>
    <w:rsid w:val="00C17ED3"/>
    <w:rsid w:val="00C2447B"/>
    <w:rsid w:val="00C3551A"/>
    <w:rsid w:val="00C41329"/>
    <w:rsid w:val="00C464F8"/>
    <w:rsid w:val="00C57B96"/>
    <w:rsid w:val="00C62FA1"/>
    <w:rsid w:val="00C66F5F"/>
    <w:rsid w:val="00C72F5E"/>
    <w:rsid w:val="00C90010"/>
    <w:rsid w:val="00C94DCF"/>
    <w:rsid w:val="00C9694D"/>
    <w:rsid w:val="00C96E5E"/>
    <w:rsid w:val="00C97019"/>
    <w:rsid w:val="00CA29DB"/>
    <w:rsid w:val="00CA56F0"/>
    <w:rsid w:val="00CB6FEF"/>
    <w:rsid w:val="00CC1195"/>
    <w:rsid w:val="00CC1B2A"/>
    <w:rsid w:val="00CC4BE4"/>
    <w:rsid w:val="00CC793B"/>
    <w:rsid w:val="00CD0116"/>
    <w:rsid w:val="00CD519A"/>
    <w:rsid w:val="00CF6510"/>
    <w:rsid w:val="00CF7B05"/>
    <w:rsid w:val="00D04EA3"/>
    <w:rsid w:val="00D161B4"/>
    <w:rsid w:val="00D2126B"/>
    <w:rsid w:val="00D22D14"/>
    <w:rsid w:val="00D27DE1"/>
    <w:rsid w:val="00D3515D"/>
    <w:rsid w:val="00D4290F"/>
    <w:rsid w:val="00D4387C"/>
    <w:rsid w:val="00D44DB1"/>
    <w:rsid w:val="00D53FCA"/>
    <w:rsid w:val="00D56C0A"/>
    <w:rsid w:val="00D63690"/>
    <w:rsid w:val="00D66CB2"/>
    <w:rsid w:val="00D7240A"/>
    <w:rsid w:val="00D724D7"/>
    <w:rsid w:val="00D77584"/>
    <w:rsid w:val="00D80BBF"/>
    <w:rsid w:val="00D8796B"/>
    <w:rsid w:val="00D94F65"/>
    <w:rsid w:val="00D96744"/>
    <w:rsid w:val="00D96A48"/>
    <w:rsid w:val="00DA3F2E"/>
    <w:rsid w:val="00DA5D0D"/>
    <w:rsid w:val="00DA6D1E"/>
    <w:rsid w:val="00DB2DC5"/>
    <w:rsid w:val="00DC2B2A"/>
    <w:rsid w:val="00DD3416"/>
    <w:rsid w:val="00DE6BEB"/>
    <w:rsid w:val="00DF716C"/>
    <w:rsid w:val="00E04C29"/>
    <w:rsid w:val="00E13541"/>
    <w:rsid w:val="00E14D72"/>
    <w:rsid w:val="00E21E01"/>
    <w:rsid w:val="00E37D23"/>
    <w:rsid w:val="00E53839"/>
    <w:rsid w:val="00E566E4"/>
    <w:rsid w:val="00E60B70"/>
    <w:rsid w:val="00E60C03"/>
    <w:rsid w:val="00E65CBA"/>
    <w:rsid w:val="00E67C6B"/>
    <w:rsid w:val="00E8014D"/>
    <w:rsid w:val="00E829A2"/>
    <w:rsid w:val="00E83ADE"/>
    <w:rsid w:val="00E854D2"/>
    <w:rsid w:val="00E866D6"/>
    <w:rsid w:val="00E90876"/>
    <w:rsid w:val="00E9434C"/>
    <w:rsid w:val="00EA0357"/>
    <w:rsid w:val="00EA3B04"/>
    <w:rsid w:val="00EA6BF0"/>
    <w:rsid w:val="00EB2024"/>
    <w:rsid w:val="00ED64E9"/>
    <w:rsid w:val="00EF4430"/>
    <w:rsid w:val="00F0354E"/>
    <w:rsid w:val="00F101EC"/>
    <w:rsid w:val="00F221C2"/>
    <w:rsid w:val="00F37FF8"/>
    <w:rsid w:val="00F4269A"/>
    <w:rsid w:val="00F53DE9"/>
    <w:rsid w:val="00F579EC"/>
    <w:rsid w:val="00F62BE0"/>
    <w:rsid w:val="00F62FDB"/>
    <w:rsid w:val="00F71B7F"/>
    <w:rsid w:val="00FA5216"/>
    <w:rsid w:val="00FB0D78"/>
    <w:rsid w:val="00FC1DCC"/>
    <w:rsid w:val="00FD1524"/>
    <w:rsid w:val="00FD30EE"/>
    <w:rsid w:val="00FD5583"/>
    <w:rsid w:val="00FE0073"/>
    <w:rsid w:val="00FE4378"/>
    <w:rsid w:val="00FF19E9"/>
    <w:rsid w:val="00FF4047"/>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1"/>
    <w:rPr>
      <w:rFonts w:ascii="Trebuchet MS" w:hAnsi="Trebuchet MS"/>
      <w:sz w:val="22"/>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character" w:styleId="CommentReference">
    <w:name w:val="annotation reference"/>
    <w:basedOn w:val="DefaultParagraphFont"/>
    <w:uiPriority w:val="99"/>
    <w:semiHidden/>
    <w:unhideWhenUsed/>
    <w:rsid w:val="00923598"/>
    <w:rPr>
      <w:sz w:val="16"/>
      <w:szCs w:val="16"/>
    </w:rPr>
  </w:style>
  <w:style w:type="paragraph" w:styleId="CommentText">
    <w:name w:val="annotation text"/>
    <w:basedOn w:val="Normal"/>
    <w:link w:val="CommentTextChar"/>
    <w:uiPriority w:val="99"/>
    <w:semiHidden/>
    <w:unhideWhenUsed/>
    <w:rsid w:val="00923598"/>
    <w:rPr>
      <w:sz w:val="20"/>
      <w:szCs w:val="20"/>
    </w:rPr>
  </w:style>
  <w:style w:type="character" w:customStyle="1" w:styleId="CommentTextChar">
    <w:name w:val="Comment Text Char"/>
    <w:basedOn w:val="DefaultParagraphFont"/>
    <w:link w:val="CommentText"/>
    <w:uiPriority w:val="99"/>
    <w:semiHidden/>
    <w:rsid w:val="00923598"/>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923598"/>
    <w:rPr>
      <w:b/>
      <w:bCs/>
    </w:rPr>
  </w:style>
  <w:style w:type="character" w:customStyle="1" w:styleId="CommentSubjectChar">
    <w:name w:val="Comment Subject Char"/>
    <w:basedOn w:val="CommentTextChar"/>
    <w:link w:val="CommentSubject"/>
    <w:uiPriority w:val="99"/>
    <w:semiHidden/>
    <w:rsid w:val="00923598"/>
    <w:rPr>
      <w:rFonts w:ascii="Trebuchet MS" w:hAnsi="Trebuchet MS"/>
      <w:b/>
      <w:bCs/>
      <w:lang w:eastAsia="en-US"/>
    </w:rPr>
  </w:style>
  <w:style w:type="paragraph" w:styleId="BalloonText">
    <w:name w:val="Balloon Text"/>
    <w:basedOn w:val="Normal"/>
    <w:link w:val="BalloonTextChar"/>
    <w:uiPriority w:val="99"/>
    <w:semiHidden/>
    <w:unhideWhenUsed/>
    <w:rsid w:val="00923598"/>
    <w:rPr>
      <w:rFonts w:ascii="Tahoma" w:hAnsi="Tahoma" w:cs="Tahoma"/>
      <w:sz w:val="16"/>
      <w:szCs w:val="16"/>
    </w:rPr>
  </w:style>
  <w:style w:type="character" w:customStyle="1" w:styleId="BalloonTextChar">
    <w:name w:val="Balloon Text Char"/>
    <w:basedOn w:val="DefaultParagraphFont"/>
    <w:link w:val="BalloonText"/>
    <w:uiPriority w:val="99"/>
    <w:semiHidden/>
    <w:rsid w:val="00923598"/>
    <w:rPr>
      <w:rFonts w:ascii="Tahoma" w:hAnsi="Tahoma" w:cs="Tahoma"/>
      <w:sz w:val="16"/>
      <w:szCs w:val="16"/>
      <w:lang w:eastAsia="en-US"/>
    </w:rPr>
  </w:style>
  <w:style w:type="character" w:customStyle="1" w:styleId="FooterChar">
    <w:name w:val="Footer Char"/>
    <w:basedOn w:val="DefaultParagraphFont"/>
    <w:link w:val="Footer"/>
    <w:uiPriority w:val="99"/>
    <w:rsid w:val="00FE4378"/>
    <w:rPr>
      <w:rFonts w:ascii="Trebuchet MS" w:hAnsi="Trebuchet M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1"/>
    <w:rPr>
      <w:rFonts w:ascii="Trebuchet MS" w:hAnsi="Trebuchet MS"/>
      <w:sz w:val="22"/>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character" w:styleId="CommentReference">
    <w:name w:val="annotation reference"/>
    <w:basedOn w:val="DefaultParagraphFont"/>
    <w:uiPriority w:val="99"/>
    <w:semiHidden/>
    <w:unhideWhenUsed/>
    <w:rsid w:val="00923598"/>
    <w:rPr>
      <w:sz w:val="16"/>
      <w:szCs w:val="16"/>
    </w:rPr>
  </w:style>
  <w:style w:type="paragraph" w:styleId="CommentText">
    <w:name w:val="annotation text"/>
    <w:basedOn w:val="Normal"/>
    <w:link w:val="CommentTextChar"/>
    <w:uiPriority w:val="99"/>
    <w:semiHidden/>
    <w:unhideWhenUsed/>
    <w:rsid w:val="00923598"/>
    <w:rPr>
      <w:sz w:val="20"/>
      <w:szCs w:val="20"/>
    </w:rPr>
  </w:style>
  <w:style w:type="character" w:customStyle="1" w:styleId="CommentTextChar">
    <w:name w:val="Comment Text Char"/>
    <w:basedOn w:val="DefaultParagraphFont"/>
    <w:link w:val="CommentText"/>
    <w:uiPriority w:val="99"/>
    <w:semiHidden/>
    <w:rsid w:val="00923598"/>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923598"/>
    <w:rPr>
      <w:b/>
      <w:bCs/>
    </w:rPr>
  </w:style>
  <w:style w:type="character" w:customStyle="1" w:styleId="CommentSubjectChar">
    <w:name w:val="Comment Subject Char"/>
    <w:basedOn w:val="CommentTextChar"/>
    <w:link w:val="CommentSubject"/>
    <w:uiPriority w:val="99"/>
    <w:semiHidden/>
    <w:rsid w:val="00923598"/>
    <w:rPr>
      <w:rFonts w:ascii="Trebuchet MS" w:hAnsi="Trebuchet MS"/>
      <w:b/>
      <w:bCs/>
      <w:lang w:eastAsia="en-US"/>
    </w:rPr>
  </w:style>
  <w:style w:type="paragraph" w:styleId="BalloonText">
    <w:name w:val="Balloon Text"/>
    <w:basedOn w:val="Normal"/>
    <w:link w:val="BalloonTextChar"/>
    <w:uiPriority w:val="99"/>
    <w:semiHidden/>
    <w:unhideWhenUsed/>
    <w:rsid w:val="00923598"/>
    <w:rPr>
      <w:rFonts w:ascii="Tahoma" w:hAnsi="Tahoma" w:cs="Tahoma"/>
      <w:sz w:val="16"/>
      <w:szCs w:val="16"/>
    </w:rPr>
  </w:style>
  <w:style w:type="character" w:customStyle="1" w:styleId="BalloonTextChar">
    <w:name w:val="Balloon Text Char"/>
    <w:basedOn w:val="DefaultParagraphFont"/>
    <w:link w:val="BalloonText"/>
    <w:uiPriority w:val="99"/>
    <w:semiHidden/>
    <w:rsid w:val="00923598"/>
    <w:rPr>
      <w:rFonts w:ascii="Tahoma" w:hAnsi="Tahoma" w:cs="Tahoma"/>
      <w:sz w:val="16"/>
      <w:szCs w:val="16"/>
      <w:lang w:eastAsia="en-US"/>
    </w:rPr>
  </w:style>
  <w:style w:type="character" w:customStyle="1" w:styleId="FooterChar">
    <w:name w:val="Footer Char"/>
    <w:basedOn w:val="DefaultParagraphFont"/>
    <w:link w:val="Footer"/>
    <w:uiPriority w:val="99"/>
    <w:rsid w:val="00FE4378"/>
    <w:rPr>
      <w:rFonts w:ascii="Trebuchet MS"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Templates\2010\Other%20Templates\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Explanatory Statement.dotm</Template>
  <TotalTime>1</TotalTime>
  <Pages>4</Pages>
  <Words>921</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&lt;&lt;enter title of instrument, including subtitle (if any)&gt;&gt;</vt:lpstr>
    </vt:vector>
  </TitlesOfParts>
  <Company>APRA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title of instrument, including subtitle (if any)&gt;&gt;</dc:title>
  <dc:creator>Maunder, Gavin</dc:creator>
  <cp:lastModifiedBy>Antonietta Discala</cp:lastModifiedBy>
  <cp:revision>2</cp:revision>
  <cp:lastPrinted>1900-12-31T14:00:00Z</cp:lastPrinted>
  <dcterms:created xsi:type="dcterms:W3CDTF">2014-04-09T00:34:00Z</dcterms:created>
  <dcterms:modified xsi:type="dcterms:W3CDTF">2014-04-09T00:34:00Z</dcterms:modified>
</cp:coreProperties>
</file>