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48" w:rsidRPr="00A202E9" w:rsidRDefault="001E4748">
      <w:pPr>
        <w:pStyle w:val="Title"/>
        <w:rPr>
          <w:szCs w:val="24"/>
          <w:lang w:val="en-AU"/>
        </w:rPr>
      </w:pPr>
      <w:r w:rsidRPr="00A202E9">
        <w:rPr>
          <w:szCs w:val="24"/>
          <w:lang w:val="en-AU"/>
        </w:rPr>
        <w:t>EXPLANATORY STATEMENT</w:t>
      </w:r>
    </w:p>
    <w:p w:rsidR="001E4748" w:rsidRPr="00A202E9" w:rsidRDefault="001E4748">
      <w:pPr>
        <w:rPr>
          <w:sz w:val="24"/>
          <w:szCs w:val="24"/>
        </w:rPr>
      </w:pPr>
    </w:p>
    <w:p w:rsidR="001E4748" w:rsidRPr="00A202E9" w:rsidRDefault="001E4748">
      <w:pPr>
        <w:rPr>
          <w:sz w:val="24"/>
          <w:szCs w:val="24"/>
        </w:rPr>
      </w:pPr>
    </w:p>
    <w:p w:rsidR="001E4748" w:rsidRPr="00A202E9" w:rsidRDefault="001E4748">
      <w:pPr>
        <w:jc w:val="center"/>
        <w:rPr>
          <w:i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202E9">
            <w:rPr>
              <w:i/>
              <w:sz w:val="24"/>
              <w:szCs w:val="24"/>
            </w:rPr>
            <w:t>Jervis</w:t>
          </w:r>
        </w:smartTag>
        <w:r w:rsidRPr="00A202E9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A202E9">
            <w:rPr>
              <w:i/>
              <w:sz w:val="24"/>
              <w:szCs w:val="24"/>
            </w:rPr>
            <w:t>Bay</w:t>
          </w:r>
        </w:smartTag>
        <w:r w:rsidRPr="00A202E9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A202E9">
            <w:rPr>
              <w:i/>
              <w:sz w:val="24"/>
              <w:szCs w:val="24"/>
            </w:rPr>
            <w:t>Territory</w:t>
          </w:r>
        </w:smartTag>
      </w:smartTag>
      <w:r w:rsidRPr="00A202E9">
        <w:rPr>
          <w:i/>
          <w:sz w:val="24"/>
          <w:szCs w:val="24"/>
        </w:rPr>
        <w:t xml:space="preserve"> Acceptance Act 1915</w:t>
      </w:r>
    </w:p>
    <w:p w:rsidR="001E4748" w:rsidRPr="00A202E9" w:rsidRDefault="001E4748">
      <w:pPr>
        <w:jc w:val="center"/>
        <w:rPr>
          <w:i/>
          <w:sz w:val="24"/>
          <w:szCs w:val="24"/>
        </w:rPr>
      </w:pPr>
      <w:r w:rsidRPr="00A202E9">
        <w:rPr>
          <w:i/>
          <w:sz w:val="24"/>
          <w:szCs w:val="24"/>
        </w:rPr>
        <w:t>Administration Ordinance 1990</w:t>
      </w:r>
      <w:r w:rsidR="00111CD9">
        <w:rPr>
          <w:i/>
          <w:sz w:val="24"/>
          <w:szCs w:val="24"/>
        </w:rPr>
        <w:t xml:space="preserve"> (Jervis Bay Territory)</w:t>
      </w:r>
    </w:p>
    <w:p w:rsidR="001E4748" w:rsidRPr="00A202E9" w:rsidRDefault="001E4748">
      <w:pPr>
        <w:rPr>
          <w:sz w:val="24"/>
          <w:szCs w:val="24"/>
        </w:rPr>
      </w:pPr>
    </w:p>
    <w:p w:rsidR="001E4748" w:rsidRPr="00A202E9" w:rsidRDefault="001E4748">
      <w:pPr>
        <w:rPr>
          <w:sz w:val="24"/>
          <w:szCs w:val="24"/>
        </w:rPr>
      </w:pPr>
    </w:p>
    <w:p w:rsidR="001E4748" w:rsidRPr="00A202E9" w:rsidRDefault="0006481E">
      <w:pPr>
        <w:pStyle w:val="Heading1"/>
        <w:rPr>
          <w:szCs w:val="24"/>
          <w:lang w:val="en-AU"/>
        </w:rPr>
      </w:pPr>
      <w:r w:rsidRPr="00A202E9">
        <w:rPr>
          <w:szCs w:val="24"/>
          <w:lang w:val="en-AU"/>
        </w:rPr>
        <w:t>Electricity</w:t>
      </w:r>
      <w:r w:rsidR="00C07642" w:rsidRPr="00A202E9">
        <w:rPr>
          <w:szCs w:val="24"/>
          <w:lang w:val="en-AU"/>
        </w:rPr>
        <w:t xml:space="preserve"> </w:t>
      </w:r>
      <w:r w:rsidR="001C07E0">
        <w:rPr>
          <w:szCs w:val="24"/>
          <w:lang w:val="en-AU"/>
        </w:rPr>
        <w:t xml:space="preserve">Supply </w:t>
      </w:r>
      <w:r w:rsidR="001E4748" w:rsidRPr="00A202E9">
        <w:rPr>
          <w:szCs w:val="24"/>
          <w:lang w:val="en-AU"/>
        </w:rPr>
        <w:t>Fee</w:t>
      </w:r>
      <w:r w:rsidR="001C07E0">
        <w:rPr>
          <w:szCs w:val="24"/>
          <w:lang w:val="en-AU"/>
        </w:rPr>
        <w:t>s</w:t>
      </w:r>
      <w:r w:rsidR="001E4748" w:rsidRPr="00A202E9">
        <w:rPr>
          <w:szCs w:val="24"/>
          <w:lang w:val="en-AU"/>
        </w:rPr>
        <w:t xml:space="preserve"> Determination 20</w:t>
      </w:r>
      <w:r w:rsidR="00917511">
        <w:rPr>
          <w:szCs w:val="24"/>
          <w:lang w:val="en-AU"/>
        </w:rPr>
        <w:t>1</w:t>
      </w:r>
      <w:r w:rsidR="00111CD9">
        <w:rPr>
          <w:szCs w:val="24"/>
          <w:lang w:val="en-AU"/>
        </w:rPr>
        <w:t>4</w:t>
      </w:r>
      <w:r w:rsidR="00E85451" w:rsidRPr="00A202E9">
        <w:rPr>
          <w:szCs w:val="24"/>
          <w:lang w:val="en-AU"/>
        </w:rPr>
        <w:t xml:space="preserve"> </w:t>
      </w:r>
      <w:r w:rsidR="001C07E0">
        <w:rPr>
          <w:szCs w:val="24"/>
          <w:lang w:val="en-AU"/>
        </w:rPr>
        <w:t>(</w:t>
      </w:r>
      <w:r w:rsidR="001C07E0" w:rsidRPr="00A202E9">
        <w:rPr>
          <w:szCs w:val="24"/>
          <w:lang w:val="en-AU"/>
        </w:rPr>
        <w:t>Jervis Bay Territory</w:t>
      </w:r>
      <w:r w:rsidR="001C07E0">
        <w:rPr>
          <w:szCs w:val="24"/>
          <w:lang w:val="en-AU"/>
        </w:rPr>
        <w:t>)</w:t>
      </w:r>
    </w:p>
    <w:p w:rsidR="001E4748" w:rsidRPr="00A202E9" w:rsidRDefault="001E4748">
      <w:pPr>
        <w:rPr>
          <w:sz w:val="24"/>
          <w:szCs w:val="24"/>
        </w:rPr>
      </w:pPr>
    </w:p>
    <w:p w:rsidR="009B6EBA" w:rsidRPr="00A202E9" w:rsidRDefault="00B36FC8" w:rsidP="009B6EBA">
      <w:pPr>
        <w:pStyle w:val="Dotpoint"/>
        <w:numPr>
          <w:ilvl w:val="0"/>
          <w:numId w:val="0"/>
        </w:numPr>
        <w:spacing w:after="0"/>
        <w:rPr>
          <w:szCs w:val="24"/>
        </w:rPr>
      </w:pPr>
      <w:r>
        <w:rPr>
          <w:szCs w:val="24"/>
        </w:rPr>
        <w:t xml:space="preserve">The </w:t>
      </w:r>
      <w:r w:rsidRPr="00E87B05">
        <w:rPr>
          <w:i/>
          <w:szCs w:val="24"/>
        </w:rPr>
        <w:t xml:space="preserve">Administration Ordinance </w:t>
      </w:r>
      <w:r w:rsidR="00E87B05" w:rsidRPr="00E87B05">
        <w:rPr>
          <w:i/>
          <w:szCs w:val="24"/>
        </w:rPr>
        <w:t>1990</w:t>
      </w:r>
      <w:r w:rsidR="00E87B05">
        <w:rPr>
          <w:szCs w:val="24"/>
        </w:rPr>
        <w:t xml:space="preserve"> </w:t>
      </w:r>
      <w:r w:rsidR="00111CD9" w:rsidRPr="00111CD9">
        <w:rPr>
          <w:i/>
          <w:szCs w:val="24"/>
        </w:rPr>
        <w:t xml:space="preserve">(Jervis Bay Territory) </w:t>
      </w:r>
      <w:r>
        <w:rPr>
          <w:szCs w:val="24"/>
        </w:rPr>
        <w:t xml:space="preserve">was made </w:t>
      </w:r>
      <w:r w:rsidR="00E87B05">
        <w:rPr>
          <w:szCs w:val="24"/>
        </w:rPr>
        <w:t xml:space="preserve">pursuant to </w:t>
      </w:r>
      <w:r w:rsidR="009B6EBA" w:rsidRPr="00A202E9">
        <w:rPr>
          <w:szCs w:val="24"/>
        </w:rPr>
        <w:t xml:space="preserve">Subsection </w:t>
      </w:r>
      <w:proofErr w:type="gramStart"/>
      <w:r w:rsidR="009B6EBA" w:rsidRPr="00A202E9">
        <w:rPr>
          <w:szCs w:val="24"/>
        </w:rPr>
        <w:t>4F(</w:t>
      </w:r>
      <w:proofErr w:type="gramEnd"/>
      <w:r w:rsidR="009B6EBA" w:rsidRPr="00A202E9">
        <w:rPr>
          <w:szCs w:val="24"/>
        </w:rPr>
        <w:t xml:space="preserve">1) of the </w:t>
      </w:r>
      <w:r w:rsidR="009B6EBA" w:rsidRPr="00A202E9">
        <w:rPr>
          <w:i/>
          <w:szCs w:val="24"/>
        </w:rPr>
        <w:t>Jervis Bay Territory Acceptance Act 1915</w:t>
      </w:r>
      <w:r w:rsidR="009B6EBA" w:rsidRPr="00A202E9">
        <w:rPr>
          <w:szCs w:val="24"/>
        </w:rPr>
        <w:t xml:space="preserve"> </w:t>
      </w:r>
      <w:r w:rsidR="00E87B05">
        <w:rPr>
          <w:szCs w:val="24"/>
        </w:rPr>
        <w:t xml:space="preserve">which </w:t>
      </w:r>
      <w:r w:rsidR="009B6EBA" w:rsidRPr="00A202E9">
        <w:rPr>
          <w:szCs w:val="24"/>
        </w:rPr>
        <w:t>provides that the Governor-General may make Ordinances for the peace, order and good government of the Jervis</w:t>
      </w:r>
      <w:r w:rsidR="00D43ADB" w:rsidRPr="00A202E9">
        <w:rPr>
          <w:szCs w:val="24"/>
        </w:rPr>
        <w:t> </w:t>
      </w:r>
      <w:r w:rsidR="00B5236A">
        <w:rPr>
          <w:szCs w:val="24"/>
        </w:rPr>
        <w:t>Bay Territory (</w:t>
      </w:r>
      <w:r w:rsidR="009B6EBA" w:rsidRPr="00A202E9">
        <w:rPr>
          <w:szCs w:val="24"/>
        </w:rPr>
        <w:t xml:space="preserve">Territory).  </w:t>
      </w:r>
    </w:p>
    <w:p w:rsidR="009B6EBA" w:rsidRPr="00A202E9" w:rsidRDefault="009B6EBA">
      <w:pPr>
        <w:rPr>
          <w:sz w:val="24"/>
          <w:szCs w:val="24"/>
        </w:rPr>
      </w:pPr>
    </w:p>
    <w:p w:rsidR="001E4748" w:rsidRPr="00A202E9" w:rsidRDefault="00570D9F">
      <w:pPr>
        <w:rPr>
          <w:sz w:val="24"/>
          <w:szCs w:val="24"/>
        </w:rPr>
      </w:pPr>
      <w:r w:rsidRPr="00CC6625">
        <w:rPr>
          <w:sz w:val="24"/>
        </w:rPr>
        <w:t xml:space="preserve">Subsection 3B(1) of the </w:t>
      </w:r>
      <w:r w:rsidRPr="00CC6625">
        <w:rPr>
          <w:i/>
          <w:sz w:val="24"/>
        </w:rPr>
        <w:t>Administration Ordinance 1990</w:t>
      </w:r>
      <w:r w:rsidRPr="00CC6625">
        <w:rPr>
          <w:sz w:val="24"/>
        </w:rPr>
        <w:t xml:space="preserve"> enables the Minister responsible for </w:t>
      </w:r>
      <w:r w:rsidR="00111CD9">
        <w:rPr>
          <w:sz w:val="24"/>
        </w:rPr>
        <w:t>Jervis Bay</w:t>
      </w:r>
      <w:r w:rsidRPr="00CC6625">
        <w:rPr>
          <w:sz w:val="24"/>
        </w:rPr>
        <w:t xml:space="preserve"> Territor</w:t>
      </w:r>
      <w:r w:rsidR="00111CD9">
        <w:rPr>
          <w:sz w:val="24"/>
        </w:rPr>
        <w:t>y</w:t>
      </w:r>
      <w:r w:rsidRPr="00CC6625">
        <w:rPr>
          <w:sz w:val="24"/>
        </w:rPr>
        <w:t xml:space="preserve"> to determine fees for the provision of utilities and services provided by the Australian Government in the Territory.  </w:t>
      </w:r>
      <w:r w:rsidR="00111CD9" w:rsidRPr="00C15EF7">
        <w:rPr>
          <w:sz w:val="24"/>
          <w:szCs w:val="24"/>
        </w:rPr>
        <w:t xml:space="preserve">The Minister has delegated the power to determine fees for these utilities and services to specific official positions within the </w:t>
      </w:r>
      <w:r w:rsidR="00111CD9">
        <w:rPr>
          <w:sz w:val="24"/>
          <w:szCs w:val="24"/>
        </w:rPr>
        <w:t xml:space="preserve">Commonwealth </w:t>
      </w:r>
      <w:r w:rsidR="00111CD9" w:rsidRPr="00C15EF7">
        <w:rPr>
          <w:sz w:val="24"/>
          <w:szCs w:val="24"/>
        </w:rPr>
        <w:t xml:space="preserve">Department </w:t>
      </w:r>
      <w:r w:rsidR="00111CD9">
        <w:rPr>
          <w:sz w:val="24"/>
          <w:szCs w:val="24"/>
        </w:rPr>
        <w:t xml:space="preserve">having responsibility for administration of Australian territories, currently the Department of Infrastructure and </w:t>
      </w:r>
      <w:r w:rsidR="00111CD9" w:rsidRPr="00C15EF7">
        <w:rPr>
          <w:sz w:val="24"/>
          <w:szCs w:val="24"/>
        </w:rPr>
        <w:t xml:space="preserve">Regional </w:t>
      </w:r>
      <w:r w:rsidR="00111CD9">
        <w:rPr>
          <w:sz w:val="24"/>
          <w:szCs w:val="24"/>
        </w:rPr>
        <w:t xml:space="preserve">Development </w:t>
      </w:r>
      <w:r w:rsidR="00111CD9" w:rsidRPr="00C15EF7">
        <w:rPr>
          <w:sz w:val="24"/>
          <w:szCs w:val="24"/>
        </w:rPr>
        <w:t xml:space="preserve">(the Department). </w:t>
      </w:r>
      <w:r w:rsidRPr="00CC6625">
        <w:rPr>
          <w:sz w:val="24"/>
          <w:szCs w:val="24"/>
        </w:rPr>
        <w:t xml:space="preserve">The signatory of this Determination is such a delegate under the </w:t>
      </w:r>
      <w:r w:rsidRPr="00011BD8">
        <w:rPr>
          <w:i/>
          <w:sz w:val="24"/>
          <w:szCs w:val="24"/>
        </w:rPr>
        <w:t>Christmas Island, Cocos (Keeling) Islands, and Jervis Bay Territory Delegation Instrument 2012</w:t>
      </w:r>
      <w:r>
        <w:rPr>
          <w:sz w:val="24"/>
          <w:szCs w:val="24"/>
        </w:rPr>
        <w:t xml:space="preserve"> </w:t>
      </w:r>
      <w:r w:rsidRPr="00011BD8">
        <w:rPr>
          <w:i/>
          <w:sz w:val="24"/>
          <w:szCs w:val="24"/>
        </w:rPr>
        <w:t>(No 2)</w:t>
      </w:r>
      <w:r w:rsidRPr="00CC6625">
        <w:rPr>
          <w:sz w:val="24"/>
          <w:szCs w:val="24"/>
        </w:rPr>
        <w:t xml:space="preserve"> dated </w:t>
      </w:r>
      <w:r>
        <w:rPr>
          <w:sz w:val="24"/>
          <w:szCs w:val="24"/>
        </w:rPr>
        <w:t>20 July 2012</w:t>
      </w:r>
      <w:r w:rsidRPr="00CC6625">
        <w:rPr>
          <w:sz w:val="24"/>
          <w:szCs w:val="24"/>
        </w:rPr>
        <w:t>.</w:t>
      </w:r>
    </w:p>
    <w:p w:rsidR="001E4748" w:rsidRPr="00A202E9" w:rsidRDefault="001E4748">
      <w:pPr>
        <w:rPr>
          <w:sz w:val="24"/>
          <w:szCs w:val="24"/>
        </w:rPr>
      </w:pPr>
    </w:p>
    <w:p w:rsidR="00170680" w:rsidRDefault="001E4748">
      <w:pPr>
        <w:rPr>
          <w:sz w:val="24"/>
          <w:szCs w:val="24"/>
        </w:rPr>
      </w:pPr>
      <w:r w:rsidRPr="00A202E9">
        <w:rPr>
          <w:sz w:val="24"/>
          <w:szCs w:val="24"/>
        </w:rPr>
        <w:t xml:space="preserve">The purpose of this Determination is to </w:t>
      </w:r>
      <w:r w:rsidR="00111851" w:rsidRPr="00A202E9">
        <w:rPr>
          <w:sz w:val="24"/>
          <w:szCs w:val="24"/>
        </w:rPr>
        <w:t xml:space="preserve">set the </w:t>
      </w:r>
      <w:r w:rsidR="0006481E" w:rsidRPr="00A202E9">
        <w:rPr>
          <w:sz w:val="24"/>
          <w:szCs w:val="24"/>
        </w:rPr>
        <w:t>electricity</w:t>
      </w:r>
      <w:r w:rsidR="00111851" w:rsidRPr="00A202E9">
        <w:rPr>
          <w:sz w:val="24"/>
          <w:szCs w:val="24"/>
        </w:rPr>
        <w:t xml:space="preserve"> fee</w:t>
      </w:r>
      <w:r w:rsidR="006B06C3">
        <w:rPr>
          <w:sz w:val="24"/>
          <w:szCs w:val="24"/>
        </w:rPr>
        <w:t>s</w:t>
      </w:r>
      <w:r w:rsidR="00111851" w:rsidRPr="00A202E9">
        <w:rPr>
          <w:sz w:val="24"/>
          <w:szCs w:val="24"/>
        </w:rPr>
        <w:t xml:space="preserve"> for the </w:t>
      </w:r>
      <w:bookmarkStart w:id="0" w:name="_GoBack"/>
      <w:bookmarkEnd w:id="0"/>
      <w:r w:rsidR="00111851" w:rsidRPr="00A202E9">
        <w:rPr>
          <w:sz w:val="24"/>
          <w:szCs w:val="24"/>
        </w:rPr>
        <w:t>Territory</w:t>
      </w:r>
      <w:r w:rsidR="002E25DC">
        <w:rPr>
          <w:sz w:val="24"/>
          <w:szCs w:val="24"/>
        </w:rPr>
        <w:t>.</w:t>
      </w:r>
    </w:p>
    <w:p w:rsidR="00170680" w:rsidRDefault="002E25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4748" w:rsidRPr="00A202E9" w:rsidRDefault="002E25DC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6E4FCD">
        <w:rPr>
          <w:sz w:val="24"/>
          <w:szCs w:val="24"/>
        </w:rPr>
        <w:t>se</w:t>
      </w:r>
      <w:r>
        <w:rPr>
          <w:sz w:val="24"/>
          <w:szCs w:val="24"/>
        </w:rPr>
        <w:t xml:space="preserve"> fees take into account </w:t>
      </w:r>
      <w:r w:rsidR="00586592">
        <w:rPr>
          <w:sz w:val="24"/>
          <w:szCs w:val="24"/>
        </w:rPr>
        <w:t xml:space="preserve">the </w:t>
      </w:r>
      <w:r w:rsidR="00AC1111">
        <w:rPr>
          <w:sz w:val="24"/>
        </w:rPr>
        <w:t xml:space="preserve">Australian </w:t>
      </w:r>
      <w:r w:rsidR="00AC1111" w:rsidRPr="00CC6625">
        <w:rPr>
          <w:sz w:val="24"/>
        </w:rPr>
        <w:t xml:space="preserve">Government policy </w:t>
      </w:r>
      <w:r w:rsidR="00AC1111">
        <w:rPr>
          <w:sz w:val="24"/>
        </w:rPr>
        <w:t xml:space="preserve">objective that </w:t>
      </w:r>
      <w:r w:rsidR="00AC1111" w:rsidRPr="00CC6625">
        <w:rPr>
          <w:sz w:val="24"/>
        </w:rPr>
        <w:t>T</w:t>
      </w:r>
      <w:r w:rsidR="00586592">
        <w:rPr>
          <w:sz w:val="24"/>
        </w:rPr>
        <w:t>erritory</w:t>
      </w:r>
      <w:r w:rsidR="00AC1111" w:rsidRPr="00CC6625">
        <w:t xml:space="preserve"> </w:t>
      </w:r>
      <w:r w:rsidR="00AC1111" w:rsidRPr="005E71AD">
        <w:rPr>
          <w:sz w:val="24"/>
          <w:szCs w:val="24"/>
        </w:rPr>
        <w:t>residents have access to services that are similar to those provided in equivalent state communities</w:t>
      </w:r>
      <w:r>
        <w:rPr>
          <w:sz w:val="24"/>
          <w:szCs w:val="24"/>
        </w:rPr>
        <w:t xml:space="preserve"> </w:t>
      </w:r>
      <w:r w:rsidR="00AC1111">
        <w:rPr>
          <w:sz w:val="24"/>
          <w:szCs w:val="24"/>
        </w:rPr>
        <w:t>and</w:t>
      </w:r>
      <w:r w:rsidR="006E4FCD">
        <w:rPr>
          <w:sz w:val="24"/>
          <w:szCs w:val="24"/>
        </w:rPr>
        <w:t xml:space="preserve"> are</w:t>
      </w:r>
      <w:r w:rsidR="003E14F2">
        <w:rPr>
          <w:sz w:val="24"/>
          <w:szCs w:val="24"/>
        </w:rPr>
        <w:t xml:space="preserve"> based on </w:t>
      </w:r>
      <w:r w:rsidR="00E87B05">
        <w:rPr>
          <w:sz w:val="24"/>
          <w:szCs w:val="24"/>
        </w:rPr>
        <w:t xml:space="preserve">general parity with </w:t>
      </w:r>
      <w:r w:rsidR="006B06C3">
        <w:rPr>
          <w:sz w:val="24"/>
          <w:szCs w:val="24"/>
        </w:rPr>
        <w:t xml:space="preserve">those charged by </w:t>
      </w:r>
      <w:r w:rsidR="00BF5EAD">
        <w:rPr>
          <w:sz w:val="24"/>
          <w:szCs w:val="24"/>
        </w:rPr>
        <w:t xml:space="preserve">electricity </w:t>
      </w:r>
      <w:r w:rsidR="001F0BF0">
        <w:rPr>
          <w:sz w:val="24"/>
          <w:szCs w:val="24"/>
        </w:rPr>
        <w:t xml:space="preserve">retailers </w:t>
      </w:r>
      <w:r w:rsidR="00E87B05">
        <w:rPr>
          <w:sz w:val="24"/>
          <w:szCs w:val="24"/>
        </w:rPr>
        <w:t xml:space="preserve">in the surrounding region </w:t>
      </w:r>
      <w:r w:rsidR="006B06C3">
        <w:rPr>
          <w:sz w:val="24"/>
          <w:szCs w:val="24"/>
        </w:rPr>
        <w:t xml:space="preserve">as approved by state and national regulators, </w:t>
      </w:r>
      <w:r w:rsidR="00E87B05">
        <w:rPr>
          <w:sz w:val="24"/>
          <w:szCs w:val="24"/>
        </w:rPr>
        <w:t>and recovery of some of the costs</w:t>
      </w:r>
      <w:r w:rsidR="003E14F2">
        <w:rPr>
          <w:sz w:val="24"/>
          <w:szCs w:val="24"/>
        </w:rPr>
        <w:t xml:space="preserve"> of electricity</w:t>
      </w:r>
      <w:r w:rsidR="005C6A8B">
        <w:rPr>
          <w:sz w:val="24"/>
          <w:szCs w:val="24"/>
        </w:rPr>
        <w:t xml:space="preserve"> </w:t>
      </w:r>
      <w:r w:rsidR="00852BBE">
        <w:rPr>
          <w:sz w:val="24"/>
          <w:szCs w:val="24"/>
        </w:rPr>
        <w:t xml:space="preserve">provision. </w:t>
      </w:r>
      <w:r w:rsidR="00BF5EAD">
        <w:rPr>
          <w:sz w:val="24"/>
          <w:szCs w:val="24"/>
        </w:rPr>
        <w:t>T</w:t>
      </w:r>
      <w:r w:rsidR="00852BBE">
        <w:rPr>
          <w:sz w:val="24"/>
          <w:szCs w:val="24"/>
        </w:rPr>
        <w:t>he Territory does not have an economy of scale</w:t>
      </w:r>
      <w:r w:rsidR="00455D97">
        <w:rPr>
          <w:sz w:val="24"/>
          <w:szCs w:val="24"/>
        </w:rPr>
        <w:t xml:space="preserve"> to </w:t>
      </w:r>
      <w:r w:rsidR="001F0BF0">
        <w:rPr>
          <w:sz w:val="24"/>
          <w:szCs w:val="24"/>
        </w:rPr>
        <w:t xml:space="preserve">enable </w:t>
      </w:r>
      <w:r w:rsidR="00BF5EAD">
        <w:rPr>
          <w:sz w:val="24"/>
          <w:szCs w:val="24"/>
        </w:rPr>
        <w:t>full recover</w:t>
      </w:r>
      <w:r w:rsidR="001F0BF0">
        <w:rPr>
          <w:sz w:val="24"/>
          <w:szCs w:val="24"/>
        </w:rPr>
        <w:t>y</w:t>
      </w:r>
      <w:r w:rsidR="00BF5EAD">
        <w:rPr>
          <w:sz w:val="24"/>
          <w:szCs w:val="24"/>
        </w:rPr>
        <w:t xml:space="preserve"> </w:t>
      </w:r>
      <w:r w:rsidR="005A1308">
        <w:rPr>
          <w:sz w:val="24"/>
          <w:szCs w:val="24"/>
        </w:rPr>
        <w:t xml:space="preserve">of </w:t>
      </w:r>
      <w:r w:rsidR="00BF5EAD">
        <w:rPr>
          <w:sz w:val="24"/>
          <w:szCs w:val="24"/>
        </w:rPr>
        <w:t>all the costs related to the provision of electricity</w:t>
      </w:r>
      <w:r w:rsidR="0006481E" w:rsidRPr="00A202E9">
        <w:rPr>
          <w:sz w:val="24"/>
          <w:szCs w:val="24"/>
        </w:rPr>
        <w:t>.</w:t>
      </w:r>
    </w:p>
    <w:p w:rsidR="006820DF" w:rsidRDefault="006820DF">
      <w:pPr>
        <w:rPr>
          <w:sz w:val="24"/>
          <w:szCs w:val="24"/>
        </w:rPr>
      </w:pPr>
    </w:p>
    <w:p w:rsidR="00A202E9" w:rsidRPr="00A202E9" w:rsidRDefault="00A202E9">
      <w:pPr>
        <w:rPr>
          <w:b/>
          <w:sz w:val="24"/>
          <w:szCs w:val="24"/>
        </w:rPr>
      </w:pPr>
      <w:r w:rsidRPr="00A202E9">
        <w:rPr>
          <w:b/>
          <w:sz w:val="24"/>
          <w:szCs w:val="24"/>
        </w:rPr>
        <w:t>Consultation</w:t>
      </w:r>
    </w:p>
    <w:p w:rsidR="007361A7" w:rsidRDefault="007361A7">
      <w:pPr>
        <w:rPr>
          <w:sz w:val="24"/>
          <w:szCs w:val="24"/>
        </w:rPr>
      </w:pPr>
      <w:bookmarkStart w:id="1" w:name="OLE_LINK1"/>
      <w:bookmarkStart w:id="2" w:name="OLE_LINK2"/>
    </w:p>
    <w:p w:rsidR="006A1800" w:rsidRDefault="00F54E55">
      <w:pPr>
        <w:rPr>
          <w:sz w:val="24"/>
          <w:szCs w:val="24"/>
        </w:rPr>
      </w:pPr>
      <w:r>
        <w:rPr>
          <w:sz w:val="24"/>
          <w:szCs w:val="24"/>
        </w:rPr>
        <w:t xml:space="preserve">The Department published </w:t>
      </w:r>
      <w:r w:rsidR="00B41125">
        <w:rPr>
          <w:sz w:val="24"/>
          <w:szCs w:val="24"/>
        </w:rPr>
        <w:t>a</w:t>
      </w:r>
      <w:r w:rsidR="006E4FCD">
        <w:rPr>
          <w:sz w:val="24"/>
          <w:szCs w:val="24"/>
        </w:rPr>
        <w:t xml:space="preserve"> Jervis Bay Territory</w:t>
      </w:r>
      <w:r>
        <w:rPr>
          <w:sz w:val="24"/>
          <w:szCs w:val="24"/>
        </w:rPr>
        <w:t xml:space="preserve"> </w:t>
      </w:r>
      <w:r w:rsidR="006E4FCD">
        <w:rPr>
          <w:sz w:val="24"/>
          <w:szCs w:val="24"/>
        </w:rPr>
        <w:t>C</w:t>
      </w:r>
      <w:r>
        <w:rPr>
          <w:sz w:val="24"/>
          <w:szCs w:val="24"/>
        </w:rPr>
        <w:t xml:space="preserve">ommunity </w:t>
      </w:r>
      <w:r w:rsidR="006E4FCD">
        <w:rPr>
          <w:sz w:val="24"/>
          <w:szCs w:val="24"/>
        </w:rPr>
        <w:t>B</w:t>
      </w:r>
      <w:r>
        <w:rPr>
          <w:sz w:val="24"/>
          <w:szCs w:val="24"/>
        </w:rPr>
        <w:t>ulletin</w:t>
      </w:r>
      <w:r w:rsidR="00FC627A">
        <w:rPr>
          <w:sz w:val="24"/>
          <w:szCs w:val="24"/>
        </w:rPr>
        <w:t xml:space="preserve"> </w:t>
      </w:r>
      <w:r w:rsidR="00B41125">
        <w:rPr>
          <w:sz w:val="24"/>
          <w:szCs w:val="24"/>
        </w:rPr>
        <w:t>(Bulletin), which was placed on</w:t>
      </w:r>
      <w:r w:rsidR="005A1308">
        <w:rPr>
          <w:sz w:val="24"/>
          <w:szCs w:val="24"/>
        </w:rPr>
        <w:t xml:space="preserve"> </w:t>
      </w:r>
      <w:r w:rsidR="00FC627A">
        <w:rPr>
          <w:sz w:val="24"/>
          <w:szCs w:val="24"/>
        </w:rPr>
        <w:t>the Department’s Internet</w:t>
      </w:r>
      <w:r w:rsidR="00B41125">
        <w:rPr>
          <w:sz w:val="24"/>
          <w:szCs w:val="24"/>
        </w:rPr>
        <w:t xml:space="preserve"> and posted to electricity account holders in the Territory. The Bulletin</w:t>
      </w:r>
      <w:r>
        <w:rPr>
          <w:sz w:val="24"/>
          <w:szCs w:val="24"/>
        </w:rPr>
        <w:t xml:space="preserve"> </w:t>
      </w:r>
      <w:r w:rsidR="00150F31">
        <w:rPr>
          <w:sz w:val="24"/>
          <w:szCs w:val="24"/>
        </w:rPr>
        <w:t>invit</w:t>
      </w:r>
      <w:r w:rsidR="00B41125">
        <w:rPr>
          <w:sz w:val="24"/>
          <w:szCs w:val="24"/>
        </w:rPr>
        <w:t>ed</w:t>
      </w:r>
      <w:r w:rsidR="00150F31">
        <w:rPr>
          <w:sz w:val="24"/>
          <w:szCs w:val="24"/>
        </w:rPr>
        <w:t xml:space="preserve"> comment on the propos</w:t>
      </w:r>
      <w:r w:rsidR="00B41125">
        <w:rPr>
          <w:sz w:val="24"/>
          <w:szCs w:val="24"/>
        </w:rPr>
        <w:t xml:space="preserve">ed </w:t>
      </w:r>
      <w:r w:rsidR="00B41125" w:rsidRPr="00B41125">
        <w:rPr>
          <w:i/>
          <w:sz w:val="24"/>
          <w:szCs w:val="24"/>
        </w:rPr>
        <w:t>Electricity Supply Fees Determination 201</w:t>
      </w:r>
      <w:r w:rsidR="00170680">
        <w:rPr>
          <w:i/>
          <w:sz w:val="24"/>
          <w:szCs w:val="24"/>
        </w:rPr>
        <w:t>4</w:t>
      </w:r>
      <w:r w:rsidR="00B41125" w:rsidRPr="00B41125">
        <w:rPr>
          <w:i/>
          <w:sz w:val="24"/>
          <w:szCs w:val="24"/>
        </w:rPr>
        <w:t xml:space="preserve"> (Jervis Bay Territory)</w:t>
      </w:r>
      <w:r w:rsidR="00B41125">
        <w:rPr>
          <w:i/>
          <w:sz w:val="24"/>
          <w:szCs w:val="24"/>
        </w:rPr>
        <w:t>.</w:t>
      </w:r>
    </w:p>
    <w:p w:rsidR="00150F31" w:rsidRDefault="00150F31">
      <w:pPr>
        <w:rPr>
          <w:sz w:val="24"/>
          <w:szCs w:val="24"/>
        </w:rPr>
      </w:pPr>
    </w:p>
    <w:p w:rsidR="00150F31" w:rsidRPr="00805043" w:rsidRDefault="00805043">
      <w:pPr>
        <w:rPr>
          <w:sz w:val="24"/>
          <w:szCs w:val="24"/>
        </w:rPr>
      </w:pPr>
      <w:r w:rsidRPr="00805043">
        <w:rPr>
          <w:sz w:val="24"/>
          <w:szCs w:val="24"/>
        </w:rPr>
        <w:t>No submissions w</w:t>
      </w:r>
      <w:r w:rsidR="00254E5B">
        <w:rPr>
          <w:sz w:val="24"/>
          <w:szCs w:val="24"/>
        </w:rPr>
        <w:t>ere received in response to the B</w:t>
      </w:r>
      <w:r w:rsidRPr="00805043">
        <w:rPr>
          <w:sz w:val="24"/>
          <w:szCs w:val="24"/>
        </w:rPr>
        <w:t>ulletin.</w:t>
      </w:r>
    </w:p>
    <w:p w:rsidR="00F630AB" w:rsidRDefault="00F630AB">
      <w:pPr>
        <w:rPr>
          <w:sz w:val="24"/>
          <w:szCs w:val="24"/>
        </w:rPr>
      </w:pPr>
    </w:p>
    <w:p w:rsidR="00F630AB" w:rsidRDefault="00F630AB" w:rsidP="00F630AB">
      <w:pPr>
        <w:rPr>
          <w:b/>
          <w:sz w:val="24"/>
          <w:szCs w:val="24"/>
        </w:rPr>
      </w:pPr>
      <w:r w:rsidRPr="007453EA">
        <w:rPr>
          <w:b/>
          <w:sz w:val="24"/>
          <w:szCs w:val="24"/>
        </w:rPr>
        <w:t>Compatibility with Human Rights</w:t>
      </w:r>
    </w:p>
    <w:p w:rsidR="007361A7" w:rsidRDefault="007361A7" w:rsidP="00111CD9">
      <w:pPr>
        <w:rPr>
          <w:sz w:val="24"/>
          <w:szCs w:val="24"/>
        </w:rPr>
      </w:pPr>
    </w:p>
    <w:p w:rsidR="00111CD9" w:rsidRPr="00111CD9" w:rsidRDefault="00111CD9" w:rsidP="00111CD9">
      <w:pPr>
        <w:rPr>
          <w:sz w:val="24"/>
          <w:szCs w:val="24"/>
        </w:rPr>
      </w:pPr>
      <w:r w:rsidRPr="00111CD9">
        <w:rPr>
          <w:sz w:val="24"/>
          <w:szCs w:val="24"/>
        </w:rPr>
        <w:t>This Determination, a Legislative Instrument, is compatible with the human rights and freedoms recognised or declared in the international instruments listed in section 3 of the Human Rights (Parliamentary Scrutiny) Act 2011.</w:t>
      </w:r>
    </w:p>
    <w:p w:rsidR="00111CD9" w:rsidRPr="00111CD9" w:rsidRDefault="00111CD9" w:rsidP="00111CD9">
      <w:pPr>
        <w:rPr>
          <w:sz w:val="24"/>
          <w:szCs w:val="24"/>
        </w:rPr>
      </w:pPr>
    </w:p>
    <w:p w:rsidR="00A202E9" w:rsidRPr="00A202E9" w:rsidRDefault="00111CD9">
      <w:pPr>
        <w:rPr>
          <w:sz w:val="24"/>
          <w:szCs w:val="24"/>
        </w:rPr>
      </w:pPr>
      <w:r w:rsidRPr="00111CD9">
        <w:rPr>
          <w:sz w:val="24"/>
          <w:szCs w:val="24"/>
        </w:rPr>
        <w:t>This Legislative Instrument does not engage any of the applicable rights or freedoms. This Legislative Instrument is compatible with human rights as it does not raise any human rights issues.</w:t>
      </w:r>
      <w:bookmarkEnd w:id="1"/>
      <w:bookmarkEnd w:id="2"/>
      <w:r w:rsidR="00A202E9" w:rsidRPr="00A202E9">
        <w:rPr>
          <w:sz w:val="24"/>
          <w:szCs w:val="24"/>
        </w:rPr>
        <w:br w:type="page"/>
      </w:r>
    </w:p>
    <w:p w:rsidR="00A202E9" w:rsidRPr="00A202E9" w:rsidRDefault="00A202E9">
      <w:pPr>
        <w:rPr>
          <w:b/>
          <w:sz w:val="24"/>
          <w:szCs w:val="24"/>
        </w:rPr>
      </w:pPr>
      <w:r w:rsidRPr="00A202E9">
        <w:rPr>
          <w:b/>
          <w:sz w:val="24"/>
          <w:szCs w:val="24"/>
        </w:rPr>
        <w:t xml:space="preserve">DETAILS OF THE ELECTRICITY </w:t>
      </w:r>
      <w:r w:rsidR="001C07E0">
        <w:rPr>
          <w:b/>
          <w:sz w:val="24"/>
          <w:szCs w:val="24"/>
        </w:rPr>
        <w:t xml:space="preserve">SUPPLY </w:t>
      </w:r>
      <w:r w:rsidRPr="00A202E9">
        <w:rPr>
          <w:b/>
          <w:sz w:val="24"/>
          <w:szCs w:val="24"/>
        </w:rPr>
        <w:t>FEE</w:t>
      </w:r>
      <w:r w:rsidR="001C07E0">
        <w:rPr>
          <w:b/>
          <w:sz w:val="24"/>
          <w:szCs w:val="24"/>
        </w:rPr>
        <w:t>S</w:t>
      </w:r>
      <w:r w:rsidRPr="00A202E9">
        <w:rPr>
          <w:b/>
          <w:sz w:val="24"/>
          <w:szCs w:val="24"/>
        </w:rPr>
        <w:t xml:space="preserve"> DETERMINATION 20</w:t>
      </w:r>
      <w:r w:rsidR="00736939">
        <w:rPr>
          <w:b/>
          <w:sz w:val="24"/>
          <w:szCs w:val="24"/>
        </w:rPr>
        <w:t>1</w:t>
      </w:r>
      <w:r w:rsidR="00170680">
        <w:rPr>
          <w:b/>
          <w:sz w:val="24"/>
          <w:szCs w:val="24"/>
        </w:rPr>
        <w:t>4</w:t>
      </w:r>
      <w:r w:rsidRPr="00A202E9">
        <w:rPr>
          <w:b/>
          <w:sz w:val="24"/>
          <w:szCs w:val="24"/>
        </w:rPr>
        <w:t xml:space="preserve"> </w:t>
      </w:r>
    </w:p>
    <w:p w:rsidR="00A202E9" w:rsidRPr="00A202E9" w:rsidRDefault="00A202E9">
      <w:pPr>
        <w:rPr>
          <w:b/>
          <w:sz w:val="24"/>
          <w:szCs w:val="24"/>
        </w:rPr>
      </w:pPr>
      <w:r w:rsidRPr="00A202E9">
        <w:rPr>
          <w:b/>
          <w:sz w:val="24"/>
          <w:szCs w:val="24"/>
        </w:rPr>
        <w:t>(</w:t>
      </w:r>
      <w:smartTag w:uri="urn:schemas-microsoft-com:office:smarttags" w:element="place">
        <w:smartTag w:uri="urn:schemas-microsoft-com:office:smarttags" w:element="PlaceName">
          <w:r w:rsidRPr="00A202E9">
            <w:rPr>
              <w:b/>
              <w:sz w:val="24"/>
              <w:szCs w:val="24"/>
            </w:rPr>
            <w:t>JERVIS</w:t>
          </w:r>
        </w:smartTag>
        <w:r w:rsidRPr="00A202E9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A202E9">
            <w:rPr>
              <w:b/>
              <w:sz w:val="24"/>
              <w:szCs w:val="24"/>
            </w:rPr>
            <w:t>BAY</w:t>
          </w:r>
        </w:smartTag>
        <w:r w:rsidRPr="00A202E9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A202E9">
            <w:rPr>
              <w:b/>
              <w:sz w:val="24"/>
              <w:szCs w:val="24"/>
            </w:rPr>
            <w:t>TERRITORY</w:t>
          </w:r>
        </w:smartTag>
      </w:smartTag>
      <w:r w:rsidRPr="00A202E9">
        <w:rPr>
          <w:b/>
          <w:sz w:val="24"/>
          <w:szCs w:val="24"/>
        </w:rPr>
        <w:t>)</w:t>
      </w:r>
    </w:p>
    <w:p w:rsidR="00A202E9" w:rsidRPr="00502C49" w:rsidRDefault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>Details of the Determination are as follows:</w:t>
      </w:r>
    </w:p>
    <w:p w:rsidR="00A202E9" w:rsidRPr="00502C49" w:rsidRDefault="00A202E9" w:rsidP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Section 1 </w:t>
      </w:r>
      <w:r w:rsidR="00170680">
        <w:rPr>
          <w:sz w:val="24"/>
          <w:szCs w:val="24"/>
        </w:rPr>
        <w:t>titles</w:t>
      </w:r>
      <w:r w:rsidRPr="00502C49">
        <w:rPr>
          <w:sz w:val="24"/>
          <w:szCs w:val="24"/>
        </w:rPr>
        <w:t xml:space="preserve"> the Determination.</w:t>
      </w:r>
    </w:p>
    <w:p w:rsidR="00A202E9" w:rsidRPr="00502C49" w:rsidRDefault="00A202E9" w:rsidP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Section 2 provides the </w:t>
      </w:r>
      <w:r w:rsidR="00170680">
        <w:rPr>
          <w:sz w:val="24"/>
          <w:szCs w:val="24"/>
        </w:rPr>
        <w:t xml:space="preserve">date on which the </w:t>
      </w:r>
      <w:r w:rsidRPr="00502C49">
        <w:rPr>
          <w:sz w:val="24"/>
          <w:szCs w:val="24"/>
        </w:rPr>
        <w:t>Determination commences.</w:t>
      </w:r>
    </w:p>
    <w:p w:rsidR="00A202E9" w:rsidRPr="00502C49" w:rsidRDefault="00A202E9" w:rsidP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Section 3 provides for the revocation of </w:t>
      </w:r>
      <w:r w:rsidR="007426AD" w:rsidRPr="00502C49">
        <w:rPr>
          <w:sz w:val="24"/>
          <w:szCs w:val="24"/>
        </w:rPr>
        <w:t xml:space="preserve">the </w:t>
      </w:r>
      <w:r w:rsidRPr="00502C49">
        <w:rPr>
          <w:sz w:val="24"/>
          <w:szCs w:val="24"/>
        </w:rPr>
        <w:t xml:space="preserve">previous Electricity </w:t>
      </w:r>
      <w:r w:rsidR="007426AD" w:rsidRPr="00502C49">
        <w:rPr>
          <w:sz w:val="24"/>
          <w:szCs w:val="24"/>
        </w:rPr>
        <w:t xml:space="preserve">Supply </w:t>
      </w:r>
      <w:r w:rsidRPr="00502C49">
        <w:rPr>
          <w:sz w:val="24"/>
          <w:szCs w:val="24"/>
        </w:rPr>
        <w:t>Fee Determination.</w:t>
      </w:r>
    </w:p>
    <w:p w:rsidR="00A202E9" w:rsidRPr="00502C49" w:rsidRDefault="00A202E9" w:rsidP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Section 4 </w:t>
      </w:r>
      <w:r w:rsidR="003221B1" w:rsidRPr="00502C49">
        <w:rPr>
          <w:sz w:val="24"/>
          <w:szCs w:val="24"/>
        </w:rPr>
        <w:t xml:space="preserve">defines </w:t>
      </w:r>
      <w:r w:rsidRPr="00502C49">
        <w:rPr>
          <w:sz w:val="24"/>
          <w:szCs w:val="24"/>
        </w:rPr>
        <w:t xml:space="preserve">the </w:t>
      </w:r>
      <w:r w:rsidR="003221B1" w:rsidRPr="00502C49">
        <w:rPr>
          <w:sz w:val="24"/>
          <w:szCs w:val="24"/>
        </w:rPr>
        <w:t xml:space="preserve">terms used in the </w:t>
      </w:r>
      <w:r w:rsidRPr="00502C49">
        <w:rPr>
          <w:sz w:val="24"/>
          <w:szCs w:val="24"/>
        </w:rPr>
        <w:t>Determination.</w:t>
      </w:r>
    </w:p>
    <w:p w:rsidR="00A202E9" w:rsidRPr="00502C49" w:rsidRDefault="00A202E9" w:rsidP="00A202E9">
      <w:pPr>
        <w:rPr>
          <w:sz w:val="24"/>
          <w:szCs w:val="24"/>
        </w:rPr>
      </w:pPr>
    </w:p>
    <w:p w:rsidR="00396A0F" w:rsidRPr="00502C49" w:rsidRDefault="00A202E9" w:rsidP="003221B1">
      <w:pPr>
        <w:rPr>
          <w:sz w:val="24"/>
          <w:szCs w:val="24"/>
        </w:rPr>
      </w:pPr>
      <w:r w:rsidRPr="00502C49">
        <w:rPr>
          <w:sz w:val="24"/>
          <w:szCs w:val="24"/>
        </w:rPr>
        <w:t>S</w:t>
      </w:r>
      <w:r w:rsidR="00446B68" w:rsidRPr="00502C49">
        <w:rPr>
          <w:sz w:val="24"/>
          <w:szCs w:val="24"/>
        </w:rPr>
        <w:t>ubs</w:t>
      </w:r>
      <w:r w:rsidRPr="00502C49">
        <w:rPr>
          <w:sz w:val="24"/>
          <w:szCs w:val="24"/>
        </w:rPr>
        <w:t xml:space="preserve">ection </w:t>
      </w:r>
      <w:r w:rsidR="007426AD" w:rsidRPr="00502C49">
        <w:rPr>
          <w:sz w:val="24"/>
          <w:szCs w:val="24"/>
        </w:rPr>
        <w:t>5</w:t>
      </w:r>
      <w:r w:rsidR="00446B68" w:rsidRPr="00502C49">
        <w:rPr>
          <w:sz w:val="24"/>
          <w:szCs w:val="24"/>
        </w:rPr>
        <w:t>.1</w:t>
      </w:r>
      <w:r w:rsidR="00FF3F64" w:rsidRPr="00502C49">
        <w:rPr>
          <w:sz w:val="24"/>
          <w:szCs w:val="24"/>
        </w:rPr>
        <w:t xml:space="preserve"> </w:t>
      </w:r>
      <w:r w:rsidR="006B23C0" w:rsidRPr="00502C49">
        <w:rPr>
          <w:sz w:val="24"/>
          <w:szCs w:val="24"/>
        </w:rPr>
        <w:t xml:space="preserve">provides that Schedule 1 determines fees for the supply of </w:t>
      </w:r>
      <w:r w:rsidR="00FF3F64" w:rsidRPr="00502C49">
        <w:rPr>
          <w:sz w:val="24"/>
          <w:szCs w:val="24"/>
        </w:rPr>
        <w:t>electric</w:t>
      </w:r>
      <w:r w:rsidR="00446B68" w:rsidRPr="00502C49">
        <w:rPr>
          <w:sz w:val="24"/>
          <w:szCs w:val="24"/>
        </w:rPr>
        <w:t>i</w:t>
      </w:r>
      <w:r w:rsidR="00FF3F64" w:rsidRPr="00502C49">
        <w:rPr>
          <w:sz w:val="24"/>
          <w:szCs w:val="24"/>
        </w:rPr>
        <w:t>ty</w:t>
      </w:r>
      <w:r w:rsidRPr="00502C49">
        <w:rPr>
          <w:sz w:val="24"/>
          <w:szCs w:val="24"/>
        </w:rPr>
        <w:t>.</w:t>
      </w:r>
      <w:r w:rsidR="00B5310F" w:rsidRPr="00502C49">
        <w:rPr>
          <w:sz w:val="24"/>
          <w:szCs w:val="24"/>
        </w:rPr>
        <w:t xml:space="preserve"> The following outlines </w:t>
      </w:r>
      <w:r w:rsidR="00502C49" w:rsidRPr="00502C49">
        <w:rPr>
          <w:sz w:val="24"/>
          <w:szCs w:val="24"/>
        </w:rPr>
        <w:t>how</w:t>
      </w:r>
      <w:r w:rsidR="00B5310F" w:rsidRPr="00502C49">
        <w:rPr>
          <w:sz w:val="24"/>
          <w:szCs w:val="24"/>
        </w:rPr>
        <w:t xml:space="preserve"> these fees are set:</w:t>
      </w:r>
    </w:p>
    <w:p w:rsidR="00396A0F" w:rsidRPr="00502C49" w:rsidRDefault="00446B68" w:rsidP="00B5310F">
      <w:pPr>
        <w:numPr>
          <w:ilvl w:val="0"/>
          <w:numId w:val="5"/>
        </w:numPr>
        <w:ind w:left="567" w:hanging="567"/>
        <w:rPr>
          <w:sz w:val="24"/>
          <w:szCs w:val="24"/>
        </w:rPr>
      </w:pPr>
      <w:r w:rsidRPr="00502C49">
        <w:rPr>
          <w:sz w:val="24"/>
          <w:szCs w:val="24"/>
        </w:rPr>
        <w:t>Domestic</w:t>
      </w:r>
      <w:r w:rsidR="00041DD1">
        <w:rPr>
          <w:sz w:val="24"/>
          <w:szCs w:val="24"/>
        </w:rPr>
        <w:t xml:space="preserve"> fees, </w:t>
      </w:r>
      <w:r w:rsidRPr="00502C49">
        <w:rPr>
          <w:sz w:val="24"/>
          <w:szCs w:val="24"/>
        </w:rPr>
        <w:t xml:space="preserve">General </w:t>
      </w:r>
      <w:r w:rsidR="00041DD1">
        <w:rPr>
          <w:sz w:val="24"/>
          <w:szCs w:val="24"/>
        </w:rPr>
        <w:t>S</w:t>
      </w:r>
      <w:r w:rsidRPr="00502C49">
        <w:rPr>
          <w:sz w:val="24"/>
          <w:szCs w:val="24"/>
        </w:rPr>
        <w:t xml:space="preserve">upply fees </w:t>
      </w:r>
      <w:r w:rsidR="00041DD1">
        <w:rPr>
          <w:sz w:val="24"/>
          <w:szCs w:val="24"/>
        </w:rPr>
        <w:t xml:space="preserve">and domestic customer rebates </w:t>
      </w:r>
      <w:r w:rsidRPr="00502C49">
        <w:rPr>
          <w:sz w:val="24"/>
          <w:szCs w:val="24"/>
        </w:rPr>
        <w:t xml:space="preserve">are based on equivalent </w:t>
      </w:r>
      <w:r w:rsidR="003032B1" w:rsidRPr="00502C49">
        <w:rPr>
          <w:sz w:val="24"/>
          <w:szCs w:val="24"/>
        </w:rPr>
        <w:t>electricity supply charges</w:t>
      </w:r>
      <w:r w:rsidR="00957F5C" w:rsidRPr="00502C49">
        <w:rPr>
          <w:sz w:val="24"/>
          <w:szCs w:val="24"/>
        </w:rPr>
        <w:t xml:space="preserve"> </w:t>
      </w:r>
      <w:r w:rsidR="00041DD1">
        <w:rPr>
          <w:sz w:val="24"/>
          <w:szCs w:val="24"/>
        </w:rPr>
        <w:t xml:space="preserve">and rebates </w:t>
      </w:r>
      <w:r w:rsidR="00957F5C" w:rsidRPr="00502C49">
        <w:rPr>
          <w:sz w:val="24"/>
          <w:szCs w:val="24"/>
        </w:rPr>
        <w:t xml:space="preserve">in the surrounding NSW </w:t>
      </w:r>
      <w:r w:rsidRPr="00502C49">
        <w:rPr>
          <w:sz w:val="24"/>
          <w:szCs w:val="24"/>
        </w:rPr>
        <w:t>region</w:t>
      </w:r>
      <w:r w:rsidR="00D77AD3">
        <w:rPr>
          <w:sz w:val="24"/>
          <w:szCs w:val="24"/>
        </w:rPr>
        <w:t xml:space="preserve"> as at </w:t>
      </w:r>
      <w:r w:rsidR="001710CD">
        <w:rPr>
          <w:sz w:val="24"/>
          <w:szCs w:val="24"/>
        </w:rPr>
        <w:t>February</w:t>
      </w:r>
      <w:r w:rsidR="00B36F37">
        <w:rPr>
          <w:sz w:val="24"/>
          <w:szCs w:val="24"/>
        </w:rPr>
        <w:t xml:space="preserve"> </w:t>
      </w:r>
      <w:r w:rsidR="00D77AD3">
        <w:rPr>
          <w:sz w:val="24"/>
          <w:szCs w:val="24"/>
        </w:rPr>
        <w:t>201</w:t>
      </w:r>
      <w:r w:rsidR="001710CD">
        <w:rPr>
          <w:sz w:val="24"/>
          <w:szCs w:val="24"/>
        </w:rPr>
        <w:t>4</w:t>
      </w:r>
      <w:r w:rsidRPr="00502C49">
        <w:rPr>
          <w:sz w:val="24"/>
          <w:szCs w:val="24"/>
        </w:rPr>
        <w:t xml:space="preserve">. </w:t>
      </w:r>
      <w:r w:rsidR="00957F5C" w:rsidRPr="00502C49">
        <w:rPr>
          <w:sz w:val="24"/>
          <w:szCs w:val="24"/>
        </w:rPr>
        <w:t xml:space="preserve">NSW electricity supply charges are determined by the </w:t>
      </w:r>
      <w:r w:rsidR="00243BA5">
        <w:rPr>
          <w:sz w:val="24"/>
          <w:szCs w:val="24"/>
        </w:rPr>
        <w:t xml:space="preserve">NSW </w:t>
      </w:r>
      <w:r w:rsidR="00957F5C" w:rsidRPr="00502C49">
        <w:rPr>
          <w:sz w:val="24"/>
          <w:szCs w:val="24"/>
        </w:rPr>
        <w:t>Independent Pricing and Regulatory Tribunal</w:t>
      </w:r>
      <w:r w:rsidR="00396A0F" w:rsidRPr="00502C49">
        <w:rPr>
          <w:sz w:val="24"/>
          <w:szCs w:val="24"/>
        </w:rPr>
        <w:t xml:space="preserve"> (IPART) and the Australian Energy Regulator.</w:t>
      </w:r>
    </w:p>
    <w:p w:rsidR="00B5310F" w:rsidRPr="00502C49" w:rsidRDefault="00446B68" w:rsidP="00B5310F">
      <w:pPr>
        <w:numPr>
          <w:ilvl w:val="0"/>
          <w:numId w:val="5"/>
        </w:numPr>
        <w:ind w:left="567" w:hanging="567"/>
        <w:rPr>
          <w:sz w:val="24"/>
          <w:szCs w:val="24"/>
        </w:rPr>
      </w:pPr>
      <w:r w:rsidRPr="00502C49">
        <w:rPr>
          <w:sz w:val="24"/>
          <w:szCs w:val="24"/>
        </w:rPr>
        <w:t>The L</w:t>
      </w:r>
      <w:r w:rsidR="00396A0F" w:rsidRPr="00502C49">
        <w:rPr>
          <w:sz w:val="24"/>
          <w:szCs w:val="24"/>
        </w:rPr>
        <w:t xml:space="preserve">arge Low </w:t>
      </w:r>
      <w:r w:rsidRPr="00502C49">
        <w:rPr>
          <w:sz w:val="24"/>
          <w:szCs w:val="24"/>
        </w:rPr>
        <w:t>V</w:t>
      </w:r>
      <w:r w:rsidR="00396A0F" w:rsidRPr="00502C49">
        <w:rPr>
          <w:sz w:val="24"/>
          <w:szCs w:val="24"/>
        </w:rPr>
        <w:t>oltage (LV)</w:t>
      </w:r>
      <w:r w:rsidRPr="00502C49">
        <w:rPr>
          <w:sz w:val="24"/>
          <w:szCs w:val="24"/>
        </w:rPr>
        <w:t xml:space="preserve"> industrial and 11kV time-of-use dem</w:t>
      </w:r>
      <w:r w:rsidR="003032B1" w:rsidRPr="00502C49">
        <w:rPr>
          <w:sz w:val="24"/>
          <w:szCs w:val="24"/>
        </w:rPr>
        <w:t xml:space="preserve">and supply </w:t>
      </w:r>
      <w:r w:rsidR="0028762D" w:rsidRPr="00502C49">
        <w:rPr>
          <w:sz w:val="24"/>
          <w:szCs w:val="24"/>
        </w:rPr>
        <w:t xml:space="preserve">fees </w:t>
      </w:r>
      <w:r w:rsidR="003032B1" w:rsidRPr="00502C49">
        <w:rPr>
          <w:sz w:val="24"/>
          <w:szCs w:val="24"/>
        </w:rPr>
        <w:t>are calculated o</w:t>
      </w:r>
      <w:r w:rsidR="0028762D" w:rsidRPr="00502C49">
        <w:rPr>
          <w:sz w:val="24"/>
          <w:szCs w:val="24"/>
        </w:rPr>
        <w:t>n</w:t>
      </w:r>
      <w:r w:rsidR="003032B1" w:rsidRPr="00502C49">
        <w:rPr>
          <w:sz w:val="24"/>
          <w:szCs w:val="24"/>
        </w:rPr>
        <w:t xml:space="preserve"> </w:t>
      </w:r>
      <w:r w:rsidR="00396A0F" w:rsidRPr="00502C49">
        <w:rPr>
          <w:sz w:val="24"/>
          <w:szCs w:val="24"/>
        </w:rPr>
        <w:t xml:space="preserve">the Department’s </w:t>
      </w:r>
      <w:r w:rsidR="00B5310F" w:rsidRPr="00502C49">
        <w:rPr>
          <w:sz w:val="24"/>
          <w:szCs w:val="24"/>
        </w:rPr>
        <w:t xml:space="preserve">electricity </w:t>
      </w:r>
      <w:r w:rsidR="00957F5C" w:rsidRPr="00502C49">
        <w:rPr>
          <w:sz w:val="24"/>
          <w:szCs w:val="24"/>
        </w:rPr>
        <w:t xml:space="preserve">purchase </w:t>
      </w:r>
      <w:r w:rsidR="003032B1" w:rsidRPr="00502C49">
        <w:rPr>
          <w:sz w:val="24"/>
          <w:szCs w:val="24"/>
        </w:rPr>
        <w:t xml:space="preserve">costs </w:t>
      </w:r>
      <w:r w:rsidR="007426AD" w:rsidRPr="00502C49">
        <w:rPr>
          <w:sz w:val="24"/>
          <w:szCs w:val="24"/>
        </w:rPr>
        <w:t xml:space="preserve">and a margin </w:t>
      </w:r>
      <w:r w:rsidR="00396A0F" w:rsidRPr="00502C49">
        <w:rPr>
          <w:sz w:val="24"/>
          <w:szCs w:val="24"/>
        </w:rPr>
        <w:t xml:space="preserve">to transport the electricity from the NSW-Jervis Bay Territory border using </w:t>
      </w:r>
      <w:r w:rsidR="00F04E3B" w:rsidRPr="00502C49">
        <w:rPr>
          <w:sz w:val="24"/>
          <w:szCs w:val="24"/>
        </w:rPr>
        <w:t xml:space="preserve">Australian Government </w:t>
      </w:r>
      <w:r w:rsidR="00396A0F" w:rsidRPr="00502C49">
        <w:rPr>
          <w:sz w:val="24"/>
          <w:szCs w:val="24"/>
        </w:rPr>
        <w:t>infrastructure.</w:t>
      </w:r>
    </w:p>
    <w:p w:rsidR="00B5310F" w:rsidRPr="00502C49" w:rsidRDefault="00B5310F" w:rsidP="00396A0F">
      <w:pPr>
        <w:rPr>
          <w:sz w:val="24"/>
          <w:szCs w:val="24"/>
        </w:rPr>
      </w:pPr>
    </w:p>
    <w:p w:rsidR="00396A0F" w:rsidRPr="00502C49" w:rsidRDefault="00A202E9" w:rsidP="00396A0F">
      <w:pPr>
        <w:rPr>
          <w:sz w:val="24"/>
          <w:szCs w:val="24"/>
        </w:rPr>
      </w:pPr>
      <w:r w:rsidRPr="00502C49">
        <w:rPr>
          <w:sz w:val="24"/>
          <w:szCs w:val="24"/>
        </w:rPr>
        <w:t>S</w:t>
      </w:r>
      <w:r w:rsidR="00396A0F" w:rsidRPr="00502C49">
        <w:rPr>
          <w:sz w:val="24"/>
          <w:szCs w:val="24"/>
        </w:rPr>
        <w:t>ubs</w:t>
      </w:r>
      <w:r w:rsidRPr="00502C49">
        <w:rPr>
          <w:sz w:val="24"/>
          <w:szCs w:val="24"/>
        </w:rPr>
        <w:t>ection</w:t>
      </w:r>
      <w:r w:rsidR="00396A0F" w:rsidRPr="00502C49">
        <w:rPr>
          <w:sz w:val="24"/>
          <w:szCs w:val="24"/>
        </w:rPr>
        <w:t>s</w:t>
      </w:r>
      <w:r w:rsidRPr="00502C49">
        <w:rPr>
          <w:sz w:val="24"/>
          <w:szCs w:val="24"/>
        </w:rPr>
        <w:t xml:space="preserve"> </w:t>
      </w:r>
      <w:r w:rsidR="007426AD" w:rsidRPr="00502C49">
        <w:rPr>
          <w:sz w:val="24"/>
          <w:szCs w:val="24"/>
        </w:rPr>
        <w:t>5</w:t>
      </w:r>
      <w:r w:rsidRPr="00502C49">
        <w:rPr>
          <w:sz w:val="24"/>
          <w:szCs w:val="24"/>
        </w:rPr>
        <w:t xml:space="preserve">.2 </w:t>
      </w:r>
      <w:r w:rsidR="00396A0F" w:rsidRPr="00502C49">
        <w:rPr>
          <w:sz w:val="24"/>
          <w:szCs w:val="24"/>
        </w:rPr>
        <w:t xml:space="preserve">and </w:t>
      </w:r>
      <w:r w:rsidR="007426AD" w:rsidRPr="00502C49">
        <w:rPr>
          <w:sz w:val="24"/>
          <w:szCs w:val="24"/>
        </w:rPr>
        <w:t>5</w:t>
      </w:r>
      <w:r w:rsidR="00396A0F" w:rsidRPr="00502C49">
        <w:rPr>
          <w:sz w:val="24"/>
          <w:szCs w:val="24"/>
        </w:rPr>
        <w:t xml:space="preserve">.3 </w:t>
      </w:r>
      <w:r w:rsidRPr="00502C49">
        <w:rPr>
          <w:sz w:val="24"/>
          <w:szCs w:val="24"/>
        </w:rPr>
        <w:t xml:space="preserve">provide for rebates </w:t>
      </w:r>
      <w:r w:rsidR="00F04E3B" w:rsidRPr="00502C49">
        <w:rPr>
          <w:sz w:val="24"/>
          <w:szCs w:val="24"/>
        </w:rPr>
        <w:t>t</w:t>
      </w:r>
      <w:r w:rsidRPr="00502C49">
        <w:rPr>
          <w:sz w:val="24"/>
          <w:szCs w:val="24"/>
        </w:rPr>
        <w:t>o electricity fees</w:t>
      </w:r>
      <w:r w:rsidR="00396A0F" w:rsidRPr="00502C49">
        <w:rPr>
          <w:sz w:val="24"/>
          <w:szCs w:val="24"/>
        </w:rPr>
        <w:t>.</w:t>
      </w:r>
      <w:r w:rsidR="0028387A" w:rsidRPr="00502C49">
        <w:rPr>
          <w:sz w:val="24"/>
          <w:szCs w:val="24"/>
        </w:rPr>
        <w:t xml:space="preserve"> The basis of these rebates is as follows:</w:t>
      </w:r>
    </w:p>
    <w:p w:rsidR="0028387A" w:rsidRPr="00502C49" w:rsidRDefault="0028387A" w:rsidP="0028387A">
      <w:pPr>
        <w:numPr>
          <w:ilvl w:val="0"/>
          <w:numId w:val="5"/>
        </w:numPr>
        <w:ind w:left="567" w:hanging="567"/>
        <w:rPr>
          <w:sz w:val="24"/>
          <w:szCs w:val="24"/>
        </w:rPr>
      </w:pPr>
      <w:r w:rsidRPr="00502C49">
        <w:rPr>
          <w:sz w:val="24"/>
          <w:szCs w:val="24"/>
        </w:rPr>
        <w:t>Given the general parity of domest</w:t>
      </w:r>
      <w:r w:rsidR="006B06C3" w:rsidRPr="00502C49">
        <w:rPr>
          <w:sz w:val="24"/>
          <w:szCs w:val="24"/>
        </w:rPr>
        <w:t>ic electricity charges with those</w:t>
      </w:r>
      <w:r w:rsidRPr="00502C49">
        <w:rPr>
          <w:sz w:val="24"/>
          <w:szCs w:val="24"/>
        </w:rPr>
        <w:t xml:space="preserve"> of the surrounding region, the rebates available to Jervis Bay Territory residents are similar</w:t>
      </w:r>
      <w:r w:rsidR="00CF046C" w:rsidRPr="00502C49">
        <w:rPr>
          <w:sz w:val="24"/>
          <w:szCs w:val="24"/>
        </w:rPr>
        <w:t>ly</w:t>
      </w:r>
      <w:r w:rsidRPr="00502C49">
        <w:rPr>
          <w:sz w:val="24"/>
          <w:szCs w:val="24"/>
        </w:rPr>
        <w:t xml:space="preserve"> </w:t>
      </w:r>
      <w:r w:rsidR="006B06C3" w:rsidRPr="00502C49">
        <w:rPr>
          <w:sz w:val="24"/>
          <w:szCs w:val="24"/>
        </w:rPr>
        <w:t>drawn from</w:t>
      </w:r>
      <w:r w:rsidRPr="00502C49">
        <w:rPr>
          <w:sz w:val="24"/>
          <w:szCs w:val="24"/>
        </w:rPr>
        <w:t xml:space="preserve"> those offered </w:t>
      </w:r>
      <w:r w:rsidR="003B035D" w:rsidRPr="00502C49">
        <w:rPr>
          <w:sz w:val="24"/>
          <w:szCs w:val="24"/>
        </w:rPr>
        <w:t>in</w:t>
      </w:r>
      <w:r w:rsidRPr="00502C49">
        <w:rPr>
          <w:sz w:val="24"/>
          <w:szCs w:val="24"/>
        </w:rPr>
        <w:t xml:space="preserve"> NSW. </w:t>
      </w:r>
      <w:r w:rsidR="00CF046C" w:rsidRPr="00502C49">
        <w:rPr>
          <w:sz w:val="24"/>
          <w:szCs w:val="24"/>
        </w:rPr>
        <w:t>T</w:t>
      </w:r>
      <w:r w:rsidRPr="00502C49">
        <w:rPr>
          <w:sz w:val="24"/>
          <w:szCs w:val="24"/>
        </w:rPr>
        <w:t xml:space="preserve">he rebates </w:t>
      </w:r>
      <w:r w:rsidR="007426AD" w:rsidRPr="00502C49">
        <w:rPr>
          <w:sz w:val="24"/>
          <w:szCs w:val="24"/>
        </w:rPr>
        <w:t xml:space="preserve">available </w:t>
      </w:r>
      <w:r w:rsidR="00502C49" w:rsidRPr="00502C49">
        <w:rPr>
          <w:sz w:val="24"/>
          <w:szCs w:val="24"/>
        </w:rPr>
        <w:t xml:space="preserve">in </w:t>
      </w:r>
      <w:r w:rsidRPr="00502C49">
        <w:rPr>
          <w:sz w:val="24"/>
          <w:szCs w:val="24"/>
        </w:rPr>
        <w:t xml:space="preserve">Jervis Bay Territory </w:t>
      </w:r>
      <w:r w:rsidR="00CF046C" w:rsidRPr="00502C49">
        <w:rPr>
          <w:sz w:val="24"/>
          <w:szCs w:val="24"/>
        </w:rPr>
        <w:t>ha</w:t>
      </w:r>
      <w:r w:rsidR="000E3C38" w:rsidRPr="00502C49">
        <w:rPr>
          <w:sz w:val="24"/>
          <w:szCs w:val="24"/>
        </w:rPr>
        <w:t>ve</w:t>
      </w:r>
      <w:r w:rsidR="00CF046C" w:rsidRPr="00502C49">
        <w:rPr>
          <w:sz w:val="24"/>
          <w:szCs w:val="24"/>
        </w:rPr>
        <w:t xml:space="preserve"> been structured to </w:t>
      </w:r>
      <w:r w:rsidR="000E3C38" w:rsidRPr="00502C49">
        <w:rPr>
          <w:sz w:val="24"/>
          <w:szCs w:val="24"/>
        </w:rPr>
        <w:t>meet</w:t>
      </w:r>
      <w:r w:rsidRPr="00502C49">
        <w:rPr>
          <w:sz w:val="24"/>
          <w:szCs w:val="24"/>
        </w:rPr>
        <w:t xml:space="preserve"> </w:t>
      </w:r>
      <w:r w:rsidR="000E3C38" w:rsidRPr="00502C49">
        <w:rPr>
          <w:sz w:val="24"/>
          <w:szCs w:val="24"/>
        </w:rPr>
        <w:t>known</w:t>
      </w:r>
      <w:r w:rsidRPr="00502C49">
        <w:rPr>
          <w:sz w:val="24"/>
          <w:szCs w:val="24"/>
        </w:rPr>
        <w:t xml:space="preserve"> requirements of Territory residents.</w:t>
      </w: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 </w:t>
      </w: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Section </w:t>
      </w:r>
      <w:r w:rsidR="006B23C0" w:rsidRPr="00502C49">
        <w:rPr>
          <w:sz w:val="24"/>
          <w:szCs w:val="24"/>
        </w:rPr>
        <w:t>6</w:t>
      </w:r>
      <w:r w:rsidRPr="00502C49">
        <w:rPr>
          <w:sz w:val="24"/>
          <w:szCs w:val="24"/>
        </w:rPr>
        <w:t xml:space="preserve"> provides that Schedule 2 determines miscellaneous fees for the supply of electricity.</w:t>
      </w:r>
    </w:p>
    <w:p w:rsidR="00B5310F" w:rsidRPr="00502C49" w:rsidRDefault="00B5310F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The </w:t>
      </w:r>
      <w:r w:rsidR="006724D4" w:rsidRPr="00502C49">
        <w:rPr>
          <w:sz w:val="24"/>
          <w:szCs w:val="24"/>
        </w:rPr>
        <w:t xml:space="preserve">miscellaneous fees are based on </w:t>
      </w:r>
      <w:r w:rsidR="000E3C38" w:rsidRPr="00502C49">
        <w:rPr>
          <w:sz w:val="24"/>
          <w:szCs w:val="24"/>
        </w:rPr>
        <w:t>recovery of</w:t>
      </w:r>
      <w:r w:rsidR="006724D4" w:rsidRPr="00502C49">
        <w:rPr>
          <w:sz w:val="24"/>
          <w:szCs w:val="24"/>
        </w:rPr>
        <w:t xml:space="preserve"> </w:t>
      </w:r>
      <w:r w:rsidR="00502C49" w:rsidRPr="00502C49">
        <w:rPr>
          <w:sz w:val="24"/>
          <w:szCs w:val="24"/>
        </w:rPr>
        <w:t xml:space="preserve">direct </w:t>
      </w:r>
      <w:r w:rsidR="006724D4" w:rsidRPr="00502C49">
        <w:rPr>
          <w:sz w:val="24"/>
          <w:szCs w:val="24"/>
        </w:rPr>
        <w:t xml:space="preserve">costs incurred by the </w:t>
      </w:r>
      <w:r w:rsidRPr="00502C49">
        <w:rPr>
          <w:sz w:val="24"/>
          <w:szCs w:val="24"/>
        </w:rPr>
        <w:t xml:space="preserve">Department </w:t>
      </w:r>
      <w:r w:rsidR="006724D4" w:rsidRPr="00502C49">
        <w:rPr>
          <w:sz w:val="24"/>
          <w:szCs w:val="24"/>
        </w:rPr>
        <w:t xml:space="preserve">for services rendered under </w:t>
      </w:r>
      <w:r w:rsidR="000E3C38" w:rsidRPr="00502C49">
        <w:rPr>
          <w:sz w:val="24"/>
          <w:szCs w:val="24"/>
        </w:rPr>
        <w:t xml:space="preserve">commercial </w:t>
      </w:r>
      <w:r w:rsidR="006724D4" w:rsidRPr="00502C49">
        <w:rPr>
          <w:sz w:val="24"/>
          <w:szCs w:val="24"/>
        </w:rPr>
        <w:t>contract</w:t>
      </w:r>
      <w:r w:rsidR="000E3C38" w:rsidRPr="00502C49">
        <w:rPr>
          <w:sz w:val="24"/>
          <w:szCs w:val="24"/>
        </w:rPr>
        <w:t>s</w:t>
      </w:r>
      <w:r w:rsidR="006724D4" w:rsidRPr="00502C49">
        <w:rPr>
          <w:sz w:val="24"/>
          <w:szCs w:val="24"/>
        </w:rPr>
        <w:t>.</w:t>
      </w:r>
    </w:p>
    <w:p w:rsidR="00A202E9" w:rsidRPr="00502C49" w:rsidRDefault="00A202E9" w:rsidP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Section </w:t>
      </w:r>
      <w:r w:rsidR="006B23C0" w:rsidRPr="00502C49">
        <w:rPr>
          <w:sz w:val="24"/>
          <w:szCs w:val="24"/>
        </w:rPr>
        <w:t>7</w:t>
      </w:r>
      <w:r w:rsidRPr="00502C49">
        <w:rPr>
          <w:sz w:val="24"/>
          <w:szCs w:val="24"/>
        </w:rPr>
        <w:t xml:space="preserve"> provides the eligibility for 11 kilovolt time-of-use demand supply.</w:t>
      </w:r>
    </w:p>
    <w:p w:rsidR="00A202E9" w:rsidRPr="00502C49" w:rsidRDefault="00A202E9" w:rsidP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Section </w:t>
      </w:r>
      <w:r w:rsidR="006B23C0" w:rsidRPr="00502C49">
        <w:rPr>
          <w:sz w:val="24"/>
          <w:szCs w:val="24"/>
        </w:rPr>
        <w:t>8</w:t>
      </w:r>
      <w:r w:rsidRPr="00502C49">
        <w:rPr>
          <w:sz w:val="24"/>
          <w:szCs w:val="24"/>
        </w:rPr>
        <w:t xml:space="preserve"> provides the eligibility for </w:t>
      </w:r>
      <w:r w:rsidR="008860FA" w:rsidRPr="00502C49">
        <w:rPr>
          <w:sz w:val="24"/>
          <w:szCs w:val="24"/>
        </w:rPr>
        <w:t>LV</w:t>
      </w:r>
      <w:r w:rsidRPr="00502C49">
        <w:rPr>
          <w:sz w:val="24"/>
          <w:szCs w:val="24"/>
        </w:rPr>
        <w:t xml:space="preserve"> industrial supply.</w:t>
      </w:r>
    </w:p>
    <w:p w:rsidR="00A202E9" w:rsidRPr="00502C49" w:rsidRDefault="00A202E9" w:rsidP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 xml:space="preserve">Section </w:t>
      </w:r>
      <w:r w:rsidR="006B23C0" w:rsidRPr="00502C49">
        <w:rPr>
          <w:sz w:val="24"/>
          <w:szCs w:val="24"/>
        </w:rPr>
        <w:t>9</w:t>
      </w:r>
      <w:r w:rsidRPr="00502C49">
        <w:rPr>
          <w:sz w:val="24"/>
          <w:szCs w:val="24"/>
        </w:rPr>
        <w:t xml:space="preserve"> provides for the period for payment.</w:t>
      </w:r>
    </w:p>
    <w:p w:rsidR="00A202E9" w:rsidRPr="00502C49" w:rsidRDefault="00A202E9" w:rsidP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>Section 1</w:t>
      </w:r>
      <w:r w:rsidR="00DD1436" w:rsidRPr="00502C49">
        <w:rPr>
          <w:sz w:val="24"/>
          <w:szCs w:val="24"/>
        </w:rPr>
        <w:t>0</w:t>
      </w:r>
      <w:r w:rsidRPr="00502C49">
        <w:rPr>
          <w:sz w:val="24"/>
          <w:szCs w:val="24"/>
        </w:rPr>
        <w:t xml:space="preserve"> provides for action </w:t>
      </w:r>
      <w:r w:rsidR="00DC09CB" w:rsidRPr="00502C49">
        <w:rPr>
          <w:sz w:val="24"/>
          <w:szCs w:val="24"/>
        </w:rPr>
        <w:t xml:space="preserve">taken by the Department </w:t>
      </w:r>
      <w:r w:rsidRPr="00502C49">
        <w:rPr>
          <w:sz w:val="24"/>
          <w:szCs w:val="24"/>
        </w:rPr>
        <w:t>in the case of non-payment</w:t>
      </w:r>
      <w:r w:rsidR="00DC09CB" w:rsidRPr="00502C49">
        <w:rPr>
          <w:sz w:val="24"/>
          <w:szCs w:val="24"/>
        </w:rPr>
        <w:t xml:space="preserve"> by the customer</w:t>
      </w:r>
      <w:r w:rsidRPr="00502C49">
        <w:rPr>
          <w:sz w:val="24"/>
          <w:szCs w:val="24"/>
        </w:rPr>
        <w:t>.</w:t>
      </w:r>
    </w:p>
    <w:p w:rsidR="00A202E9" w:rsidRPr="00502C49" w:rsidRDefault="00A202E9" w:rsidP="00A202E9">
      <w:pPr>
        <w:rPr>
          <w:sz w:val="24"/>
          <w:szCs w:val="24"/>
        </w:rPr>
      </w:pPr>
    </w:p>
    <w:p w:rsidR="00A202E9" w:rsidRPr="00502C49" w:rsidRDefault="00A202E9" w:rsidP="00A202E9">
      <w:pPr>
        <w:rPr>
          <w:sz w:val="24"/>
          <w:szCs w:val="24"/>
        </w:rPr>
      </w:pPr>
      <w:r w:rsidRPr="00502C49">
        <w:rPr>
          <w:sz w:val="24"/>
          <w:szCs w:val="24"/>
        </w:rPr>
        <w:t>Section 1</w:t>
      </w:r>
      <w:r w:rsidR="00DD1436" w:rsidRPr="00502C49">
        <w:rPr>
          <w:sz w:val="24"/>
          <w:szCs w:val="24"/>
        </w:rPr>
        <w:t>1</w:t>
      </w:r>
      <w:r w:rsidRPr="00502C49">
        <w:rPr>
          <w:sz w:val="24"/>
          <w:szCs w:val="24"/>
        </w:rPr>
        <w:t xml:space="preserve"> provides for the </w:t>
      </w:r>
      <w:r w:rsidR="00A6745E" w:rsidRPr="00502C49">
        <w:rPr>
          <w:sz w:val="24"/>
          <w:szCs w:val="24"/>
        </w:rPr>
        <w:t xml:space="preserve">requirement, </w:t>
      </w:r>
      <w:r w:rsidR="00E94D58" w:rsidRPr="00502C49">
        <w:rPr>
          <w:sz w:val="24"/>
          <w:szCs w:val="24"/>
        </w:rPr>
        <w:t xml:space="preserve">use and </w:t>
      </w:r>
      <w:r w:rsidRPr="00502C49">
        <w:rPr>
          <w:sz w:val="24"/>
          <w:szCs w:val="24"/>
        </w:rPr>
        <w:t xml:space="preserve">refund of </w:t>
      </w:r>
      <w:r w:rsidR="00E94D58" w:rsidRPr="00502C49">
        <w:rPr>
          <w:sz w:val="24"/>
          <w:szCs w:val="24"/>
        </w:rPr>
        <w:t xml:space="preserve">security </w:t>
      </w:r>
      <w:r w:rsidRPr="00502C49">
        <w:rPr>
          <w:sz w:val="24"/>
          <w:szCs w:val="24"/>
        </w:rPr>
        <w:t>deposit</w:t>
      </w:r>
      <w:r w:rsidR="000E3C38" w:rsidRPr="00502C49">
        <w:rPr>
          <w:sz w:val="24"/>
          <w:szCs w:val="24"/>
        </w:rPr>
        <w:t>s</w:t>
      </w:r>
      <w:r w:rsidRPr="00502C49">
        <w:rPr>
          <w:sz w:val="24"/>
          <w:szCs w:val="24"/>
        </w:rPr>
        <w:t>.</w:t>
      </w:r>
    </w:p>
    <w:p w:rsidR="006724D4" w:rsidRDefault="006724D4" w:rsidP="00A202E9">
      <w:pPr>
        <w:rPr>
          <w:sz w:val="24"/>
          <w:szCs w:val="24"/>
        </w:rPr>
      </w:pPr>
    </w:p>
    <w:p w:rsidR="00CB66ED" w:rsidRDefault="00CB66ED" w:rsidP="00D00740">
      <w:pPr>
        <w:rPr>
          <w:b/>
          <w:sz w:val="28"/>
          <w:szCs w:val="28"/>
        </w:rPr>
        <w:sectPr w:rsidR="00CB66ED" w:rsidSect="00712FFF">
          <w:footerReference w:type="default" r:id="rId9"/>
          <w:pgSz w:w="11907" w:h="16840" w:code="9"/>
          <w:pgMar w:top="907" w:right="1361" w:bottom="1134" w:left="1361" w:header="720" w:footer="720" w:gutter="0"/>
          <w:cols w:space="720"/>
        </w:sectPr>
      </w:pPr>
      <w:bookmarkStart w:id="3" w:name="BK_S4P5L10C1"/>
      <w:bookmarkStart w:id="4" w:name="_Toc205018012"/>
      <w:bookmarkEnd w:id="3"/>
    </w:p>
    <w:p w:rsidR="00D00740" w:rsidRPr="000E3C38" w:rsidRDefault="00CF046C" w:rsidP="00D00740">
      <w:pPr>
        <w:rPr>
          <w:b/>
          <w:sz w:val="28"/>
          <w:szCs w:val="28"/>
        </w:rPr>
      </w:pPr>
      <w:r w:rsidRPr="000E3C38">
        <w:rPr>
          <w:b/>
          <w:sz w:val="28"/>
          <w:szCs w:val="28"/>
        </w:rPr>
        <w:lastRenderedPageBreak/>
        <w:t>J</w:t>
      </w:r>
      <w:r w:rsidR="00BA6B32">
        <w:rPr>
          <w:b/>
          <w:sz w:val="28"/>
          <w:szCs w:val="28"/>
        </w:rPr>
        <w:t xml:space="preserve">ervis </w:t>
      </w:r>
      <w:r w:rsidRPr="000E3C38">
        <w:rPr>
          <w:b/>
          <w:sz w:val="28"/>
          <w:szCs w:val="28"/>
        </w:rPr>
        <w:t>B</w:t>
      </w:r>
      <w:r w:rsidR="00BA6B32">
        <w:rPr>
          <w:b/>
          <w:sz w:val="28"/>
          <w:szCs w:val="28"/>
        </w:rPr>
        <w:t xml:space="preserve">ay </w:t>
      </w:r>
      <w:r w:rsidRPr="000E3C38">
        <w:rPr>
          <w:b/>
          <w:sz w:val="28"/>
          <w:szCs w:val="28"/>
        </w:rPr>
        <w:t>T</w:t>
      </w:r>
      <w:r w:rsidR="00BA6B32">
        <w:rPr>
          <w:b/>
          <w:sz w:val="28"/>
          <w:szCs w:val="28"/>
        </w:rPr>
        <w:t>erritory</w:t>
      </w:r>
      <w:r w:rsidRPr="000E3C38">
        <w:rPr>
          <w:b/>
          <w:sz w:val="28"/>
          <w:szCs w:val="28"/>
        </w:rPr>
        <w:t xml:space="preserve"> </w:t>
      </w:r>
      <w:r w:rsidR="001F0BF0">
        <w:rPr>
          <w:b/>
          <w:sz w:val="28"/>
          <w:szCs w:val="28"/>
        </w:rPr>
        <w:t>E</w:t>
      </w:r>
      <w:r w:rsidR="00D00740" w:rsidRPr="000E3C38">
        <w:rPr>
          <w:b/>
          <w:sz w:val="28"/>
          <w:szCs w:val="28"/>
        </w:rPr>
        <w:t xml:space="preserve">lectricity </w:t>
      </w:r>
      <w:r w:rsidR="001F0BF0">
        <w:rPr>
          <w:b/>
          <w:sz w:val="28"/>
          <w:szCs w:val="28"/>
        </w:rPr>
        <w:t>F</w:t>
      </w:r>
      <w:r w:rsidRPr="000E3C38">
        <w:rPr>
          <w:b/>
          <w:sz w:val="28"/>
          <w:szCs w:val="28"/>
        </w:rPr>
        <w:t>ee</w:t>
      </w:r>
      <w:r w:rsidR="00BA6B32">
        <w:rPr>
          <w:b/>
          <w:sz w:val="28"/>
          <w:szCs w:val="28"/>
        </w:rPr>
        <w:t>s</w:t>
      </w:r>
      <w:r w:rsidRPr="000E3C38">
        <w:rPr>
          <w:b/>
          <w:sz w:val="28"/>
          <w:szCs w:val="28"/>
        </w:rPr>
        <w:t xml:space="preserve"> </w:t>
      </w:r>
      <w:r w:rsidR="00810D27" w:rsidRPr="000E3C38">
        <w:rPr>
          <w:b/>
          <w:sz w:val="28"/>
          <w:szCs w:val="28"/>
        </w:rPr>
        <w:t>(GST incl</w:t>
      </w:r>
      <w:r w:rsidR="00542C20" w:rsidRPr="000E3C38">
        <w:rPr>
          <w:b/>
          <w:sz w:val="28"/>
          <w:szCs w:val="28"/>
        </w:rPr>
        <w:t>usive</w:t>
      </w:r>
      <w:r w:rsidR="00810D27" w:rsidRPr="000E3C38">
        <w:rPr>
          <w:b/>
          <w:sz w:val="28"/>
          <w:szCs w:val="28"/>
        </w:rPr>
        <w:t xml:space="preserve">) </w:t>
      </w:r>
      <w:r w:rsidR="00BA6B32">
        <w:rPr>
          <w:b/>
          <w:sz w:val="28"/>
          <w:szCs w:val="28"/>
        </w:rPr>
        <w:t>compar</w:t>
      </w:r>
      <w:r w:rsidR="00502C49">
        <w:rPr>
          <w:b/>
          <w:sz w:val="28"/>
          <w:szCs w:val="28"/>
        </w:rPr>
        <w:t>ison</w:t>
      </w:r>
      <w:r w:rsidR="001F0BF0">
        <w:rPr>
          <w:b/>
          <w:sz w:val="28"/>
          <w:szCs w:val="28"/>
        </w:rPr>
        <w:t xml:space="preserve"> table</w:t>
      </w:r>
      <w:r w:rsidR="00D00740" w:rsidRPr="000E3C38">
        <w:rPr>
          <w:b/>
          <w:sz w:val="28"/>
          <w:szCs w:val="28"/>
        </w:rPr>
        <w:t xml:space="preserve">: </w:t>
      </w:r>
    </w:p>
    <w:p w:rsidR="009F3CAA" w:rsidRDefault="009F3CAA" w:rsidP="009F3CAA">
      <w:pPr>
        <w:pStyle w:val="Schedulepart"/>
        <w:spacing w:before="0"/>
        <w:ind w:left="0" w:firstLine="0"/>
        <w:rPr>
          <w:rStyle w:val="CharSchPTText"/>
          <w:rFonts w:ascii="Times New Roman" w:hAnsi="Times New Roman"/>
          <w:b w:val="0"/>
          <w:sz w:val="24"/>
        </w:rPr>
      </w:pPr>
    </w:p>
    <w:p w:rsidR="00AE4789" w:rsidRPr="001D7EB4" w:rsidRDefault="00AE4789" w:rsidP="009F3CAA">
      <w:pPr>
        <w:pStyle w:val="Schedulepart"/>
        <w:spacing w:before="0"/>
        <w:ind w:left="0" w:firstLine="0"/>
        <w:rPr>
          <w:rStyle w:val="CharSchPTText"/>
          <w:rFonts w:ascii="Times New Roman" w:hAnsi="Times New Roman"/>
          <w:b w:val="0"/>
          <w:sz w:val="24"/>
        </w:rPr>
      </w:pPr>
      <w:r w:rsidRPr="001D7EB4">
        <w:rPr>
          <w:rStyle w:val="CharSchPTText"/>
          <w:rFonts w:ascii="Times New Roman" w:hAnsi="Times New Roman"/>
          <w:b w:val="0"/>
          <w:sz w:val="24"/>
        </w:rPr>
        <w:t xml:space="preserve">When examining the </w:t>
      </w:r>
      <w:r w:rsidR="005D0244">
        <w:rPr>
          <w:rStyle w:val="CharSchPTText"/>
          <w:rFonts w:ascii="Times New Roman" w:hAnsi="Times New Roman"/>
          <w:b w:val="0"/>
          <w:sz w:val="24"/>
        </w:rPr>
        <w:t xml:space="preserve">Domestic and General Supply 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fees below, it is important to </w:t>
      </w:r>
      <w:r w:rsidR="00861B43" w:rsidRPr="001D7EB4">
        <w:rPr>
          <w:rStyle w:val="CharSchPTText"/>
          <w:rFonts w:ascii="Times New Roman" w:hAnsi="Times New Roman"/>
          <w:b w:val="0"/>
          <w:sz w:val="24"/>
        </w:rPr>
        <w:t>note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that </w:t>
      </w:r>
      <w:r w:rsidR="000B2DEB">
        <w:rPr>
          <w:rStyle w:val="CharSchPTText"/>
          <w:rFonts w:ascii="Times New Roman" w:hAnsi="Times New Roman"/>
          <w:b w:val="0"/>
          <w:sz w:val="24"/>
        </w:rPr>
        <w:t xml:space="preserve">the </w:t>
      </w:r>
      <w:r w:rsidRPr="001D7EB4">
        <w:rPr>
          <w:rStyle w:val="CharSchPTText"/>
          <w:rFonts w:ascii="Times New Roman" w:hAnsi="Times New Roman"/>
          <w:b w:val="0"/>
          <w:sz w:val="24"/>
        </w:rPr>
        <w:t>201</w:t>
      </w:r>
      <w:r w:rsidR="001710CD">
        <w:rPr>
          <w:rStyle w:val="CharSchPTText"/>
          <w:rFonts w:ascii="Times New Roman" w:hAnsi="Times New Roman"/>
          <w:b w:val="0"/>
          <w:sz w:val="24"/>
        </w:rPr>
        <w:t>4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</w:t>
      </w:r>
      <w:r w:rsidRPr="001D7EB4">
        <w:rPr>
          <w:rStyle w:val="CharSchPTText"/>
          <w:rFonts w:ascii="Times New Roman" w:hAnsi="Times New Roman"/>
          <w:b w:val="0"/>
          <w:i/>
          <w:sz w:val="24"/>
        </w:rPr>
        <w:t>supply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fees achieve general parity with </w:t>
      </w:r>
      <w:r w:rsidR="00A60A17" w:rsidRPr="001D7EB4">
        <w:rPr>
          <w:rStyle w:val="CharSchPTText"/>
          <w:rFonts w:ascii="Times New Roman" w:hAnsi="Times New Roman"/>
          <w:b w:val="0"/>
          <w:sz w:val="24"/>
        </w:rPr>
        <w:t xml:space="preserve">those charged by </w:t>
      </w:r>
      <w:r w:rsidRPr="001D7EB4">
        <w:rPr>
          <w:rStyle w:val="CharSchPTText"/>
          <w:rFonts w:ascii="Times New Roman" w:hAnsi="Times New Roman"/>
          <w:b w:val="0"/>
          <w:sz w:val="24"/>
        </w:rPr>
        <w:t>electricity providers in the region</w:t>
      </w:r>
      <w:r w:rsidR="00904EAE" w:rsidRPr="001D7EB4">
        <w:rPr>
          <w:rStyle w:val="CharSchPTText"/>
          <w:rFonts w:ascii="Times New Roman" w:hAnsi="Times New Roman"/>
          <w:b w:val="0"/>
          <w:sz w:val="24"/>
        </w:rPr>
        <w:t xml:space="preserve"> at the time</w:t>
      </w:r>
      <w:r w:rsidR="00BF38B6" w:rsidRPr="001D7EB4">
        <w:rPr>
          <w:rStyle w:val="CharSchPTText"/>
          <w:rFonts w:ascii="Times New Roman" w:hAnsi="Times New Roman"/>
          <w:b w:val="0"/>
          <w:sz w:val="24"/>
        </w:rPr>
        <w:t xml:space="preserve"> that each Determination was/is made</w:t>
      </w:r>
      <w:r w:rsidR="00150F31" w:rsidRPr="001D7EB4">
        <w:rPr>
          <w:rStyle w:val="CharSchPTText"/>
          <w:rFonts w:ascii="Times New Roman" w:hAnsi="Times New Roman"/>
          <w:b w:val="0"/>
          <w:sz w:val="24"/>
        </w:rPr>
        <w:t xml:space="preserve">. 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</w:t>
      </w:r>
      <w:r w:rsidR="00904EAE" w:rsidRPr="001D7EB4">
        <w:rPr>
          <w:rStyle w:val="CharSchPTText"/>
          <w:rFonts w:ascii="Times New Roman" w:hAnsi="Times New Roman"/>
          <w:b w:val="0"/>
          <w:sz w:val="24"/>
        </w:rPr>
        <w:t>By comparison, t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he </w:t>
      </w:r>
      <w:r w:rsidR="00A60A17" w:rsidRPr="001D7EB4">
        <w:rPr>
          <w:rStyle w:val="CharSchPTText"/>
          <w:rFonts w:ascii="Times New Roman" w:hAnsi="Times New Roman"/>
          <w:b w:val="0"/>
          <w:sz w:val="24"/>
        </w:rPr>
        <w:t>service</w:t>
      </w:r>
      <w:r w:rsidR="00161AB8" w:rsidRPr="001D7EB4">
        <w:rPr>
          <w:rStyle w:val="CharSchPTText"/>
          <w:rFonts w:ascii="Times New Roman" w:hAnsi="Times New Roman"/>
          <w:b w:val="0"/>
          <w:sz w:val="24"/>
        </w:rPr>
        <w:t>s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</w:t>
      </w:r>
      <w:r w:rsidR="00904EAE" w:rsidRPr="001D7EB4">
        <w:rPr>
          <w:rStyle w:val="CharSchPTText"/>
          <w:rFonts w:ascii="Times New Roman" w:hAnsi="Times New Roman"/>
          <w:b w:val="0"/>
          <w:sz w:val="24"/>
        </w:rPr>
        <w:t xml:space="preserve">or </w:t>
      </w:r>
      <w:proofErr w:type="gramStart"/>
      <w:r w:rsidR="00904EAE" w:rsidRPr="001D7EB4">
        <w:rPr>
          <w:rStyle w:val="CharSchPTText"/>
          <w:rFonts w:ascii="Times New Roman" w:hAnsi="Times New Roman"/>
          <w:b w:val="0"/>
          <w:i/>
          <w:sz w:val="24"/>
        </w:rPr>
        <w:t>Other</w:t>
      </w:r>
      <w:proofErr w:type="gramEnd"/>
      <w:r w:rsidR="00904EAE" w:rsidRPr="001D7EB4">
        <w:rPr>
          <w:rStyle w:val="CharSchPTText"/>
          <w:rFonts w:ascii="Times New Roman" w:hAnsi="Times New Roman"/>
          <w:b w:val="0"/>
          <w:sz w:val="24"/>
        </w:rPr>
        <w:t xml:space="preserve"> </w:t>
      </w:r>
      <w:r w:rsidRPr="001D7EB4">
        <w:rPr>
          <w:rStyle w:val="CharSchPTText"/>
          <w:rFonts w:ascii="Times New Roman" w:hAnsi="Times New Roman"/>
          <w:b w:val="0"/>
          <w:sz w:val="24"/>
        </w:rPr>
        <w:t>fees re</w:t>
      </w:r>
      <w:r w:rsidR="00904EAE" w:rsidRPr="001D7EB4">
        <w:rPr>
          <w:rStyle w:val="CharSchPTText"/>
          <w:rFonts w:ascii="Times New Roman" w:hAnsi="Times New Roman"/>
          <w:b w:val="0"/>
          <w:sz w:val="24"/>
        </w:rPr>
        <w:t>late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</w:t>
      </w:r>
      <w:r w:rsidR="00904EAE" w:rsidRPr="001D7EB4">
        <w:rPr>
          <w:rStyle w:val="CharSchPTText"/>
          <w:rFonts w:ascii="Times New Roman" w:hAnsi="Times New Roman"/>
          <w:b w:val="0"/>
          <w:sz w:val="24"/>
        </w:rPr>
        <w:t xml:space="preserve">to the recovery of </w:t>
      </w:r>
      <w:r w:rsidR="001F0BF0" w:rsidRPr="001D7EB4">
        <w:rPr>
          <w:rStyle w:val="CharSchPTText"/>
          <w:rFonts w:ascii="Times New Roman" w:hAnsi="Times New Roman"/>
          <w:b w:val="0"/>
          <w:sz w:val="24"/>
        </w:rPr>
        <w:t xml:space="preserve">direct </w:t>
      </w:r>
      <w:r w:rsidR="00904EAE" w:rsidRPr="001D7EB4">
        <w:rPr>
          <w:rStyle w:val="CharSchPTText"/>
          <w:rFonts w:ascii="Times New Roman" w:hAnsi="Times New Roman"/>
          <w:b w:val="0"/>
          <w:sz w:val="24"/>
        </w:rPr>
        <w:t>contracted-</w:t>
      </w:r>
      <w:r w:rsidR="00161AB8" w:rsidRPr="001D7EB4">
        <w:rPr>
          <w:rStyle w:val="CharSchPTText"/>
          <w:rFonts w:ascii="Times New Roman" w:hAnsi="Times New Roman"/>
          <w:b w:val="0"/>
          <w:sz w:val="24"/>
        </w:rPr>
        <w:t>service costs incurred by the Department.</w:t>
      </w:r>
    </w:p>
    <w:p w:rsidR="007B5935" w:rsidRDefault="00243BA5" w:rsidP="00407BA1">
      <w:pPr>
        <w:pStyle w:val="Schedulepart"/>
        <w:spacing w:before="120"/>
        <w:ind w:left="0" w:firstLine="0"/>
        <w:rPr>
          <w:rStyle w:val="CharSchPTText"/>
          <w:rFonts w:ascii="Times New Roman" w:hAnsi="Times New Roman"/>
          <w:b w:val="0"/>
          <w:sz w:val="24"/>
        </w:rPr>
      </w:pPr>
      <w:r w:rsidRPr="001D7EB4">
        <w:rPr>
          <w:rStyle w:val="CharSchPTText"/>
          <w:rFonts w:ascii="Times New Roman" w:hAnsi="Times New Roman"/>
          <w:b w:val="0"/>
          <w:sz w:val="24"/>
        </w:rPr>
        <w:t xml:space="preserve">Rate </w:t>
      </w:r>
      <w:r w:rsidR="00B36F37">
        <w:rPr>
          <w:rStyle w:val="CharSchPTText"/>
          <w:rFonts w:ascii="Times New Roman" w:hAnsi="Times New Roman"/>
          <w:b w:val="0"/>
          <w:sz w:val="24"/>
        </w:rPr>
        <w:t xml:space="preserve">changes 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for LV </w:t>
      </w:r>
      <w:r w:rsidR="005D0244" w:rsidRPr="001D7EB4">
        <w:rPr>
          <w:rStyle w:val="CharSchPTText"/>
          <w:rFonts w:ascii="Times New Roman" w:hAnsi="Times New Roman"/>
          <w:b w:val="0"/>
          <w:sz w:val="24"/>
        </w:rPr>
        <w:t>Industrial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and 11kV Time of Use Demand </w:t>
      </w:r>
      <w:r w:rsidR="002C4B28" w:rsidRPr="001D7EB4">
        <w:rPr>
          <w:rStyle w:val="CharSchPTText"/>
          <w:rFonts w:ascii="Times New Roman" w:hAnsi="Times New Roman"/>
          <w:b w:val="0"/>
          <w:sz w:val="24"/>
        </w:rPr>
        <w:t xml:space="preserve">supplies 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reflect bulk </w:t>
      </w:r>
      <w:r w:rsidR="005D0244" w:rsidRPr="001D7EB4">
        <w:rPr>
          <w:rStyle w:val="CharSchPTText"/>
          <w:rFonts w:ascii="Times New Roman" w:hAnsi="Times New Roman"/>
          <w:b w:val="0"/>
          <w:sz w:val="24"/>
        </w:rPr>
        <w:t>electricity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purchase cost reductions </w:t>
      </w:r>
      <w:r w:rsidR="005D0244" w:rsidRPr="001D7EB4">
        <w:rPr>
          <w:rStyle w:val="CharSchPTText"/>
          <w:rFonts w:ascii="Times New Roman" w:hAnsi="Times New Roman"/>
          <w:b w:val="0"/>
          <w:sz w:val="24"/>
        </w:rPr>
        <w:t>achieved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through the new Department of Defence </w:t>
      </w:r>
      <w:r w:rsidR="005D0244" w:rsidRPr="001D7EB4">
        <w:rPr>
          <w:rStyle w:val="CharSchPTText"/>
          <w:rFonts w:ascii="Times New Roman" w:hAnsi="Times New Roman"/>
          <w:b w:val="0"/>
          <w:sz w:val="24"/>
        </w:rPr>
        <w:t>electricity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supply contract with E</w:t>
      </w:r>
      <w:r w:rsidR="002C4B28" w:rsidRPr="001D7EB4">
        <w:rPr>
          <w:rStyle w:val="CharSchPTText"/>
          <w:rFonts w:ascii="Times New Roman" w:hAnsi="Times New Roman"/>
          <w:b w:val="0"/>
          <w:sz w:val="24"/>
        </w:rPr>
        <w:t>R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M Power </w:t>
      </w:r>
      <w:r w:rsidR="005D0244" w:rsidRPr="001D7EB4">
        <w:rPr>
          <w:rStyle w:val="CharSchPTText"/>
          <w:rFonts w:ascii="Times New Roman" w:hAnsi="Times New Roman"/>
          <w:b w:val="0"/>
          <w:sz w:val="24"/>
        </w:rPr>
        <w:t>Retail</w:t>
      </w:r>
      <w:r w:rsidRPr="001D7EB4">
        <w:rPr>
          <w:rStyle w:val="CharSchPTText"/>
          <w:rFonts w:ascii="Times New Roman" w:hAnsi="Times New Roman"/>
          <w:b w:val="0"/>
          <w:sz w:val="24"/>
        </w:rPr>
        <w:t xml:space="preserve"> Pty Ltd.  </w:t>
      </w:r>
      <w:bookmarkStart w:id="5" w:name="RANGE!A6"/>
      <w:bookmarkStart w:id="6" w:name="RANGE!A12"/>
      <w:bookmarkEnd w:id="5"/>
      <w:bookmarkEnd w:id="6"/>
    </w:p>
    <w:p w:rsidR="009F3CAA" w:rsidRPr="001D7EB4" w:rsidRDefault="006C23DE" w:rsidP="009F3CAA">
      <w:pPr>
        <w:pStyle w:val="Schedulepart"/>
        <w:spacing w:before="120"/>
        <w:ind w:left="0" w:firstLine="0"/>
        <w:rPr>
          <w:rStyle w:val="CharSchPTText"/>
          <w:rFonts w:ascii="Times New Roman" w:hAnsi="Times New Roman"/>
          <w:b w:val="0"/>
          <w:sz w:val="24"/>
        </w:rPr>
      </w:pPr>
      <w:r w:rsidRPr="006C23DE">
        <w:rPr>
          <w:rStyle w:val="CharSchPTText"/>
          <w:rFonts w:ascii="Times New Roman" w:hAnsi="Times New Roman"/>
          <w:sz w:val="24"/>
        </w:rPr>
        <w:t>Note:</w:t>
      </w:r>
      <w:r>
        <w:rPr>
          <w:rStyle w:val="CharSchPTText"/>
          <w:rFonts w:ascii="Times New Roman" w:hAnsi="Times New Roman"/>
          <w:b w:val="0"/>
          <w:sz w:val="24"/>
        </w:rPr>
        <w:t xml:space="preserve"> </w:t>
      </w:r>
      <w:r w:rsidR="009F3CAA">
        <w:rPr>
          <w:rStyle w:val="CharSchPTText"/>
          <w:rFonts w:ascii="Times New Roman" w:hAnsi="Times New Roman"/>
          <w:b w:val="0"/>
          <w:sz w:val="24"/>
        </w:rPr>
        <w:t xml:space="preserve">All fees listed are GST </w:t>
      </w:r>
      <w:proofErr w:type="gramStart"/>
      <w:r w:rsidR="009F3CAA">
        <w:rPr>
          <w:rStyle w:val="CharSchPTText"/>
          <w:rFonts w:ascii="Times New Roman" w:hAnsi="Times New Roman"/>
          <w:b w:val="0"/>
          <w:sz w:val="24"/>
        </w:rPr>
        <w:t>inclusive,</w:t>
      </w:r>
      <w:proofErr w:type="gramEnd"/>
      <w:r w:rsidR="009F3CAA">
        <w:rPr>
          <w:rStyle w:val="CharSchPTText"/>
          <w:rFonts w:ascii="Times New Roman" w:hAnsi="Times New Roman"/>
          <w:b w:val="0"/>
          <w:sz w:val="24"/>
        </w:rPr>
        <w:t xml:space="preserve"> refer Section 99-1, </w:t>
      </w:r>
      <w:r w:rsidR="009F3CAA" w:rsidRPr="00C1752C">
        <w:rPr>
          <w:rStyle w:val="CharSchPTText"/>
          <w:rFonts w:ascii="Times New Roman" w:hAnsi="Times New Roman"/>
          <w:b w:val="0"/>
          <w:i/>
          <w:sz w:val="24"/>
        </w:rPr>
        <w:t xml:space="preserve">A New Tax System (Goods and Services Tax) Act 1999 </w:t>
      </w:r>
      <w:r w:rsidR="009F3CAA">
        <w:rPr>
          <w:rStyle w:val="CharSchPTText"/>
          <w:rFonts w:ascii="Times New Roman" w:hAnsi="Times New Roman"/>
          <w:b w:val="0"/>
          <w:sz w:val="24"/>
        </w:rPr>
        <w:t xml:space="preserve">and </w:t>
      </w:r>
      <w:r w:rsidR="009F3CAA" w:rsidRPr="00C1752C">
        <w:rPr>
          <w:rStyle w:val="CharSchPTText"/>
          <w:rFonts w:ascii="Times New Roman" w:hAnsi="Times New Roman"/>
          <w:b w:val="0"/>
          <w:i/>
          <w:sz w:val="24"/>
        </w:rPr>
        <w:t>GST Ruling 2006/2</w:t>
      </w:r>
      <w:r w:rsidR="009F3CAA">
        <w:rPr>
          <w:rStyle w:val="CharSchPTText"/>
          <w:rFonts w:ascii="Times New Roman" w:hAnsi="Times New Roman"/>
          <w:b w:val="0"/>
          <w:sz w:val="24"/>
        </w:rPr>
        <w:t>.</w:t>
      </w:r>
    </w:p>
    <w:p w:rsidR="00407BA1" w:rsidRDefault="00407BA1" w:rsidP="009F3CAA">
      <w:pPr>
        <w:pStyle w:val="Schedulepart"/>
        <w:spacing w:before="0"/>
        <w:ind w:left="0" w:firstLine="0"/>
        <w:rPr>
          <w:rStyle w:val="CharSchPTText"/>
          <w:rFonts w:ascii="Times New Roman" w:hAnsi="Times New Roman"/>
          <w:b w:val="0"/>
          <w:sz w:val="24"/>
        </w:rPr>
      </w:pPr>
    </w:p>
    <w:tbl>
      <w:tblPr>
        <w:tblW w:w="15147" w:type="dxa"/>
        <w:tblInd w:w="-297" w:type="dxa"/>
        <w:tblLook w:val="04A0" w:firstRow="1" w:lastRow="0" w:firstColumn="1" w:lastColumn="0" w:noHBand="0" w:noVBand="1"/>
      </w:tblPr>
      <w:tblGrid>
        <w:gridCol w:w="696"/>
        <w:gridCol w:w="4240"/>
        <w:gridCol w:w="2415"/>
        <w:gridCol w:w="2977"/>
        <w:gridCol w:w="2551"/>
        <w:gridCol w:w="2268"/>
      </w:tblGrid>
      <w:tr w:rsidR="00407BA1" w:rsidRPr="00D10855" w:rsidTr="0084267A">
        <w:trPr>
          <w:trHeight w:val="525"/>
        </w:trPr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A1" w:rsidRPr="0019706A" w:rsidRDefault="00407BA1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9706A">
              <w:rPr>
                <w:b/>
                <w:bCs/>
                <w:color w:val="000000"/>
                <w:sz w:val="28"/>
                <w:szCs w:val="28"/>
              </w:rPr>
              <w:t>Domestic supply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D10855" w:rsidRDefault="00407BA1" w:rsidP="00D10855">
            <w:pPr>
              <w:ind w:firstLineChars="34" w:firstLine="9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D10855" w:rsidRDefault="00407BA1" w:rsidP="00D10855">
            <w:pPr>
              <w:ind w:firstLineChars="34" w:firstLine="9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D10855" w:rsidRDefault="00407BA1" w:rsidP="00D10855">
            <w:pPr>
              <w:ind w:firstLineChars="34" w:firstLine="9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D10855" w:rsidRDefault="00407BA1" w:rsidP="00D10855">
            <w:pPr>
              <w:ind w:firstLineChars="34" w:firstLine="95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7BA1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Cost Units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1710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1710C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1710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1710C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Variance</w:t>
            </w:r>
          </w:p>
        </w:tc>
      </w:tr>
      <w:tr w:rsidR="001710CD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System access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$/day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0.76054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0.76</w:t>
            </w:r>
            <w:r>
              <w:rPr>
                <w:color w:val="000000"/>
                <w:sz w:val="24"/>
                <w:szCs w:val="24"/>
              </w:rPr>
              <w:t>868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1710CD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First 17</w:t>
            </w:r>
            <w:r>
              <w:rPr>
                <w:color w:val="000000"/>
                <w:sz w:val="24"/>
                <w:szCs w:val="24"/>
              </w:rPr>
              <w:t>50</w:t>
            </w:r>
            <w:r w:rsidRPr="00407BA1">
              <w:rPr>
                <w:color w:val="000000"/>
                <w:sz w:val="24"/>
                <w:szCs w:val="24"/>
              </w:rPr>
              <w:t xml:space="preserve"> kWh for a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07BA1">
              <w:rPr>
                <w:color w:val="000000"/>
                <w:sz w:val="24"/>
                <w:szCs w:val="24"/>
              </w:rPr>
              <w:t>0</w:t>
            </w:r>
            <w:r w:rsidRPr="00407BA1">
              <w:rPr>
                <w:color w:val="000000"/>
                <w:sz w:val="24"/>
                <w:szCs w:val="24"/>
              </w:rPr>
              <w:noBreakHyphen/>
              <w:t>day period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0.26675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0.2</w:t>
            </w:r>
            <w:r>
              <w:rPr>
                <w:color w:val="000000"/>
                <w:sz w:val="24"/>
                <w:szCs w:val="24"/>
              </w:rPr>
              <w:t>7126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.7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1710CD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 xml:space="preserve">For the balance of all electricity supply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0.29821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30151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894C63" w:rsidRPr="0019706A" w:rsidTr="00601D3F">
        <w:trPr>
          <w:trHeight w:val="525"/>
        </w:trPr>
        <w:tc>
          <w:tcPr>
            <w:tcW w:w="7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63" w:rsidRDefault="00894C63" w:rsidP="00894C63">
            <w:pPr>
              <w:ind w:left="-599" w:firstLineChars="247" w:firstLine="692"/>
              <w:rPr>
                <w:b/>
                <w:bCs/>
                <w:color w:val="000000"/>
                <w:sz w:val="28"/>
                <w:szCs w:val="28"/>
              </w:rPr>
            </w:pPr>
          </w:p>
          <w:p w:rsidR="00894C63" w:rsidRPr="0019706A" w:rsidRDefault="00894C63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9706A">
              <w:rPr>
                <w:b/>
                <w:bCs/>
                <w:color w:val="000000"/>
                <w:sz w:val="28"/>
                <w:szCs w:val="28"/>
              </w:rPr>
              <w:t>Domestic supply controlled off</w:t>
            </w:r>
            <w:r w:rsidRPr="0019706A">
              <w:rPr>
                <w:b/>
                <w:bCs/>
                <w:color w:val="000000"/>
                <w:sz w:val="28"/>
                <w:szCs w:val="28"/>
              </w:rPr>
              <w:noBreakHyphen/>
              <w:t>peak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63" w:rsidRPr="0019706A" w:rsidRDefault="00894C63" w:rsidP="0019706A">
            <w:pPr>
              <w:ind w:firstLineChars="34" w:firstLine="9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63" w:rsidRPr="0019706A" w:rsidRDefault="00894C63" w:rsidP="0019706A">
            <w:pPr>
              <w:ind w:firstLineChars="34" w:firstLine="9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63" w:rsidRPr="0019706A" w:rsidRDefault="00894C63" w:rsidP="0019706A">
            <w:pPr>
              <w:ind w:firstLineChars="34" w:firstLine="95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7BA1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1710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1710C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1710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1710C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Variance</w:t>
            </w:r>
          </w:p>
        </w:tc>
      </w:tr>
      <w:tr w:rsidR="001710CD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Off-peak access for off-peak 1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$/day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0.05192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0.05</w:t>
            </w:r>
            <w:r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1710CD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Off</w:t>
            </w:r>
            <w:r w:rsidRPr="00407BA1">
              <w:rPr>
                <w:color w:val="000000"/>
                <w:sz w:val="24"/>
                <w:szCs w:val="24"/>
              </w:rPr>
              <w:noBreakHyphen/>
              <w:t>peak 1 (up to 9 hours off</w:t>
            </w:r>
            <w:r w:rsidRPr="00407BA1">
              <w:rPr>
                <w:color w:val="000000"/>
                <w:sz w:val="24"/>
                <w:szCs w:val="24"/>
              </w:rPr>
              <w:noBreakHyphen/>
              <w:t>peak supply daily)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0.09317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0.09</w:t>
            </w:r>
            <w:r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.5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1710CD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Off-peak access for off-peak 2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$/day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0.05192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0.05</w:t>
            </w:r>
            <w:r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1710CD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Off</w:t>
            </w:r>
            <w:r w:rsidRPr="00407BA1">
              <w:rPr>
                <w:color w:val="000000"/>
                <w:sz w:val="24"/>
                <w:szCs w:val="24"/>
              </w:rPr>
              <w:noBreakHyphen/>
              <w:t>peak 2 (up to 18 hours off</w:t>
            </w:r>
            <w:r w:rsidRPr="00407BA1">
              <w:rPr>
                <w:color w:val="000000"/>
                <w:sz w:val="24"/>
                <w:szCs w:val="24"/>
              </w:rPr>
              <w:noBreakHyphen/>
              <w:t>peak supply daily)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0.14509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0.14</w:t>
            </w:r>
            <w:r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10CD" w:rsidRPr="00407BA1" w:rsidRDefault="001710CD" w:rsidP="001710CD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.3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407BA1" w:rsidRPr="00407BA1" w:rsidTr="0084267A">
        <w:trPr>
          <w:trHeight w:val="525"/>
        </w:trPr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A1" w:rsidRPr="00407BA1" w:rsidRDefault="00407BA1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7BA1">
              <w:rPr>
                <w:b/>
                <w:bCs/>
                <w:color w:val="000000"/>
                <w:sz w:val="28"/>
                <w:szCs w:val="28"/>
              </w:rPr>
              <w:lastRenderedPageBreak/>
              <w:t>General supply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7BA1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Cost Units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6E3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6E3D2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6E3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6E3D2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Variance </w:t>
            </w:r>
          </w:p>
        </w:tc>
      </w:tr>
      <w:tr w:rsidR="006E3D2F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System access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$/day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0.94908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0.9</w:t>
            </w:r>
            <w:r>
              <w:rPr>
                <w:color w:val="000000"/>
                <w:sz w:val="24"/>
                <w:szCs w:val="24"/>
              </w:rPr>
              <w:t>5777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6E3D2F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1710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</w:t>
            </w:r>
            <w:r w:rsidRPr="00407BA1">
              <w:rPr>
                <w:color w:val="000000"/>
                <w:sz w:val="24"/>
                <w:szCs w:val="24"/>
              </w:rPr>
              <w:t xml:space="preserve"> kWh for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07BA1">
              <w:rPr>
                <w:color w:val="000000"/>
                <w:sz w:val="24"/>
                <w:szCs w:val="24"/>
              </w:rPr>
              <w:t>0</w:t>
            </w:r>
            <w:r w:rsidRPr="00407BA1">
              <w:rPr>
                <w:color w:val="000000"/>
                <w:sz w:val="24"/>
                <w:szCs w:val="24"/>
              </w:rPr>
              <w:noBreakHyphen/>
              <w:t>day period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0.25025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0.25</w:t>
            </w:r>
            <w:r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6E3D2F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 xml:space="preserve">For the balance of all electricity supply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0.2717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0.27</w:t>
            </w:r>
            <w:r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894C63" w:rsidRPr="00407BA1" w:rsidTr="00601D3F">
        <w:trPr>
          <w:trHeight w:val="525"/>
        </w:trPr>
        <w:tc>
          <w:tcPr>
            <w:tcW w:w="7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C63" w:rsidRPr="00D10855" w:rsidRDefault="00894C63" w:rsidP="00D10855">
            <w:pPr>
              <w:ind w:left="597" w:firstLineChars="35" w:firstLine="98"/>
              <w:rPr>
                <w:b/>
                <w:bCs/>
                <w:color w:val="000000"/>
                <w:sz w:val="28"/>
                <w:szCs w:val="28"/>
              </w:rPr>
            </w:pPr>
          </w:p>
          <w:p w:rsidR="00894C63" w:rsidRPr="00407BA1" w:rsidRDefault="00894C63" w:rsidP="00D108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0855">
              <w:rPr>
                <w:b/>
                <w:bCs/>
                <w:color w:val="000000"/>
                <w:sz w:val="28"/>
                <w:szCs w:val="28"/>
              </w:rPr>
              <w:t>General supply controlled off</w:t>
            </w:r>
            <w:r w:rsidRPr="00D10855">
              <w:rPr>
                <w:b/>
                <w:bCs/>
                <w:color w:val="000000"/>
                <w:sz w:val="28"/>
                <w:szCs w:val="28"/>
              </w:rPr>
              <w:noBreakHyphen/>
              <w:t>peak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63" w:rsidRPr="00407BA1" w:rsidRDefault="00894C63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63" w:rsidRPr="00407BA1" w:rsidRDefault="00894C63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63" w:rsidRPr="00407BA1" w:rsidRDefault="00894C63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7BA1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Cost Units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6E3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6E3D2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6E3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6E3D2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Variance</w:t>
            </w:r>
          </w:p>
        </w:tc>
      </w:tr>
      <w:tr w:rsidR="006E3D2F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Off-peak access for off-peak 1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$/day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0.05192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0.05</w:t>
            </w:r>
            <w:r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6E3D2F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Off</w:t>
            </w:r>
            <w:r w:rsidRPr="00407BA1">
              <w:rPr>
                <w:color w:val="000000"/>
                <w:sz w:val="24"/>
                <w:szCs w:val="24"/>
              </w:rPr>
              <w:noBreakHyphen/>
              <w:t>peak 1 (up to 9 hours off</w:t>
            </w:r>
            <w:r w:rsidRPr="00407BA1">
              <w:rPr>
                <w:color w:val="000000"/>
                <w:sz w:val="24"/>
                <w:szCs w:val="24"/>
              </w:rPr>
              <w:noBreakHyphen/>
              <w:t>peak supply daily)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0.09317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0.09</w:t>
            </w:r>
            <w:r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.5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6E3D2F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Off-peak access for off-peak 2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$/day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0.05192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0.05</w:t>
            </w:r>
            <w:r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6E3D2F" w:rsidRPr="00407BA1" w:rsidTr="0084267A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Off</w:t>
            </w:r>
            <w:r w:rsidRPr="00407BA1">
              <w:rPr>
                <w:color w:val="000000"/>
                <w:sz w:val="24"/>
                <w:szCs w:val="24"/>
              </w:rPr>
              <w:noBreakHyphen/>
              <w:t>peak 2 (up to 18 hours off</w:t>
            </w:r>
            <w:r w:rsidRPr="00407BA1">
              <w:rPr>
                <w:color w:val="000000"/>
                <w:sz w:val="24"/>
                <w:szCs w:val="24"/>
              </w:rPr>
              <w:noBreakHyphen/>
              <w:t>peak supply daily)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0.14509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0.14</w:t>
            </w:r>
            <w:r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.3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D10855" w:rsidRDefault="00D10855"/>
    <w:p w:rsidR="006C23DE" w:rsidRPr="001D7EB4" w:rsidRDefault="006C23DE" w:rsidP="006C23DE">
      <w:pPr>
        <w:pStyle w:val="Schedulepart"/>
        <w:spacing w:before="120"/>
        <w:ind w:left="0" w:firstLine="0"/>
        <w:rPr>
          <w:rStyle w:val="CharSchPTText"/>
          <w:rFonts w:ascii="Times New Roman" w:hAnsi="Times New Roman"/>
          <w:b w:val="0"/>
          <w:sz w:val="24"/>
        </w:rPr>
      </w:pPr>
      <w:r w:rsidRPr="006C23DE">
        <w:rPr>
          <w:rStyle w:val="CharSchPTText"/>
          <w:rFonts w:ascii="Times New Roman" w:hAnsi="Times New Roman"/>
          <w:sz w:val="24"/>
        </w:rPr>
        <w:t>Note:</w:t>
      </w:r>
      <w:r>
        <w:rPr>
          <w:rStyle w:val="CharSchPTText"/>
          <w:rFonts w:ascii="Times New Roman" w:hAnsi="Times New Roman"/>
          <w:b w:val="0"/>
          <w:sz w:val="24"/>
        </w:rPr>
        <w:t xml:space="preserve"> All fees listed are GST </w:t>
      </w:r>
      <w:proofErr w:type="gramStart"/>
      <w:r>
        <w:rPr>
          <w:rStyle w:val="CharSchPTText"/>
          <w:rFonts w:ascii="Times New Roman" w:hAnsi="Times New Roman"/>
          <w:b w:val="0"/>
          <w:sz w:val="24"/>
        </w:rPr>
        <w:t>inclusive,</w:t>
      </w:r>
      <w:proofErr w:type="gramEnd"/>
      <w:r>
        <w:rPr>
          <w:rStyle w:val="CharSchPTText"/>
          <w:rFonts w:ascii="Times New Roman" w:hAnsi="Times New Roman"/>
          <w:b w:val="0"/>
          <w:sz w:val="24"/>
        </w:rPr>
        <w:t xml:space="preserve"> refer Section 99-1, </w:t>
      </w:r>
      <w:r w:rsidRPr="00C1752C">
        <w:rPr>
          <w:rStyle w:val="CharSchPTText"/>
          <w:rFonts w:ascii="Times New Roman" w:hAnsi="Times New Roman"/>
          <w:b w:val="0"/>
          <w:i/>
          <w:sz w:val="24"/>
        </w:rPr>
        <w:t xml:space="preserve">A New Tax System (Goods and Services Tax) Act 1999 </w:t>
      </w:r>
      <w:r>
        <w:rPr>
          <w:rStyle w:val="CharSchPTText"/>
          <w:rFonts w:ascii="Times New Roman" w:hAnsi="Times New Roman"/>
          <w:b w:val="0"/>
          <w:sz w:val="24"/>
        </w:rPr>
        <w:t xml:space="preserve">and </w:t>
      </w:r>
      <w:r w:rsidRPr="00C1752C">
        <w:rPr>
          <w:rStyle w:val="CharSchPTText"/>
          <w:rFonts w:ascii="Times New Roman" w:hAnsi="Times New Roman"/>
          <w:b w:val="0"/>
          <w:i/>
          <w:sz w:val="24"/>
        </w:rPr>
        <w:t>GST Ruling 2006/2</w:t>
      </w:r>
      <w:r>
        <w:rPr>
          <w:rStyle w:val="CharSchPTText"/>
          <w:rFonts w:ascii="Times New Roman" w:hAnsi="Times New Roman"/>
          <w:b w:val="0"/>
          <w:sz w:val="24"/>
        </w:rPr>
        <w:t>.</w:t>
      </w:r>
    </w:p>
    <w:p w:rsidR="006C23DE" w:rsidRDefault="006C23DE"/>
    <w:p w:rsidR="00B21A3F" w:rsidRDefault="00D10855">
      <w:r>
        <w:br w:type="page"/>
      </w:r>
    </w:p>
    <w:tbl>
      <w:tblPr>
        <w:tblW w:w="15252" w:type="dxa"/>
        <w:tblInd w:w="-297" w:type="dxa"/>
        <w:tblLook w:val="04A0" w:firstRow="1" w:lastRow="0" w:firstColumn="1" w:lastColumn="0" w:noHBand="0" w:noVBand="1"/>
      </w:tblPr>
      <w:tblGrid>
        <w:gridCol w:w="105"/>
        <w:gridCol w:w="591"/>
        <w:gridCol w:w="4240"/>
        <w:gridCol w:w="105"/>
        <w:gridCol w:w="2310"/>
        <w:gridCol w:w="105"/>
        <w:gridCol w:w="2872"/>
        <w:gridCol w:w="105"/>
        <w:gridCol w:w="2446"/>
        <w:gridCol w:w="105"/>
        <w:gridCol w:w="2163"/>
        <w:gridCol w:w="105"/>
      </w:tblGrid>
      <w:tr w:rsidR="00407BA1" w:rsidRPr="00407BA1" w:rsidTr="00952A89">
        <w:trPr>
          <w:gridAfter w:val="1"/>
          <w:wAfter w:w="105" w:type="dxa"/>
          <w:trHeight w:val="525"/>
        </w:trPr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A1" w:rsidRPr="00894C63" w:rsidRDefault="00407BA1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855">
              <w:rPr>
                <w:b/>
                <w:bCs/>
                <w:color w:val="000000"/>
                <w:sz w:val="28"/>
                <w:szCs w:val="28"/>
              </w:rPr>
              <w:t>LV industrial supply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7BA1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Cost Units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6E3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6E3D2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6E3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6E3D2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Variance</w:t>
            </w:r>
          </w:p>
        </w:tc>
      </w:tr>
      <w:tr w:rsidR="00407BA1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For all electricity supply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84267A" w:rsidP="0084267A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7BA1" w:rsidRPr="00407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0.19096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6E3D2F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0.19</w:t>
            </w:r>
            <w:r w:rsidR="006E3D2F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  <w:r w:rsidR="00407BA1"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407BA1" w:rsidRPr="00407BA1" w:rsidTr="00952A89">
        <w:trPr>
          <w:gridAfter w:val="1"/>
          <w:wAfter w:w="105" w:type="dxa"/>
          <w:trHeight w:val="525"/>
        </w:trPr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55" w:rsidRDefault="00D10855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07BA1" w:rsidRPr="00D10855" w:rsidRDefault="00407BA1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0855">
              <w:rPr>
                <w:b/>
                <w:bCs/>
                <w:color w:val="000000"/>
                <w:sz w:val="28"/>
                <w:szCs w:val="28"/>
              </w:rPr>
              <w:t>11kV time</w:t>
            </w:r>
            <w:r w:rsidRPr="00D10855">
              <w:rPr>
                <w:b/>
                <w:bCs/>
                <w:color w:val="000000"/>
                <w:sz w:val="28"/>
                <w:szCs w:val="28"/>
              </w:rPr>
              <w:noBreakHyphen/>
              <w:t>of</w:t>
            </w:r>
            <w:r w:rsidRPr="00D10855">
              <w:rPr>
                <w:b/>
                <w:bCs/>
                <w:color w:val="000000"/>
                <w:sz w:val="28"/>
                <w:szCs w:val="28"/>
              </w:rPr>
              <w:noBreakHyphen/>
              <w:t>use demand supply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7BA1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713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71306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713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71306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Variance</w:t>
            </w:r>
          </w:p>
        </w:tc>
      </w:tr>
      <w:tr w:rsidR="006E3D2F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Monthly fee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$/kVA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11.715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11.</w:t>
            </w:r>
            <w:r>
              <w:rPr>
                <w:color w:val="000000"/>
                <w:sz w:val="24"/>
                <w:szCs w:val="24"/>
              </w:rPr>
              <w:t>640</w:t>
            </w:r>
            <w:r w:rsidR="007130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-0.6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6E3D2F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 xml:space="preserve">For electricity supply during a peak period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0.17666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</w:t>
            </w:r>
            <w:r>
              <w:rPr>
                <w:color w:val="000000"/>
                <w:sz w:val="24"/>
                <w:szCs w:val="24"/>
              </w:rPr>
              <w:t>8084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6E3D2F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 xml:space="preserve">For electricity supply during a shoulder period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0.16511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0.16</w:t>
            </w: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6E3D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  <w:r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6E3D2F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For electricity supply during an off</w:t>
            </w:r>
            <w:r w:rsidRPr="00407BA1">
              <w:rPr>
                <w:color w:val="000000"/>
                <w:sz w:val="24"/>
                <w:szCs w:val="24"/>
              </w:rPr>
              <w:noBreakHyphen/>
              <w:t xml:space="preserve">peak period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$/kWh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0.09757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6E3D2F" w:rsidP="00713066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0.097</w:t>
            </w:r>
            <w:r w:rsidR="0071306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D2F" w:rsidRPr="00407BA1" w:rsidRDefault="00713066" w:rsidP="007130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  <w:r w:rsidR="006E3D2F"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407BA1" w:rsidRPr="00894C63" w:rsidTr="00952A89">
        <w:trPr>
          <w:gridBefore w:val="1"/>
          <w:wBefore w:w="105" w:type="dxa"/>
          <w:trHeight w:val="525"/>
        </w:trPr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55" w:rsidRDefault="00D10855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07BA1" w:rsidRPr="00407BA1" w:rsidRDefault="00407BA1" w:rsidP="00894C63">
            <w:pPr>
              <w:ind w:left="-108"/>
              <w:rPr>
                <w:b/>
                <w:bCs/>
                <w:color w:val="000000"/>
                <w:sz w:val="28"/>
                <w:szCs w:val="28"/>
              </w:rPr>
            </w:pPr>
            <w:r w:rsidRPr="00407BA1">
              <w:rPr>
                <w:b/>
                <w:bCs/>
                <w:color w:val="000000"/>
                <w:sz w:val="28"/>
                <w:szCs w:val="28"/>
              </w:rPr>
              <w:t>Domestic Customer Rebates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894C63" w:rsidRDefault="00407BA1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894C63" w:rsidRDefault="00407BA1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894C63" w:rsidRDefault="00407BA1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894C63" w:rsidRDefault="00407BA1" w:rsidP="00894C6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7BA1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Cost Units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713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71306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Rebate($)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713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71306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Rebate($)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Variance</w:t>
            </w:r>
          </w:p>
        </w:tc>
      </w:tr>
      <w:tr w:rsidR="00407BA1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right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Pensioner rebate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$/day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713066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0.5</w:t>
            </w:r>
            <w:r w:rsidR="0071306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713066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</w:t>
            </w:r>
            <w:r w:rsidR="0071306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</w:t>
            </w:r>
            <w:r w:rsidR="00407BA1" w:rsidRPr="00407BA1">
              <w:rPr>
                <w:color w:val="000000"/>
                <w:sz w:val="24"/>
                <w:szCs w:val="24"/>
              </w:rPr>
              <w:t>%</w:t>
            </w:r>
          </w:p>
        </w:tc>
      </w:tr>
      <w:tr w:rsidR="00407BA1" w:rsidRPr="00407BA1" w:rsidTr="00952A89">
        <w:trPr>
          <w:gridAfter w:val="1"/>
          <w:wAfter w:w="105" w:type="dxa"/>
          <w:cantSplit/>
          <w:trHeight w:val="52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right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Life support or constant positive airway pressure respirators rebate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$/day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19706A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</w:t>
            </w:r>
            <w:r w:rsidR="0019706A">
              <w:rPr>
                <w:color w:val="000000"/>
                <w:sz w:val="24"/>
                <w:szCs w:val="24"/>
              </w:rPr>
              <w:t>8</w:t>
            </w:r>
            <w:r w:rsidRPr="00407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19706A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0.</w:t>
            </w:r>
            <w:r w:rsidR="0019706A">
              <w:rPr>
                <w:color w:val="000000"/>
                <w:sz w:val="24"/>
                <w:szCs w:val="24"/>
              </w:rPr>
              <w:t>8</w:t>
            </w:r>
            <w:r w:rsidRPr="00407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A1" w:rsidRPr="00407BA1" w:rsidRDefault="00407BA1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0%</w:t>
            </w:r>
          </w:p>
        </w:tc>
      </w:tr>
    </w:tbl>
    <w:p w:rsidR="00952A89" w:rsidRDefault="00952A89"/>
    <w:tbl>
      <w:tblPr>
        <w:tblW w:w="17132" w:type="dxa"/>
        <w:tblInd w:w="-297" w:type="dxa"/>
        <w:tblLook w:val="04A0" w:firstRow="1" w:lastRow="0" w:firstColumn="1" w:lastColumn="0" w:noHBand="0" w:noVBand="1"/>
      </w:tblPr>
      <w:tblGrid>
        <w:gridCol w:w="14864"/>
        <w:gridCol w:w="2268"/>
      </w:tblGrid>
      <w:tr w:rsidR="00407BA1" w:rsidRPr="00407BA1" w:rsidTr="006C23DE">
        <w:trPr>
          <w:trHeight w:val="525"/>
        </w:trPr>
        <w:tc>
          <w:tcPr>
            <w:tcW w:w="1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3DE" w:rsidRDefault="006C23DE" w:rsidP="006C23DE">
            <w:pPr>
              <w:pStyle w:val="Schedulepart"/>
              <w:spacing w:before="120"/>
              <w:ind w:left="0" w:firstLine="0"/>
              <w:rPr>
                <w:rStyle w:val="CharSchPTText"/>
                <w:rFonts w:ascii="Times New Roman" w:hAnsi="Times New Roman"/>
                <w:sz w:val="24"/>
              </w:rPr>
            </w:pPr>
          </w:p>
          <w:p w:rsidR="006C23DE" w:rsidRDefault="006C23DE" w:rsidP="006C23DE">
            <w:pPr>
              <w:pStyle w:val="Schedulepart"/>
              <w:spacing w:before="120"/>
              <w:ind w:left="0" w:firstLine="0"/>
              <w:rPr>
                <w:rStyle w:val="CharSchPTText"/>
                <w:rFonts w:ascii="Times New Roman" w:hAnsi="Times New Roman"/>
                <w:b w:val="0"/>
                <w:sz w:val="24"/>
              </w:rPr>
            </w:pPr>
            <w:r w:rsidRPr="006C23DE">
              <w:rPr>
                <w:rStyle w:val="CharSchPTText"/>
                <w:rFonts w:ascii="Times New Roman" w:hAnsi="Times New Roman"/>
                <w:sz w:val="24"/>
              </w:rPr>
              <w:t>Note:</w:t>
            </w:r>
            <w:r>
              <w:rPr>
                <w:rStyle w:val="CharSchPTText"/>
                <w:rFonts w:ascii="Times New Roman" w:hAnsi="Times New Roman"/>
                <w:b w:val="0"/>
                <w:sz w:val="24"/>
              </w:rPr>
              <w:t xml:space="preserve"> All fees listed are GST </w:t>
            </w:r>
            <w:proofErr w:type="gramStart"/>
            <w:r>
              <w:rPr>
                <w:rStyle w:val="CharSchPTText"/>
                <w:rFonts w:ascii="Times New Roman" w:hAnsi="Times New Roman"/>
                <w:b w:val="0"/>
                <w:sz w:val="24"/>
              </w:rPr>
              <w:t>inclusive,</w:t>
            </w:r>
            <w:proofErr w:type="gramEnd"/>
            <w:r>
              <w:rPr>
                <w:rStyle w:val="CharSchPTText"/>
                <w:rFonts w:ascii="Times New Roman" w:hAnsi="Times New Roman"/>
                <w:b w:val="0"/>
                <w:sz w:val="24"/>
              </w:rPr>
              <w:t xml:space="preserve"> refer Section 99-1, </w:t>
            </w:r>
            <w:r w:rsidRPr="00C1752C">
              <w:rPr>
                <w:rStyle w:val="CharSchPTText"/>
                <w:rFonts w:ascii="Times New Roman" w:hAnsi="Times New Roman"/>
                <w:b w:val="0"/>
                <w:i/>
                <w:sz w:val="24"/>
              </w:rPr>
              <w:t xml:space="preserve">A New Tax System (Goods and Services Tax) Act 1999 </w:t>
            </w:r>
            <w:r>
              <w:rPr>
                <w:rStyle w:val="CharSchPTText"/>
                <w:rFonts w:ascii="Times New Roman" w:hAnsi="Times New Roman"/>
                <w:b w:val="0"/>
                <w:sz w:val="24"/>
              </w:rPr>
              <w:t xml:space="preserve">and </w:t>
            </w:r>
            <w:r w:rsidRPr="00C1752C">
              <w:rPr>
                <w:rStyle w:val="CharSchPTText"/>
                <w:rFonts w:ascii="Times New Roman" w:hAnsi="Times New Roman"/>
                <w:b w:val="0"/>
                <w:i/>
                <w:sz w:val="24"/>
              </w:rPr>
              <w:t>GST Ruling 2006/2</w:t>
            </w:r>
            <w:r>
              <w:rPr>
                <w:rStyle w:val="CharSchPTText"/>
                <w:rFonts w:ascii="Times New Roman" w:hAnsi="Times New Roman"/>
                <w:b w:val="0"/>
                <w:sz w:val="24"/>
              </w:rPr>
              <w:t>.</w:t>
            </w:r>
          </w:p>
          <w:p w:rsidR="00952A89" w:rsidRPr="001D7EB4" w:rsidRDefault="00952A89" w:rsidP="006C23DE">
            <w:pPr>
              <w:pStyle w:val="Schedulepart"/>
              <w:spacing w:before="120"/>
              <w:ind w:left="0" w:firstLine="0"/>
              <w:rPr>
                <w:rStyle w:val="CharSchPTText"/>
                <w:rFonts w:ascii="Times New Roman" w:hAnsi="Times New Roman"/>
                <w:b w:val="0"/>
                <w:sz w:val="24"/>
              </w:rPr>
            </w:pPr>
          </w:p>
          <w:p w:rsidR="00407BA1" w:rsidRPr="00407BA1" w:rsidRDefault="00407BA1" w:rsidP="00407BA1">
            <w:pPr>
              <w:ind w:firstLineChars="300" w:firstLine="601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A1" w:rsidRPr="00407BA1" w:rsidRDefault="00407BA1" w:rsidP="00407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94C63" w:rsidRDefault="00D10855" w:rsidP="00472BE9">
      <w:pPr>
        <w:ind w:hanging="300"/>
        <w:rPr>
          <w:b/>
          <w:bCs/>
          <w:color w:val="000000"/>
          <w:sz w:val="28"/>
          <w:szCs w:val="28"/>
        </w:rPr>
      </w:pPr>
      <w:r>
        <w:br w:type="page"/>
      </w:r>
      <w:r w:rsidR="00894C63" w:rsidRPr="00894C63">
        <w:rPr>
          <w:b/>
          <w:bCs/>
          <w:color w:val="000000"/>
          <w:sz w:val="28"/>
          <w:szCs w:val="28"/>
        </w:rPr>
        <w:lastRenderedPageBreak/>
        <w:t>Connection of electricity supply — fees payable before connection</w:t>
      </w:r>
    </w:p>
    <w:tbl>
      <w:tblPr>
        <w:tblW w:w="13501" w:type="dxa"/>
        <w:tblInd w:w="-297" w:type="dxa"/>
        <w:tblLook w:val="04A0" w:firstRow="1" w:lastRow="0" w:firstColumn="1" w:lastColumn="0" w:noHBand="0" w:noVBand="1"/>
      </w:tblPr>
      <w:tblGrid>
        <w:gridCol w:w="696"/>
        <w:gridCol w:w="5009"/>
        <w:gridCol w:w="2977"/>
        <w:gridCol w:w="2551"/>
        <w:gridCol w:w="2268"/>
      </w:tblGrid>
      <w:tr w:rsidR="006C23DE" w:rsidRPr="00407BA1" w:rsidTr="006C23DE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6C23DE" w:rsidP="006C23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6C23DE" w:rsidP="006C23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6C23DE" w:rsidP="00713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71306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($)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6C23DE" w:rsidP="00713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71306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($)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6C23DE" w:rsidP="006C2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Variance</w:t>
            </w:r>
          </w:p>
        </w:tc>
      </w:tr>
      <w:tr w:rsidR="006C23DE" w:rsidRPr="00407BA1" w:rsidTr="006C23DE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713066" w:rsidP="00713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6C23DE" w:rsidP="006C23DE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New account supply connection fee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6C23DE" w:rsidP="006C23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713066" w:rsidP="007130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  <w:r w:rsidR="006C23DE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3DE" w:rsidRPr="00407BA1" w:rsidRDefault="00713066" w:rsidP="007130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16.7</w:t>
            </w:r>
            <w:r w:rsidR="006C23DE" w:rsidRPr="00407BA1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472BE9" w:rsidRPr="00743694" w:rsidRDefault="00472BE9" w:rsidP="00472BE9">
      <w:pPr>
        <w:ind w:hanging="300"/>
        <w:rPr>
          <w:b/>
          <w:bCs/>
          <w:color w:val="000000"/>
          <w:sz w:val="24"/>
          <w:szCs w:val="24"/>
        </w:rPr>
      </w:pPr>
    </w:p>
    <w:tbl>
      <w:tblPr>
        <w:tblW w:w="13501" w:type="dxa"/>
        <w:tblInd w:w="-297" w:type="dxa"/>
        <w:tblLook w:val="04A0" w:firstRow="1" w:lastRow="0" w:firstColumn="1" w:lastColumn="0" w:noHBand="0" w:noVBand="1"/>
      </w:tblPr>
      <w:tblGrid>
        <w:gridCol w:w="696"/>
        <w:gridCol w:w="5009"/>
        <w:gridCol w:w="2977"/>
        <w:gridCol w:w="2551"/>
        <w:gridCol w:w="2268"/>
      </w:tblGrid>
      <w:tr w:rsidR="00894C63" w:rsidRPr="00472BE9" w:rsidTr="00894C63">
        <w:trPr>
          <w:trHeight w:val="525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694" w:rsidRPr="00743694" w:rsidRDefault="00743694" w:rsidP="00472BE9">
            <w:pPr>
              <w:ind w:hanging="3"/>
              <w:rPr>
                <w:b/>
                <w:bCs/>
                <w:color w:val="000000"/>
              </w:rPr>
            </w:pPr>
          </w:p>
          <w:p w:rsidR="00894C63" w:rsidRPr="00D10855" w:rsidRDefault="00894C63" w:rsidP="00472BE9">
            <w:pPr>
              <w:ind w:hanging="3"/>
              <w:rPr>
                <w:b/>
                <w:bCs/>
                <w:color w:val="000000"/>
                <w:sz w:val="28"/>
                <w:szCs w:val="28"/>
              </w:rPr>
            </w:pPr>
            <w:r w:rsidRPr="00D10855">
              <w:rPr>
                <w:b/>
                <w:bCs/>
                <w:color w:val="000000"/>
                <w:sz w:val="28"/>
                <w:szCs w:val="28"/>
              </w:rPr>
              <w:t>Other fees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63" w:rsidRPr="00472BE9" w:rsidRDefault="00894C63" w:rsidP="00472BE9">
            <w:pPr>
              <w:ind w:hanging="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63" w:rsidRPr="00472BE9" w:rsidRDefault="00894C63" w:rsidP="00472BE9">
            <w:pPr>
              <w:ind w:hanging="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C63" w:rsidRPr="00472BE9" w:rsidRDefault="00894C63" w:rsidP="00472BE9">
            <w:pPr>
              <w:ind w:hanging="3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4C63" w:rsidRPr="00407BA1" w:rsidTr="00894C63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713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71306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($)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713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71306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07BA1">
              <w:rPr>
                <w:b/>
                <w:bCs/>
                <w:color w:val="000000"/>
                <w:sz w:val="24"/>
                <w:szCs w:val="24"/>
              </w:rPr>
              <w:t xml:space="preserve"> Fee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($)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7BA1">
              <w:rPr>
                <w:b/>
                <w:bCs/>
                <w:color w:val="000000"/>
                <w:sz w:val="24"/>
                <w:szCs w:val="24"/>
              </w:rPr>
              <w:t>Variance</w:t>
            </w:r>
          </w:p>
        </w:tc>
      </w:tr>
      <w:tr w:rsidR="00894C63" w:rsidRPr="00407BA1" w:rsidTr="00894C63">
        <w:trPr>
          <w:cantSplit/>
          <w:trHeight w:val="5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jc w:val="right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8426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 w:rsidRPr="00407BA1">
              <w:rPr>
                <w:color w:val="000000"/>
                <w:sz w:val="24"/>
                <w:szCs w:val="24"/>
              </w:rPr>
              <w:t>isconnection fee at the meter board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713066" w:rsidP="007130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713066">
              <w:rPr>
                <w:color w:val="000000"/>
                <w:sz w:val="24"/>
                <w:szCs w:val="24"/>
              </w:rPr>
              <w:t>16.7%</w:t>
            </w:r>
          </w:p>
        </w:tc>
      </w:tr>
      <w:tr w:rsidR="00894C63" w:rsidRPr="00407BA1" w:rsidTr="00894C63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8426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8426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</w:t>
            </w:r>
            <w:r w:rsidRPr="00407BA1">
              <w:rPr>
                <w:color w:val="000000"/>
                <w:sz w:val="24"/>
                <w:szCs w:val="24"/>
              </w:rPr>
              <w:t>econnection fee at the meter board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601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713066" w:rsidP="007130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713066" w:rsidP="00601D3F">
            <w:pPr>
              <w:jc w:val="center"/>
              <w:rPr>
                <w:color w:val="000000"/>
                <w:sz w:val="24"/>
                <w:szCs w:val="24"/>
              </w:rPr>
            </w:pPr>
            <w:r w:rsidRPr="00713066">
              <w:rPr>
                <w:color w:val="000000"/>
                <w:sz w:val="24"/>
                <w:szCs w:val="24"/>
              </w:rPr>
              <w:t>16.7%</w:t>
            </w:r>
          </w:p>
        </w:tc>
      </w:tr>
      <w:tr w:rsidR="00894C63" w:rsidRPr="00407BA1" w:rsidTr="00EA4340">
        <w:trPr>
          <w:cantSplit/>
          <w:trHeight w:val="84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Combined disconnection/reconnection fee — at the pole or distribution pillar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0%</w:t>
            </w:r>
          </w:p>
        </w:tc>
      </w:tr>
      <w:tr w:rsidR="00894C63" w:rsidRPr="00407BA1" w:rsidTr="00894C63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Meter test requested by customer –  charged per hour and minimum charge is for one hour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894C63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66</w:t>
            </w:r>
            <w:r w:rsidR="007E13AB">
              <w:rPr>
                <w:color w:val="000000"/>
                <w:sz w:val="24"/>
                <w:szCs w:val="24"/>
              </w:rPr>
              <w:t xml:space="preserve"> per hour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713066" w:rsidP="007130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  <w:r w:rsidR="007E13AB">
              <w:rPr>
                <w:color w:val="000000"/>
                <w:sz w:val="24"/>
                <w:szCs w:val="24"/>
              </w:rPr>
              <w:t xml:space="preserve"> per hour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C63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713066">
              <w:rPr>
                <w:color w:val="000000"/>
                <w:sz w:val="24"/>
                <w:szCs w:val="24"/>
              </w:rPr>
              <w:t>16.7%</w:t>
            </w:r>
          </w:p>
        </w:tc>
      </w:tr>
      <w:tr w:rsidR="00713066" w:rsidRPr="00407BA1" w:rsidTr="00894C63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 xml:space="preserve">Extraordinary meter reading due to no access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713066">
              <w:rPr>
                <w:color w:val="000000"/>
                <w:sz w:val="24"/>
                <w:szCs w:val="24"/>
              </w:rPr>
              <w:t>16.7%</w:t>
            </w:r>
          </w:p>
        </w:tc>
      </w:tr>
      <w:tr w:rsidR="00713066" w:rsidRPr="00407BA1" w:rsidTr="00894C63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8426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Notice of disconnection delivery fee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185F08" w:rsidP="00185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185F08">
            <w:pPr>
              <w:jc w:val="center"/>
              <w:rPr>
                <w:color w:val="000000"/>
                <w:sz w:val="24"/>
                <w:szCs w:val="24"/>
              </w:rPr>
            </w:pPr>
            <w:r w:rsidRPr="00713066">
              <w:rPr>
                <w:color w:val="000000"/>
                <w:sz w:val="24"/>
                <w:szCs w:val="24"/>
              </w:rPr>
              <w:t>1</w:t>
            </w:r>
            <w:r w:rsidR="00185F08">
              <w:rPr>
                <w:color w:val="000000"/>
                <w:sz w:val="24"/>
                <w:szCs w:val="24"/>
              </w:rPr>
              <w:t>4.3</w:t>
            </w:r>
            <w:r w:rsidRPr="00713066">
              <w:rPr>
                <w:color w:val="000000"/>
                <w:sz w:val="24"/>
                <w:szCs w:val="24"/>
              </w:rPr>
              <w:t>%</w:t>
            </w:r>
          </w:p>
        </w:tc>
      </w:tr>
      <w:tr w:rsidR="00713066" w:rsidRPr="00407BA1" w:rsidTr="00894C63">
        <w:trPr>
          <w:cantSplit/>
          <w:trHeight w:val="525"/>
        </w:trPr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8426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Each customer requested change of off</w:t>
            </w:r>
            <w:r w:rsidRPr="00407BA1">
              <w:rPr>
                <w:color w:val="000000"/>
                <w:sz w:val="24"/>
                <w:szCs w:val="24"/>
              </w:rPr>
              <w:noBreakHyphen/>
              <w:t>peak pricing option in excess of once in a 12</w:t>
            </w:r>
            <w:r w:rsidRPr="00407BA1">
              <w:rPr>
                <w:color w:val="000000"/>
                <w:sz w:val="24"/>
                <w:szCs w:val="24"/>
              </w:rPr>
              <w:noBreakHyphen/>
              <w:t>month period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407BA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3066" w:rsidRPr="00407BA1" w:rsidRDefault="00713066" w:rsidP="00407BA1">
            <w:pPr>
              <w:jc w:val="center"/>
              <w:rPr>
                <w:color w:val="000000"/>
                <w:sz w:val="24"/>
                <w:szCs w:val="24"/>
              </w:rPr>
            </w:pPr>
            <w:r w:rsidRPr="00713066">
              <w:rPr>
                <w:color w:val="000000"/>
                <w:sz w:val="24"/>
                <w:szCs w:val="24"/>
              </w:rPr>
              <w:t>16.7%</w:t>
            </w:r>
          </w:p>
        </w:tc>
      </w:tr>
    </w:tbl>
    <w:p w:rsidR="00952A89" w:rsidRDefault="00743694" w:rsidP="00952A89">
      <w:pPr>
        <w:pStyle w:val="Schedulepart"/>
        <w:spacing w:before="120"/>
        <w:ind w:left="0" w:firstLine="0"/>
        <w:rPr>
          <w:rStyle w:val="CharSchPTText"/>
          <w:rFonts w:ascii="Times New Roman" w:hAnsi="Times New Roman"/>
          <w:b w:val="0"/>
          <w:sz w:val="24"/>
        </w:rPr>
      </w:pPr>
      <w:bookmarkStart w:id="7" w:name="BK_S4P7L2C1"/>
      <w:bookmarkEnd w:id="4"/>
      <w:bookmarkEnd w:id="7"/>
      <w:r w:rsidRPr="006C23DE">
        <w:rPr>
          <w:rStyle w:val="CharSchPTText"/>
          <w:rFonts w:ascii="Times New Roman" w:hAnsi="Times New Roman"/>
          <w:sz w:val="24"/>
        </w:rPr>
        <w:t>Note:</w:t>
      </w:r>
      <w:r>
        <w:rPr>
          <w:rStyle w:val="CharSchPTText"/>
          <w:rFonts w:ascii="Times New Roman" w:hAnsi="Times New Roman"/>
          <w:b w:val="0"/>
          <w:sz w:val="24"/>
        </w:rPr>
        <w:t xml:space="preserve"> All fees listed are GST </w:t>
      </w:r>
      <w:proofErr w:type="gramStart"/>
      <w:r>
        <w:rPr>
          <w:rStyle w:val="CharSchPTText"/>
          <w:rFonts w:ascii="Times New Roman" w:hAnsi="Times New Roman"/>
          <w:b w:val="0"/>
          <w:sz w:val="24"/>
        </w:rPr>
        <w:t>inclusive,</w:t>
      </w:r>
      <w:proofErr w:type="gramEnd"/>
      <w:r>
        <w:rPr>
          <w:rStyle w:val="CharSchPTText"/>
          <w:rFonts w:ascii="Times New Roman" w:hAnsi="Times New Roman"/>
          <w:b w:val="0"/>
          <w:sz w:val="24"/>
        </w:rPr>
        <w:t xml:space="preserve"> refer Section 99-1, </w:t>
      </w:r>
      <w:r w:rsidRPr="00C1752C">
        <w:rPr>
          <w:rStyle w:val="CharSchPTText"/>
          <w:rFonts w:ascii="Times New Roman" w:hAnsi="Times New Roman"/>
          <w:b w:val="0"/>
          <w:i/>
          <w:sz w:val="24"/>
        </w:rPr>
        <w:t xml:space="preserve">A New Tax System (Goods and Services Tax) Act 1999 </w:t>
      </w:r>
      <w:r>
        <w:rPr>
          <w:rStyle w:val="CharSchPTText"/>
          <w:rFonts w:ascii="Times New Roman" w:hAnsi="Times New Roman"/>
          <w:b w:val="0"/>
          <w:sz w:val="24"/>
        </w:rPr>
        <w:t xml:space="preserve">and </w:t>
      </w:r>
      <w:r w:rsidRPr="00C1752C">
        <w:rPr>
          <w:rStyle w:val="CharSchPTText"/>
          <w:rFonts w:ascii="Times New Roman" w:hAnsi="Times New Roman"/>
          <w:b w:val="0"/>
          <w:i/>
          <w:sz w:val="24"/>
        </w:rPr>
        <w:t>GST Ruling 2006/2</w:t>
      </w:r>
      <w:r>
        <w:rPr>
          <w:rStyle w:val="CharSchPTText"/>
          <w:rFonts w:ascii="Times New Roman" w:hAnsi="Times New Roman"/>
          <w:b w:val="0"/>
          <w:sz w:val="24"/>
        </w:rPr>
        <w:t>.</w:t>
      </w:r>
    </w:p>
    <w:p w:rsidR="00952A89" w:rsidRDefault="00952A89" w:rsidP="00952A89">
      <w:pPr>
        <w:pStyle w:val="Schedulepart"/>
        <w:spacing w:before="120"/>
        <w:ind w:left="0" w:firstLine="0"/>
        <w:rPr>
          <w:rStyle w:val="CharSchPTText"/>
          <w:rFonts w:ascii="Times New Roman" w:hAnsi="Times New Roman"/>
          <w:b w:val="0"/>
          <w:sz w:val="24"/>
        </w:rPr>
      </w:pPr>
    </w:p>
    <w:sectPr w:rsidR="00952A89" w:rsidSect="00952A89">
      <w:pgSz w:w="16840" w:h="11907" w:orient="landscape" w:code="9"/>
      <w:pgMar w:top="1361" w:right="907" w:bottom="136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60" w:rsidRDefault="00526660">
      <w:r>
        <w:separator/>
      </w:r>
    </w:p>
  </w:endnote>
  <w:endnote w:type="continuationSeparator" w:id="0">
    <w:p w:rsidR="00526660" w:rsidRDefault="0052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11" w:rsidRDefault="00AC11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117">
      <w:rPr>
        <w:noProof/>
      </w:rPr>
      <w:t>6</w:t>
    </w:r>
    <w:r>
      <w:rPr>
        <w:noProof/>
      </w:rPr>
      <w:fldChar w:fldCharType="end"/>
    </w:r>
  </w:p>
  <w:p w:rsidR="00AC1111" w:rsidRDefault="00AC1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60" w:rsidRDefault="00526660">
      <w:r>
        <w:separator/>
      </w:r>
    </w:p>
  </w:footnote>
  <w:footnote w:type="continuationSeparator" w:id="0">
    <w:p w:rsidR="00526660" w:rsidRDefault="0052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520D"/>
    <w:multiLevelType w:val="hybridMultilevel"/>
    <w:tmpl w:val="F1585C50"/>
    <w:lvl w:ilvl="0" w:tplc="D6EEEB7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B2A87"/>
    <w:multiLevelType w:val="hybridMultilevel"/>
    <w:tmpl w:val="57A6D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A3D6B"/>
    <w:multiLevelType w:val="singleLevel"/>
    <w:tmpl w:val="DC822468"/>
    <w:lvl w:ilvl="0">
      <w:start w:val="1"/>
      <w:numFmt w:val="bullet"/>
      <w:pStyle w:val="Dotpoi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A220803"/>
    <w:multiLevelType w:val="hybridMultilevel"/>
    <w:tmpl w:val="0DE21346"/>
    <w:lvl w:ilvl="0" w:tplc="D6EEEB7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37A33"/>
    <w:multiLevelType w:val="hybridMultilevel"/>
    <w:tmpl w:val="D3A85C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515C"/>
    <w:multiLevelType w:val="hybridMultilevel"/>
    <w:tmpl w:val="EF5AF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E8A"/>
    <w:rsid w:val="0000081C"/>
    <w:rsid w:val="0000489A"/>
    <w:rsid w:val="0000705B"/>
    <w:rsid w:val="00041DD1"/>
    <w:rsid w:val="00043836"/>
    <w:rsid w:val="00043A1D"/>
    <w:rsid w:val="000442B3"/>
    <w:rsid w:val="00045DDE"/>
    <w:rsid w:val="0006481E"/>
    <w:rsid w:val="00064C57"/>
    <w:rsid w:val="000676B6"/>
    <w:rsid w:val="00076C1C"/>
    <w:rsid w:val="000A7A93"/>
    <w:rsid w:val="000B2DEB"/>
    <w:rsid w:val="000C5C74"/>
    <w:rsid w:val="000E3C38"/>
    <w:rsid w:val="000F0355"/>
    <w:rsid w:val="00100C57"/>
    <w:rsid w:val="00102603"/>
    <w:rsid w:val="00107A3A"/>
    <w:rsid w:val="00111851"/>
    <w:rsid w:val="00111CD9"/>
    <w:rsid w:val="00116F25"/>
    <w:rsid w:val="0012272C"/>
    <w:rsid w:val="00130081"/>
    <w:rsid w:val="00150F31"/>
    <w:rsid w:val="00161AB8"/>
    <w:rsid w:val="00170680"/>
    <w:rsid w:val="001710CD"/>
    <w:rsid w:val="001712F5"/>
    <w:rsid w:val="0017184B"/>
    <w:rsid w:val="00177AC4"/>
    <w:rsid w:val="00185F08"/>
    <w:rsid w:val="0019706A"/>
    <w:rsid w:val="001A310E"/>
    <w:rsid w:val="001B7E28"/>
    <w:rsid w:val="001C0000"/>
    <w:rsid w:val="001C07E0"/>
    <w:rsid w:val="001C1DE5"/>
    <w:rsid w:val="001C5A4F"/>
    <w:rsid w:val="001D1CBB"/>
    <w:rsid w:val="001D7EB4"/>
    <w:rsid w:val="001E2149"/>
    <w:rsid w:val="001E30E5"/>
    <w:rsid w:val="001E4748"/>
    <w:rsid w:val="001E6241"/>
    <w:rsid w:val="001F0BF0"/>
    <w:rsid w:val="001F4A5A"/>
    <w:rsid w:val="00211381"/>
    <w:rsid w:val="00212E1C"/>
    <w:rsid w:val="002213A7"/>
    <w:rsid w:val="0022388D"/>
    <w:rsid w:val="00231DAA"/>
    <w:rsid w:val="00243BA5"/>
    <w:rsid w:val="002456EA"/>
    <w:rsid w:val="00254E5B"/>
    <w:rsid w:val="00255C69"/>
    <w:rsid w:val="002604F5"/>
    <w:rsid w:val="0028387A"/>
    <w:rsid w:val="0028597E"/>
    <w:rsid w:val="0028762D"/>
    <w:rsid w:val="002B6EA1"/>
    <w:rsid w:val="002C4B28"/>
    <w:rsid w:val="002C60DF"/>
    <w:rsid w:val="002C6603"/>
    <w:rsid w:val="002E25DC"/>
    <w:rsid w:val="002E5A93"/>
    <w:rsid w:val="002F7E73"/>
    <w:rsid w:val="003032B1"/>
    <w:rsid w:val="003221B1"/>
    <w:rsid w:val="00323029"/>
    <w:rsid w:val="00341991"/>
    <w:rsid w:val="0036268E"/>
    <w:rsid w:val="00372023"/>
    <w:rsid w:val="00396A0F"/>
    <w:rsid w:val="00397366"/>
    <w:rsid w:val="003B035D"/>
    <w:rsid w:val="003B3A4C"/>
    <w:rsid w:val="003D04A9"/>
    <w:rsid w:val="003E14F2"/>
    <w:rsid w:val="003E4901"/>
    <w:rsid w:val="003E5134"/>
    <w:rsid w:val="003F79B9"/>
    <w:rsid w:val="00405E67"/>
    <w:rsid w:val="00407BA1"/>
    <w:rsid w:val="0044065E"/>
    <w:rsid w:val="00446B68"/>
    <w:rsid w:val="00453FD8"/>
    <w:rsid w:val="00455D97"/>
    <w:rsid w:val="00467790"/>
    <w:rsid w:val="00472BE9"/>
    <w:rsid w:val="004B2CA7"/>
    <w:rsid w:val="004B5A4D"/>
    <w:rsid w:val="004C44C9"/>
    <w:rsid w:val="00502C49"/>
    <w:rsid w:val="0050576B"/>
    <w:rsid w:val="00526660"/>
    <w:rsid w:val="00527888"/>
    <w:rsid w:val="00527C36"/>
    <w:rsid w:val="00542C20"/>
    <w:rsid w:val="00560E8A"/>
    <w:rsid w:val="00570D9F"/>
    <w:rsid w:val="00586592"/>
    <w:rsid w:val="005A1308"/>
    <w:rsid w:val="005C6A8B"/>
    <w:rsid w:val="005D0244"/>
    <w:rsid w:val="005D6327"/>
    <w:rsid w:val="00600E3E"/>
    <w:rsid w:val="00601D3F"/>
    <w:rsid w:val="00603228"/>
    <w:rsid w:val="00605037"/>
    <w:rsid w:val="00614603"/>
    <w:rsid w:val="0062626A"/>
    <w:rsid w:val="0063517A"/>
    <w:rsid w:val="00637244"/>
    <w:rsid w:val="006376F6"/>
    <w:rsid w:val="0066227F"/>
    <w:rsid w:val="006724D4"/>
    <w:rsid w:val="00675C66"/>
    <w:rsid w:val="006820DF"/>
    <w:rsid w:val="006A1800"/>
    <w:rsid w:val="006A2C68"/>
    <w:rsid w:val="006B06C3"/>
    <w:rsid w:val="006B23C0"/>
    <w:rsid w:val="006B3BF3"/>
    <w:rsid w:val="006C23DE"/>
    <w:rsid w:val="006D7B1B"/>
    <w:rsid w:val="006E3D2F"/>
    <w:rsid w:val="006E4FCD"/>
    <w:rsid w:val="006E60EC"/>
    <w:rsid w:val="006F3A76"/>
    <w:rsid w:val="007043E8"/>
    <w:rsid w:val="00712FFF"/>
    <w:rsid w:val="00713066"/>
    <w:rsid w:val="00714066"/>
    <w:rsid w:val="007140C8"/>
    <w:rsid w:val="007216C9"/>
    <w:rsid w:val="007314B0"/>
    <w:rsid w:val="007361A7"/>
    <w:rsid w:val="00736939"/>
    <w:rsid w:val="00741B1F"/>
    <w:rsid w:val="007426AD"/>
    <w:rsid w:val="00743694"/>
    <w:rsid w:val="0074536C"/>
    <w:rsid w:val="00753C6C"/>
    <w:rsid w:val="00760EEC"/>
    <w:rsid w:val="00786FDD"/>
    <w:rsid w:val="007A0698"/>
    <w:rsid w:val="007A155A"/>
    <w:rsid w:val="007A6C4C"/>
    <w:rsid w:val="007B5935"/>
    <w:rsid w:val="007C5998"/>
    <w:rsid w:val="007D43E7"/>
    <w:rsid w:val="007D7743"/>
    <w:rsid w:val="007E13AB"/>
    <w:rsid w:val="00805043"/>
    <w:rsid w:val="00810D27"/>
    <w:rsid w:val="0082271C"/>
    <w:rsid w:val="008253A9"/>
    <w:rsid w:val="0084267A"/>
    <w:rsid w:val="00845B8B"/>
    <w:rsid w:val="008529C8"/>
    <w:rsid w:val="00852BBE"/>
    <w:rsid w:val="00861B43"/>
    <w:rsid w:val="008620C6"/>
    <w:rsid w:val="00880857"/>
    <w:rsid w:val="008860FA"/>
    <w:rsid w:val="00892EC0"/>
    <w:rsid w:val="00894C63"/>
    <w:rsid w:val="008C3A1E"/>
    <w:rsid w:val="008D06D4"/>
    <w:rsid w:val="008D4C6B"/>
    <w:rsid w:val="008E2887"/>
    <w:rsid w:val="00904EAE"/>
    <w:rsid w:val="00917511"/>
    <w:rsid w:val="00927863"/>
    <w:rsid w:val="00940672"/>
    <w:rsid w:val="00941A19"/>
    <w:rsid w:val="00952A89"/>
    <w:rsid w:val="00953863"/>
    <w:rsid w:val="00957F5C"/>
    <w:rsid w:val="00960693"/>
    <w:rsid w:val="00973619"/>
    <w:rsid w:val="00990083"/>
    <w:rsid w:val="00994C8D"/>
    <w:rsid w:val="009A4129"/>
    <w:rsid w:val="009A54E0"/>
    <w:rsid w:val="009B6EBA"/>
    <w:rsid w:val="009D3EC5"/>
    <w:rsid w:val="009D6E43"/>
    <w:rsid w:val="009F3CAA"/>
    <w:rsid w:val="00A202E9"/>
    <w:rsid w:val="00A37836"/>
    <w:rsid w:val="00A536A1"/>
    <w:rsid w:val="00A60A17"/>
    <w:rsid w:val="00A6745E"/>
    <w:rsid w:val="00A76F2C"/>
    <w:rsid w:val="00A83829"/>
    <w:rsid w:val="00A865DA"/>
    <w:rsid w:val="00A902AB"/>
    <w:rsid w:val="00AB189F"/>
    <w:rsid w:val="00AC1111"/>
    <w:rsid w:val="00AE4789"/>
    <w:rsid w:val="00AF3BF2"/>
    <w:rsid w:val="00B0268F"/>
    <w:rsid w:val="00B1223B"/>
    <w:rsid w:val="00B21A3F"/>
    <w:rsid w:val="00B36F37"/>
    <w:rsid w:val="00B36FC8"/>
    <w:rsid w:val="00B41125"/>
    <w:rsid w:val="00B445CE"/>
    <w:rsid w:val="00B5236A"/>
    <w:rsid w:val="00B52FDB"/>
    <w:rsid w:val="00B5310F"/>
    <w:rsid w:val="00B63799"/>
    <w:rsid w:val="00B658A4"/>
    <w:rsid w:val="00B6717C"/>
    <w:rsid w:val="00B80223"/>
    <w:rsid w:val="00B901B9"/>
    <w:rsid w:val="00BA59E1"/>
    <w:rsid w:val="00BA6B32"/>
    <w:rsid w:val="00BA7D72"/>
    <w:rsid w:val="00BC0CB4"/>
    <w:rsid w:val="00BD75DE"/>
    <w:rsid w:val="00BE2E2B"/>
    <w:rsid w:val="00BE5C5D"/>
    <w:rsid w:val="00BF38B6"/>
    <w:rsid w:val="00BF5EAD"/>
    <w:rsid w:val="00BF6B4E"/>
    <w:rsid w:val="00C003B2"/>
    <w:rsid w:val="00C07642"/>
    <w:rsid w:val="00C13D8E"/>
    <w:rsid w:val="00C17476"/>
    <w:rsid w:val="00C5345B"/>
    <w:rsid w:val="00C60DF8"/>
    <w:rsid w:val="00C6220B"/>
    <w:rsid w:val="00CB66ED"/>
    <w:rsid w:val="00CC0AFA"/>
    <w:rsid w:val="00CC7C79"/>
    <w:rsid w:val="00CD173B"/>
    <w:rsid w:val="00CD7960"/>
    <w:rsid w:val="00CE384B"/>
    <w:rsid w:val="00CF046C"/>
    <w:rsid w:val="00D00740"/>
    <w:rsid w:val="00D10855"/>
    <w:rsid w:val="00D11C6E"/>
    <w:rsid w:val="00D43ADB"/>
    <w:rsid w:val="00D77AD3"/>
    <w:rsid w:val="00DA1117"/>
    <w:rsid w:val="00DB14E4"/>
    <w:rsid w:val="00DB60E6"/>
    <w:rsid w:val="00DB7AD1"/>
    <w:rsid w:val="00DC09CB"/>
    <w:rsid w:val="00DC4109"/>
    <w:rsid w:val="00DD1436"/>
    <w:rsid w:val="00DE550F"/>
    <w:rsid w:val="00DF057C"/>
    <w:rsid w:val="00E2605E"/>
    <w:rsid w:val="00E36F3C"/>
    <w:rsid w:val="00E81257"/>
    <w:rsid w:val="00E85451"/>
    <w:rsid w:val="00E87B05"/>
    <w:rsid w:val="00E94D58"/>
    <w:rsid w:val="00EA4340"/>
    <w:rsid w:val="00EC18B8"/>
    <w:rsid w:val="00EC346C"/>
    <w:rsid w:val="00EC5B26"/>
    <w:rsid w:val="00ED7B77"/>
    <w:rsid w:val="00EE24F4"/>
    <w:rsid w:val="00EE29AC"/>
    <w:rsid w:val="00EF5693"/>
    <w:rsid w:val="00F04E3B"/>
    <w:rsid w:val="00F151BB"/>
    <w:rsid w:val="00F2607F"/>
    <w:rsid w:val="00F34006"/>
    <w:rsid w:val="00F40F6E"/>
    <w:rsid w:val="00F54E55"/>
    <w:rsid w:val="00F630AB"/>
    <w:rsid w:val="00F9333A"/>
    <w:rsid w:val="00FA13EC"/>
    <w:rsid w:val="00FA3507"/>
    <w:rsid w:val="00FA4876"/>
    <w:rsid w:val="00FB0CE0"/>
    <w:rsid w:val="00FC06E2"/>
    <w:rsid w:val="00FC3985"/>
    <w:rsid w:val="00FC627A"/>
    <w:rsid w:val="00FD502A"/>
    <w:rsid w:val="00FE3929"/>
    <w:rsid w:val="00FE4E7E"/>
    <w:rsid w:val="00FF109F"/>
    <w:rsid w:val="00FF237D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en-US"/>
    </w:rPr>
  </w:style>
  <w:style w:type="paragraph" w:styleId="BalloonText">
    <w:name w:val="Balloon Text"/>
    <w:basedOn w:val="Normal"/>
    <w:semiHidden/>
    <w:rsid w:val="002456EA"/>
    <w:rPr>
      <w:rFonts w:ascii="Tahoma" w:hAnsi="Tahoma" w:cs="Tahoma"/>
      <w:sz w:val="16"/>
      <w:szCs w:val="16"/>
    </w:rPr>
  </w:style>
  <w:style w:type="paragraph" w:customStyle="1" w:styleId="Dotpoint">
    <w:name w:val="Dotpoint"/>
    <w:basedOn w:val="Normal"/>
    <w:rsid w:val="009B6EBA"/>
    <w:pPr>
      <w:numPr>
        <w:numId w:val="1"/>
      </w:numPr>
      <w:spacing w:after="240"/>
    </w:pPr>
    <w:rPr>
      <w:sz w:val="24"/>
    </w:rPr>
  </w:style>
  <w:style w:type="paragraph" w:styleId="Header">
    <w:name w:val="header"/>
    <w:basedOn w:val="Normal"/>
    <w:link w:val="HeaderChar"/>
    <w:uiPriority w:val="99"/>
    <w:rsid w:val="00B802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0223"/>
    <w:pPr>
      <w:tabs>
        <w:tab w:val="center" w:pos="4153"/>
        <w:tab w:val="right" w:pos="8306"/>
      </w:tabs>
    </w:pPr>
  </w:style>
  <w:style w:type="character" w:customStyle="1" w:styleId="CharAmSchNo">
    <w:name w:val="CharAmSchNo"/>
    <w:basedOn w:val="DefaultParagraphFont"/>
    <w:rsid w:val="00D00740"/>
  </w:style>
  <w:style w:type="character" w:customStyle="1" w:styleId="CharAmSchText">
    <w:name w:val="CharAmSchText"/>
    <w:basedOn w:val="DefaultParagraphFont"/>
    <w:rsid w:val="00D00740"/>
  </w:style>
  <w:style w:type="character" w:customStyle="1" w:styleId="CharSchPTNo">
    <w:name w:val="CharSchPTNo"/>
    <w:basedOn w:val="DefaultParagraphFont"/>
    <w:rsid w:val="00D00740"/>
  </w:style>
  <w:style w:type="character" w:customStyle="1" w:styleId="CharSchPTText">
    <w:name w:val="CharSchPTText"/>
    <w:basedOn w:val="DefaultParagraphFont"/>
    <w:rsid w:val="00D00740"/>
  </w:style>
  <w:style w:type="paragraph" w:customStyle="1" w:styleId="Schedulepart">
    <w:name w:val="Schedule part"/>
    <w:basedOn w:val="Normal"/>
    <w:rsid w:val="00D00740"/>
    <w:pPr>
      <w:keepNext/>
      <w:keepLines/>
      <w:spacing w:before="360"/>
      <w:ind w:left="1559" w:hanging="1559"/>
    </w:pPr>
    <w:rPr>
      <w:rFonts w:ascii="Arial" w:hAnsi="Arial"/>
      <w:b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D00740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D00740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D00740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D00740"/>
    <w:pPr>
      <w:spacing w:before="60" w:after="60" w:line="240" w:lineRule="exact"/>
    </w:pPr>
    <w:rPr>
      <w:sz w:val="22"/>
      <w:szCs w:val="24"/>
    </w:rPr>
  </w:style>
  <w:style w:type="character" w:styleId="CommentReference">
    <w:name w:val="annotation reference"/>
    <w:uiPriority w:val="99"/>
    <w:semiHidden/>
    <w:unhideWhenUsed/>
    <w:rsid w:val="0022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8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8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8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2388D"/>
    <w:rPr>
      <w:b/>
      <w:bCs/>
    </w:rPr>
  </w:style>
  <w:style w:type="table" w:styleId="TableGrid">
    <w:name w:val="Table Grid"/>
    <w:basedOn w:val="TableNormal"/>
    <w:uiPriority w:val="59"/>
    <w:rsid w:val="002238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C1111"/>
  </w:style>
  <w:style w:type="character" w:customStyle="1" w:styleId="FooterChar">
    <w:name w:val="Footer Char"/>
    <w:link w:val="Footer"/>
    <w:uiPriority w:val="99"/>
    <w:rsid w:val="00AC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15E9-5F70-4FB6-B7C4-F1700110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1335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Infrastructure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Bong</dc:creator>
  <cp:keywords/>
  <cp:lastModifiedBy>Ong Billy</cp:lastModifiedBy>
  <cp:revision>9</cp:revision>
  <cp:lastPrinted>2014-03-20T03:06:00Z</cp:lastPrinted>
  <dcterms:created xsi:type="dcterms:W3CDTF">2014-03-18T05:28:00Z</dcterms:created>
  <dcterms:modified xsi:type="dcterms:W3CDTF">2014-03-20T03:08:00Z</dcterms:modified>
</cp:coreProperties>
</file>