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F7" w:rsidRPr="000050B3" w:rsidRDefault="008D27F7" w:rsidP="008D27F7">
      <w:pPr>
        <w:spacing w:after="0" w:line="240" w:lineRule="auto"/>
        <w:jc w:val="center"/>
        <w:rPr>
          <w:rFonts w:ascii="Times New Roman" w:eastAsia="Times New Roman" w:hAnsi="Times New Roman"/>
          <w:b/>
          <w:sz w:val="24"/>
          <w:szCs w:val="24"/>
          <w:u w:val="single"/>
          <w:lang w:eastAsia="en-AU"/>
        </w:rPr>
      </w:pPr>
      <w:r w:rsidRPr="000050B3">
        <w:rPr>
          <w:rFonts w:ascii="Times New Roman" w:eastAsia="Times New Roman" w:hAnsi="Times New Roman"/>
          <w:b/>
          <w:sz w:val="24"/>
          <w:szCs w:val="24"/>
          <w:u w:val="single"/>
          <w:lang w:eastAsia="en-AU"/>
        </w:rPr>
        <w:t>EXPLANATORY STATEMENT</w:t>
      </w:r>
    </w:p>
    <w:p w:rsidR="008D27F7" w:rsidRPr="000050B3" w:rsidRDefault="008D27F7" w:rsidP="008D27F7">
      <w:pPr>
        <w:spacing w:after="0" w:line="240" w:lineRule="auto"/>
        <w:jc w:val="center"/>
        <w:rPr>
          <w:rFonts w:ascii="Times New Roman" w:eastAsia="Times New Roman" w:hAnsi="Times New Roman"/>
          <w:sz w:val="24"/>
          <w:szCs w:val="24"/>
          <w:lang w:eastAsia="en-AU"/>
        </w:rPr>
      </w:pPr>
    </w:p>
    <w:p w:rsidR="00C770A3" w:rsidRPr="000A67B7" w:rsidRDefault="000A67B7" w:rsidP="000A67B7">
      <w:pPr>
        <w:jc w:val="center"/>
        <w:rPr>
          <w:rFonts w:ascii="Times New Roman" w:hAnsi="Times New Roman"/>
          <w:b/>
          <w:sz w:val="24"/>
          <w:szCs w:val="24"/>
          <w:u w:val="single"/>
        </w:rPr>
      </w:pPr>
      <w:r>
        <w:rPr>
          <w:rFonts w:ascii="Times New Roman" w:hAnsi="Times New Roman"/>
          <w:b/>
          <w:sz w:val="24"/>
          <w:szCs w:val="24"/>
          <w:u w:val="single"/>
        </w:rPr>
        <w:t>Select Legislative Instrument No. 14, 2014</w:t>
      </w:r>
    </w:p>
    <w:p w:rsidR="00C770A3" w:rsidRPr="00E569F1" w:rsidRDefault="00C770A3" w:rsidP="00C770A3">
      <w:pPr>
        <w:rPr>
          <w:rFonts w:ascii="Times New Roman" w:hAnsi="Times New Roman"/>
          <w:i/>
          <w:sz w:val="24"/>
          <w:szCs w:val="24"/>
        </w:rPr>
      </w:pPr>
      <w:r w:rsidRPr="00E569F1">
        <w:rPr>
          <w:rFonts w:ascii="Times New Roman" w:hAnsi="Times New Roman"/>
          <w:sz w:val="24"/>
          <w:szCs w:val="24"/>
        </w:rPr>
        <w:t>Subject -</w:t>
      </w:r>
      <w:r w:rsidRPr="00E569F1">
        <w:rPr>
          <w:rFonts w:ascii="Times New Roman" w:hAnsi="Times New Roman"/>
          <w:sz w:val="24"/>
          <w:szCs w:val="24"/>
        </w:rPr>
        <w:tab/>
      </w:r>
      <w:r w:rsidRPr="00E569F1">
        <w:rPr>
          <w:rFonts w:ascii="Times New Roman" w:hAnsi="Times New Roman"/>
          <w:i/>
          <w:sz w:val="24"/>
          <w:szCs w:val="24"/>
        </w:rPr>
        <w:t>Crimes Act 1914</w:t>
      </w:r>
    </w:p>
    <w:p w:rsidR="00C770A3" w:rsidRPr="00E569F1" w:rsidRDefault="00C770A3" w:rsidP="00C770A3">
      <w:pPr>
        <w:rPr>
          <w:rFonts w:ascii="Times New Roman" w:hAnsi="Times New Roman"/>
          <w:i/>
          <w:sz w:val="24"/>
          <w:szCs w:val="24"/>
        </w:rPr>
      </w:pPr>
      <w:r w:rsidRPr="00E569F1">
        <w:rPr>
          <w:rFonts w:ascii="Times New Roman" w:hAnsi="Times New Roman"/>
          <w:i/>
          <w:sz w:val="24"/>
          <w:szCs w:val="24"/>
        </w:rPr>
        <w:tab/>
      </w:r>
      <w:r w:rsidRPr="00E569F1">
        <w:rPr>
          <w:rFonts w:ascii="Times New Roman" w:hAnsi="Times New Roman"/>
          <w:i/>
          <w:sz w:val="24"/>
          <w:szCs w:val="24"/>
        </w:rPr>
        <w:tab/>
        <w:t>Crimes Amendment (Prescribed Law) Regulation 2014</w:t>
      </w:r>
    </w:p>
    <w:p w:rsidR="008D27F7" w:rsidRPr="00931AB3"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Under s</w:t>
      </w:r>
      <w:r w:rsidRPr="00931AB3">
        <w:rPr>
          <w:rFonts w:ascii="Times New Roman" w:hAnsi="Times New Roman"/>
          <w:sz w:val="24"/>
          <w:szCs w:val="24"/>
        </w:rPr>
        <w:t xml:space="preserve">ection 91 of the </w:t>
      </w:r>
      <w:r w:rsidRPr="00931AB3">
        <w:rPr>
          <w:rFonts w:ascii="Times New Roman" w:hAnsi="Times New Roman"/>
          <w:i/>
          <w:sz w:val="24"/>
          <w:szCs w:val="24"/>
        </w:rPr>
        <w:t>Crimes Act 1914</w:t>
      </w:r>
      <w:r w:rsidRPr="00931AB3">
        <w:rPr>
          <w:rFonts w:ascii="Times New Roman" w:hAnsi="Times New Roman"/>
          <w:sz w:val="24"/>
          <w:szCs w:val="24"/>
        </w:rPr>
        <w:t xml:space="preserve"> (the Act)</w:t>
      </w:r>
      <w:r>
        <w:rPr>
          <w:rFonts w:ascii="Times New Roman" w:hAnsi="Times New Roman"/>
          <w:sz w:val="24"/>
          <w:szCs w:val="24"/>
        </w:rPr>
        <w:t xml:space="preserve">, </w:t>
      </w:r>
      <w:r w:rsidRPr="00931AB3">
        <w:rPr>
          <w:rFonts w:ascii="Times New Roman" w:hAnsi="Times New Roman"/>
          <w:sz w:val="24"/>
          <w:szCs w:val="24"/>
        </w:rPr>
        <w:t>the Governor-General may make regulations, not inconsistent with the Act, prescribing all matters required or permitted by the Act to be prescribed or necessary or convenient to be pre</w:t>
      </w:r>
      <w:bookmarkStart w:id="0" w:name="_GoBack"/>
      <w:bookmarkEnd w:id="0"/>
      <w:r w:rsidRPr="00931AB3">
        <w:rPr>
          <w:rFonts w:ascii="Times New Roman" w:hAnsi="Times New Roman"/>
          <w:sz w:val="24"/>
          <w:szCs w:val="24"/>
        </w:rPr>
        <w:t>scribed for carrying out or giving effect to the Act.</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This Regulation amends regulation 7A of the </w:t>
      </w:r>
      <w:r>
        <w:rPr>
          <w:rFonts w:ascii="Times New Roman" w:hAnsi="Times New Roman"/>
          <w:i/>
          <w:sz w:val="24"/>
          <w:szCs w:val="24"/>
        </w:rPr>
        <w:t xml:space="preserve">Crimes Regulations 1990 </w:t>
      </w:r>
      <w:r>
        <w:rPr>
          <w:rFonts w:ascii="Times New Roman" w:hAnsi="Times New Roman"/>
          <w:sz w:val="24"/>
          <w:szCs w:val="24"/>
        </w:rPr>
        <w:t>(the Crimes Regulations)</w:t>
      </w:r>
      <w:r w:rsidRPr="00931AB3">
        <w:rPr>
          <w:rFonts w:ascii="Times New Roman" w:hAnsi="Times New Roman"/>
          <w:sz w:val="24"/>
          <w:szCs w:val="24"/>
        </w:rPr>
        <w:t xml:space="preserve"> </w:t>
      </w:r>
      <w:r w:rsidRPr="00931AB3">
        <w:rPr>
          <w:rFonts w:ascii="Times New Roman" w:eastAsia="Times New Roman" w:hAnsi="Times New Roman"/>
          <w:sz w:val="24"/>
          <w:szCs w:val="24"/>
          <w:lang w:eastAsia="en-AU"/>
        </w:rPr>
        <w:t xml:space="preserve">to </w:t>
      </w:r>
      <w:r w:rsidRPr="00931AB3">
        <w:rPr>
          <w:rFonts w:ascii="Times New Roman" w:hAnsi="Times New Roman"/>
          <w:sz w:val="24"/>
          <w:szCs w:val="24"/>
        </w:rPr>
        <w:t>update the list of prescribed persons or bodies and prescribed law to reflect current screening agency arrangements</w:t>
      </w:r>
      <w:r>
        <w:rPr>
          <w:rFonts w:ascii="Times New Roman" w:hAnsi="Times New Roman"/>
          <w:sz w:val="24"/>
          <w:szCs w:val="24"/>
        </w:rPr>
        <w:t xml:space="preserve"> for working with children checks</w:t>
      </w:r>
      <w:r w:rsidRPr="00931AB3">
        <w:rPr>
          <w:rFonts w:ascii="Times New Roman" w:hAnsi="Times New Roman"/>
          <w:sz w:val="24"/>
          <w:szCs w:val="24"/>
        </w:rPr>
        <w:t xml:space="preserve"> in each State and Territory</w:t>
      </w:r>
      <w:r>
        <w:rPr>
          <w:rFonts w:ascii="Times New Roman" w:hAnsi="Times New Roman"/>
          <w:sz w:val="24"/>
          <w:szCs w:val="24"/>
        </w:rPr>
        <w:t>.</w:t>
      </w:r>
    </w:p>
    <w:p w:rsidR="008D27F7" w:rsidRPr="00931AB3" w:rsidRDefault="008D27F7" w:rsidP="008D27F7">
      <w:pPr>
        <w:spacing w:before="240" w:after="0" w:line="240" w:lineRule="auto"/>
        <w:ind w:right="482"/>
        <w:rPr>
          <w:rFonts w:ascii="Times New Roman" w:hAnsi="Times New Roman"/>
          <w:sz w:val="24"/>
          <w:szCs w:val="24"/>
        </w:rPr>
      </w:pPr>
      <w:r w:rsidRPr="00931AB3">
        <w:rPr>
          <w:rFonts w:ascii="Times New Roman" w:hAnsi="Times New Roman"/>
          <w:sz w:val="24"/>
          <w:szCs w:val="24"/>
        </w:rPr>
        <w:t>Part VIIC of the Act governs the disclosure and non-disclosure of pardoned, quashed and spent Commonwealth convictions (</w:t>
      </w:r>
      <w:r w:rsidR="00C770A3">
        <w:rPr>
          <w:rFonts w:ascii="Times New Roman" w:hAnsi="Times New Roman"/>
          <w:sz w:val="24"/>
          <w:szCs w:val="24"/>
        </w:rPr>
        <w:t xml:space="preserve">otherwise known as </w:t>
      </w:r>
      <w:r w:rsidRPr="00931AB3">
        <w:rPr>
          <w:rFonts w:ascii="Times New Roman" w:hAnsi="Times New Roman"/>
          <w:sz w:val="24"/>
          <w:szCs w:val="24"/>
        </w:rPr>
        <w:t>expanded criminal history information).</w:t>
      </w:r>
      <w:r>
        <w:rPr>
          <w:rFonts w:ascii="Times New Roman" w:hAnsi="Times New Roman"/>
          <w:sz w:val="24"/>
          <w:szCs w:val="24"/>
        </w:rPr>
        <w:t xml:space="preserve">  </w:t>
      </w:r>
      <w:r w:rsidRPr="00931AB3">
        <w:rPr>
          <w:rFonts w:ascii="Times New Roman" w:hAnsi="Times New Roman"/>
          <w:sz w:val="24"/>
          <w:szCs w:val="24"/>
        </w:rPr>
        <w:t xml:space="preserve">Subdivision A of Division 6 of Part VIIC of the Act allows information </w:t>
      </w:r>
      <w:r w:rsidR="00C770A3">
        <w:rPr>
          <w:rFonts w:ascii="Times New Roman" w:hAnsi="Times New Roman"/>
          <w:sz w:val="24"/>
          <w:szCs w:val="24"/>
        </w:rPr>
        <w:t>about this</w:t>
      </w:r>
      <w:r w:rsidRPr="00931AB3">
        <w:rPr>
          <w:rFonts w:ascii="Times New Roman" w:hAnsi="Times New Roman"/>
          <w:sz w:val="24"/>
          <w:szCs w:val="24"/>
        </w:rPr>
        <w:t xml:space="preserve"> expanded criminal history information to be disclosed to, and taken into account by, prescribed persons or bodies for the purpose of assessing whether a person is suitable for work with children.  This serves as an exception to the general rule that such information is not to be disclosed or taken into account.  </w:t>
      </w:r>
    </w:p>
    <w:p w:rsidR="008D27F7" w:rsidRDefault="008D27F7" w:rsidP="008D27F7">
      <w:pPr>
        <w:spacing w:before="240" w:after="0" w:line="240" w:lineRule="auto"/>
        <w:ind w:right="482"/>
        <w:rPr>
          <w:rFonts w:ascii="Times New Roman" w:hAnsi="Times New Roman"/>
          <w:iCs/>
          <w:sz w:val="24"/>
          <w:szCs w:val="24"/>
        </w:rPr>
      </w:pPr>
      <w:r w:rsidRPr="00931AB3">
        <w:rPr>
          <w:rFonts w:ascii="Times New Roman" w:hAnsi="Times New Roman"/>
          <w:sz w:val="24"/>
          <w:szCs w:val="24"/>
        </w:rPr>
        <w:t xml:space="preserve">Regulation 7A of the </w:t>
      </w:r>
      <w:r>
        <w:rPr>
          <w:rFonts w:ascii="Times New Roman" w:hAnsi="Times New Roman"/>
          <w:sz w:val="24"/>
          <w:szCs w:val="24"/>
        </w:rPr>
        <w:t xml:space="preserve">Crimes </w:t>
      </w:r>
      <w:r w:rsidRPr="00931AB3">
        <w:rPr>
          <w:rFonts w:ascii="Times New Roman" w:hAnsi="Times New Roman"/>
          <w:sz w:val="24"/>
          <w:szCs w:val="24"/>
        </w:rPr>
        <w:t xml:space="preserve">Regulations </w:t>
      </w:r>
      <w:r w:rsidRPr="00931AB3">
        <w:rPr>
          <w:rFonts w:ascii="Times New Roman" w:hAnsi="Times New Roman"/>
          <w:iCs/>
          <w:sz w:val="24"/>
          <w:szCs w:val="24"/>
        </w:rPr>
        <w:t>provides a list of prescribed persons or bodies, and the prescribed law for each, who may receive expanded criminal history information.</w:t>
      </w:r>
      <w:r>
        <w:rPr>
          <w:rFonts w:ascii="Times New Roman" w:hAnsi="Times New Roman"/>
          <w:iCs/>
          <w:sz w:val="24"/>
          <w:szCs w:val="24"/>
        </w:rPr>
        <w:t xml:space="preserve">  The Regulation amend</w:t>
      </w:r>
      <w:r w:rsidR="009B092D">
        <w:rPr>
          <w:rFonts w:ascii="Times New Roman" w:hAnsi="Times New Roman"/>
          <w:iCs/>
          <w:sz w:val="24"/>
          <w:szCs w:val="24"/>
        </w:rPr>
        <w:t>s</w:t>
      </w:r>
      <w:r>
        <w:rPr>
          <w:rFonts w:ascii="Times New Roman" w:hAnsi="Times New Roman"/>
          <w:iCs/>
          <w:sz w:val="24"/>
          <w:szCs w:val="24"/>
        </w:rPr>
        <w:t xml:space="preserve"> </w:t>
      </w:r>
      <w:r w:rsidR="00D26176">
        <w:rPr>
          <w:rFonts w:ascii="Times New Roman" w:hAnsi="Times New Roman"/>
          <w:iCs/>
          <w:sz w:val="24"/>
          <w:szCs w:val="24"/>
        </w:rPr>
        <w:t>R</w:t>
      </w:r>
      <w:r>
        <w:rPr>
          <w:rFonts w:ascii="Times New Roman" w:hAnsi="Times New Roman"/>
          <w:iCs/>
          <w:sz w:val="24"/>
          <w:szCs w:val="24"/>
        </w:rPr>
        <w:t>egulation 7A to include the following agencies as prescribed bodies:</w:t>
      </w:r>
    </w:p>
    <w:p w:rsidR="008D27F7" w:rsidRDefault="008D27F7" w:rsidP="008D27F7">
      <w:pPr>
        <w:numPr>
          <w:ilvl w:val="0"/>
          <w:numId w:val="2"/>
        </w:numPr>
        <w:spacing w:before="120" w:after="0" w:line="240" w:lineRule="auto"/>
        <w:ind w:left="714" w:hanging="357"/>
        <w:rPr>
          <w:rFonts w:ascii="Times New Roman" w:hAnsi="Times New Roman"/>
          <w:iCs/>
          <w:sz w:val="24"/>
          <w:szCs w:val="24"/>
        </w:rPr>
      </w:pPr>
      <w:r>
        <w:rPr>
          <w:rFonts w:ascii="Times New Roman" w:hAnsi="Times New Roman"/>
          <w:iCs/>
          <w:sz w:val="24"/>
          <w:szCs w:val="24"/>
        </w:rPr>
        <w:t xml:space="preserve">the </w:t>
      </w:r>
      <w:r w:rsidRPr="00245455">
        <w:rPr>
          <w:rFonts w:ascii="Times New Roman" w:hAnsi="Times New Roman"/>
          <w:iCs/>
          <w:sz w:val="24"/>
          <w:szCs w:val="24"/>
        </w:rPr>
        <w:t>New South Wales Office of the Children’s Guardian</w:t>
      </w:r>
      <w:r w:rsidR="00912B30">
        <w:rPr>
          <w:rFonts w:ascii="Times New Roman" w:hAnsi="Times New Roman"/>
          <w:iCs/>
          <w:sz w:val="24"/>
          <w:szCs w:val="24"/>
        </w:rPr>
        <w:t>;</w:t>
      </w:r>
    </w:p>
    <w:p w:rsidR="008D27F7" w:rsidRDefault="008D27F7" w:rsidP="008D27F7">
      <w:pPr>
        <w:numPr>
          <w:ilvl w:val="0"/>
          <w:numId w:val="2"/>
        </w:numPr>
        <w:spacing w:before="120" w:after="0" w:line="240" w:lineRule="auto"/>
        <w:ind w:left="714" w:hanging="357"/>
        <w:rPr>
          <w:rFonts w:ascii="Times New Roman" w:hAnsi="Times New Roman"/>
          <w:iCs/>
          <w:sz w:val="24"/>
          <w:szCs w:val="24"/>
        </w:rPr>
      </w:pPr>
      <w:r>
        <w:rPr>
          <w:rFonts w:ascii="Times New Roman" w:hAnsi="Times New Roman"/>
          <w:iCs/>
          <w:sz w:val="24"/>
          <w:szCs w:val="24"/>
        </w:rPr>
        <w:t xml:space="preserve">the </w:t>
      </w:r>
      <w:r w:rsidRPr="00245455">
        <w:rPr>
          <w:rFonts w:ascii="Times New Roman" w:hAnsi="Times New Roman"/>
          <w:iCs/>
          <w:sz w:val="24"/>
          <w:szCs w:val="24"/>
        </w:rPr>
        <w:t>Australian Capital Territory Office of Regulatory Services Background Screening Unit</w:t>
      </w:r>
      <w:r w:rsidR="00912B30">
        <w:rPr>
          <w:rFonts w:ascii="Times New Roman" w:hAnsi="Times New Roman"/>
          <w:iCs/>
          <w:sz w:val="24"/>
          <w:szCs w:val="24"/>
        </w:rPr>
        <w:t>;</w:t>
      </w:r>
      <w:r>
        <w:rPr>
          <w:rFonts w:ascii="Times New Roman" w:hAnsi="Times New Roman"/>
          <w:iCs/>
          <w:sz w:val="24"/>
          <w:szCs w:val="24"/>
        </w:rPr>
        <w:t xml:space="preserve"> and</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Pr>
          <w:rFonts w:ascii="Times New Roman" w:hAnsi="Times New Roman"/>
          <w:iCs/>
          <w:sz w:val="24"/>
          <w:szCs w:val="24"/>
        </w:rPr>
        <w:t xml:space="preserve">the </w:t>
      </w:r>
      <w:r w:rsidRPr="00245455">
        <w:rPr>
          <w:rFonts w:ascii="Times New Roman" w:hAnsi="Times New Roman"/>
          <w:iCs/>
          <w:sz w:val="24"/>
          <w:szCs w:val="24"/>
        </w:rPr>
        <w:t>South Australian Department for Communities and Social Inclusion Screening Unit</w:t>
      </w:r>
      <w:r>
        <w:rPr>
          <w:rFonts w:ascii="Times New Roman" w:hAnsi="Times New Roman"/>
          <w:iCs/>
          <w:sz w:val="24"/>
          <w:szCs w:val="24"/>
        </w:rPr>
        <w:t>.</w:t>
      </w:r>
    </w:p>
    <w:p w:rsidR="009B092D" w:rsidRDefault="004618FC" w:rsidP="008D27F7">
      <w:pPr>
        <w:spacing w:before="240" w:after="0" w:line="240" w:lineRule="auto"/>
        <w:ind w:right="482"/>
        <w:rPr>
          <w:rFonts w:ascii="Times New Roman" w:hAnsi="Times New Roman"/>
          <w:iCs/>
          <w:sz w:val="24"/>
          <w:szCs w:val="24"/>
        </w:rPr>
      </w:pPr>
      <w:r>
        <w:rPr>
          <w:rFonts w:ascii="Times New Roman" w:hAnsi="Times New Roman"/>
          <w:iCs/>
          <w:sz w:val="24"/>
          <w:szCs w:val="24"/>
        </w:rPr>
        <w:t xml:space="preserve">These amendments reflect </w:t>
      </w:r>
      <w:r w:rsidR="003853FF">
        <w:rPr>
          <w:rFonts w:ascii="Times New Roman" w:hAnsi="Times New Roman"/>
          <w:iCs/>
          <w:sz w:val="24"/>
          <w:szCs w:val="24"/>
        </w:rPr>
        <w:t xml:space="preserve">the recent </w:t>
      </w:r>
      <w:r>
        <w:rPr>
          <w:rFonts w:ascii="Times New Roman" w:hAnsi="Times New Roman"/>
          <w:sz w:val="24"/>
          <w:szCs w:val="24"/>
        </w:rPr>
        <w:t>changes</w:t>
      </w:r>
      <w:r w:rsidR="003853FF">
        <w:rPr>
          <w:rFonts w:ascii="Times New Roman" w:hAnsi="Times New Roman"/>
          <w:sz w:val="24"/>
          <w:szCs w:val="24"/>
        </w:rPr>
        <w:t xml:space="preserve"> </w:t>
      </w:r>
      <w:r w:rsidR="003853FF" w:rsidRPr="00E569F1">
        <w:rPr>
          <w:rFonts w:ascii="Times New Roman" w:hAnsi="Times New Roman"/>
          <w:sz w:val="24"/>
          <w:szCs w:val="24"/>
        </w:rPr>
        <w:t xml:space="preserve">to relevant legislation and screening agency arrangements in New South Wales with responsibility for undertaking Working With Children Checks transferred solely to the Office of the Children’s Guardian in accordance with the </w:t>
      </w:r>
      <w:r w:rsidR="003853FF" w:rsidRPr="00E569F1">
        <w:rPr>
          <w:rFonts w:ascii="Times New Roman" w:hAnsi="Times New Roman"/>
          <w:i/>
          <w:sz w:val="24"/>
          <w:szCs w:val="24"/>
        </w:rPr>
        <w:t>Child Protection</w:t>
      </w:r>
      <w:r w:rsidR="009719EA">
        <w:rPr>
          <w:rFonts w:ascii="Times New Roman" w:hAnsi="Times New Roman"/>
          <w:i/>
          <w:sz w:val="24"/>
          <w:szCs w:val="24"/>
        </w:rPr>
        <w:t> </w:t>
      </w:r>
      <w:r w:rsidR="003853FF" w:rsidRPr="00E569F1">
        <w:rPr>
          <w:rFonts w:ascii="Times New Roman" w:hAnsi="Times New Roman"/>
          <w:i/>
          <w:sz w:val="24"/>
          <w:szCs w:val="24"/>
        </w:rPr>
        <w:t>(Working with Children</w:t>
      </w:r>
      <w:r w:rsidR="009719EA">
        <w:rPr>
          <w:rFonts w:ascii="Times New Roman" w:hAnsi="Times New Roman"/>
          <w:i/>
          <w:sz w:val="24"/>
          <w:szCs w:val="24"/>
        </w:rPr>
        <w:t xml:space="preserve">) </w:t>
      </w:r>
      <w:r w:rsidR="003853FF" w:rsidRPr="00E569F1">
        <w:rPr>
          <w:rFonts w:ascii="Times New Roman" w:hAnsi="Times New Roman"/>
          <w:i/>
          <w:sz w:val="24"/>
          <w:szCs w:val="24"/>
        </w:rPr>
        <w:t>Act 2012</w:t>
      </w:r>
      <w:r w:rsidR="003853FF" w:rsidRPr="00E569F1">
        <w:rPr>
          <w:rFonts w:ascii="Times New Roman" w:hAnsi="Times New Roman"/>
          <w:sz w:val="24"/>
          <w:szCs w:val="24"/>
        </w:rPr>
        <w:t xml:space="preserve"> (NSW)</w:t>
      </w:r>
      <w:r w:rsidR="003853FF">
        <w:rPr>
          <w:rFonts w:ascii="Times New Roman" w:hAnsi="Times New Roman"/>
          <w:sz w:val="24"/>
          <w:szCs w:val="24"/>
        </w:rPr>
        <w:t xml:space="preserve">. </w:t>
      </w:r>
      <w:r>
        <w:rPr>
          <w:rFonts w:ascii="Times New Roman" w:hAnsi="Times New Roman"/>
          <w:sz w:val="24"/>
          <w:szCs w:val="24"/>
        </w:rPr>
        <w:t xml:space="preserve"> In addition, </w:t>
      </w:r>
      <w:r w:rsidR="00834DA7">
        <w:rPr>
          <w:rFonts w:ascii="Times New Roman" w:hAnsi="Times New Roman"/>
          <w:sz w:val="24"/>
          <w:szCs w:val="24"/>
        </w:rPr>
        <w:t xml:space="preserve">in 2013 </w:t>
      </w:r>
      <w:r>
        <w:rPr>
          <w:rFonts w:ascii="Times New Roman" w:hAnsi="Times New Roman"/>
          <w:sz w:val="24"/>
          <w:szCs w:val="24"/>
        </w:rPr>
        <w:t xml:space="preserve">South Australia </w:t>
      </w:r>
      <w:r w:rsidRPr="00E569F1">
        <w:rPr>
          <w:rFonts w:ascii="Times New Roman" w:hAnsi="Times New Roman"/>
          <w:sz w:val="24"/>
          <w:szCs w:val="24"/>
        </w:rPr>
        <w:t>established the South Australian Department for Communities and Soc</w:t>
      </w:r>
      <w:r>
        <w:rPr>
          <w:rFonts w:ascii="Times New Roman" w:hAnsi="Times New Roman"/>
          <w:sz w:val="24"/>
          <w:szCs w:val="24"/>
        </w:rPr>
        <w:t xml:space="preserve">ial Inclusion Screening Unit </w:t>
      </w:r>
      <w:r w:rsidRPr="00E569F1">
        <w:rPr>
          <w:rFonts w:ascii="Times New Roman" w:hAnsi="Times New Roman"/>
          <w:sz w:val="24"/>
          <w:szCs w:val="24"/>
        </w:rPr>
        <w:t>and the A</w:t>
      </w:r>
      <w:r>
        <w:rPr>
          <w:rFonts w:ascii="Times New Roman" w:hAnsi="Times New Roman"/>
          <w:sz w:val="24"/>
          <w:szCs w:val="24"/>
        </w:rPr>
        <w:t xml:space="preserve">ustralian Capital Territory </w:t>
      </w:r>
      <w:r w:rsidRPr="00E569F1">
        <w:rPr>
          <w:rFonts w:ascii="Times New Roman" w:hAnsi="Times New Roman"/>
          <w:sz w:val="24"/>
          <w:szCs w:val="24"/>
        </w:rPr>
        <w:t xml:space="preserve">established the Australian Capital Territory Office of Regulatory Services Background Screening Unit as </w:t>
      </w:r>
      <w:r>
        <w:rPr>
          <w:rFonts w:ascii="Times New Roman" w:hAnsi="Times New Roman"/>
          <w:sz w:val="24"/>
          <w:szCs w:val="24"/>
        </w:rPr>
        <w:t>the</w:t>
      </w:r>
      <w:r w:rsidRPr="00E569F1">
        <w:rPr>
          <w:rFonts w:ascii="Times New Roman" w:hAnsi="Times New Roman"/>
          <w:sz w:val="24"/>
          <w:szCs w:val="24"/>
        </w:rPr>
        <w:t xml:space="preserve"> prescribed bod</w:t>
      </w:r>
      <w:r>
        <w:rPr>
          <w:rFonts w:ascii="Times New Roman" w:hAnsi="Times New Roman"/>
          <w:sz w:val="24"/>
          <w:szCs w:val="24"/>
        </w:rPr>
        <w:t>ies</w:t>
      </w:r>
      <w:r w:rsidRPr="00E569F1">
        <w:rPr>
          <w:rFonts w:ascii="Times New Roman" w:hAnsi="Times New Roman"/>
          <w:sz w:val="24"/>
          <w:szCs w:val="24"/>
        </w:rPr>
        <w:t xml:space="preserve"> to perform Working With Children Checks.</w:t>
      </w:r>
    </w:p>
    <w:p w:rsidR="008D27F7" w:rsidRPr="00931AB3" w:rsidRDefault="008D27F7" w:rsidP="008D27F7">
      <w:pPr>
        <w:spacing w:before="240" w:after="0" w:line="240" w:lineRule="auto"/>
        <w:ind w:right="482"/>
        <w:rPr>
          <w:rFonts w:ascii="Times New Roman" w:hAnsi="Times New Roman"/>
          <w:iCs/>
          <w:sz w:val="24"/>
          <w:szCs w:val="24"/>
        </w:rPr>
      </w:pPr>
      <w:r w:rsidRPr="00931AB3">
        <w:rPr>
          <w:rFonts w:ascii="Times New Roman" w:hAnsi="Times New Roman"/>
          <w:iCs/>
          <w:sz w:val="24"/>
          <w:szCs w:val="24"/>
        </w:rPr>
        <w:t>Before an agen</w:t>
      </w:r>
      <w:r>
        <w:rPr>
          <w:rFonts w:ascii="Times New Roman" w:hAnsi="Times New Roman"/>
          <w:iCs/>
          <w:sz w:val="24"/>
          <w:szCs w:val="24"/>
        </w:rPr>
        <w:t>cy can be added to the list in r</w:t>
      </w:r>
      <w:r w:rsidRPr="00931AB3">
        <w:rPr>
          <w:rFonts w:ascii="Times New Roman" w:hAnsi="Times New Roman"/>
          <w:iCs/>
          <w:sz w:val="24"/>
          <w:szCs w:val="24"/>
        </w:rPr>
        <w:t>eg</w:t>
      </w:r>
      <w:r>
        <w:rPr>
          <w:rFonts w:ascii="Times New Roman" w:hAnsi="Times New Roman"/>
          <w:iCs/>
          <w:sz w:val="24"/>
          <w:szCs w:val="24"/>
        </w:rPr>
        <w:t>ulation</w:t>
      </w:r>
      <w:r w:rsidRPr="00931AB3">
        <w:rPr>
          <w:rFonts w:ascii="Times New Roman" w:hAnsi="Times New Roman"/>
          <w:iCs/>
          <w:sz w:val="24"/>
          <w:szCs w:val="24"/>
        </w:rPr>
        <w:t xml:space="preserve"> 7A, and therefore receive expanded </w:t>
      </w:r>
      <w:r w:rsidRPr="00245455">
        <w:rPr>
          <w:rFonts w:ascii="Times New Roman" w:hAnsi="Times New Roman"/>
          <w:sz w:val="24"/>
          <w:szCs w:val="24"/>
        </w:rPr>
        <w:t>Commonwealth</w:t>
      </w:r>
      <w:r w:rsidRPr="00931AB3">
        <w:rPr>
          <w:rFonts w:ascii="Times New Roman" w:hAnsi="Times New Roman"/>
          <w:iCs/>
          <w:sz w:val="24"/>
          <w:szCs w:val="24"/>
        </w:rPr>
        <w:t xml:space="preserve"> criminal history information, section 85ZZGE of the Act requires the Minister to be satisfied that the prescribed person or body:</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lastRenderedPageBreak/>
        <w:t xml:space="preserve">is required or permitted by or under a Commonwealth or state law to obtain and deal with information about persons who work, or seek to work, with children; </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t xml:space="preserve">complies with applicable Commonwealth or state law relating to privacy, human rights and records management; </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t>complies with the principles of natural justice;</w:t>
      </w:r>
      <w:r w:rsidR="00A17CD2">
        <w:rPr>
          <w:rFonts w:ascii="Times New Roman" w:hAnsi="Times New Roman"/>
          <w:iCs/>
          <w:sz w:val="24"/>
          <w:szCs w:val="24"/>
        </w:rPr>
        <w:t xml:space="preserve"> and</w:t>
      </w:r>
      <w:r w:rsidRPr="00931AB3">
        <w:rPr>
          <w:rFonts w:ascii="Times New Roman" w:hAnsi="Times New Roman"/>
          <w:iCs/>
          <w:sz w:val="24"/>
          <w:szCs w:val="24"/>
        </w:rPr>
        <w:t xml:space="preserve"> </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t>has risk assessment frameworks and appropriately skilled staff to assess risks to children’s safety.</w:t>
      </w:r>
    </w:p>
    <w:p w:rsidR="005B4398" w:rsidRPr="005B4398" w:rsidRDefault="008D27F7" w:rsidP="00733237">
      <w:pPr>
        <w:spacing w:before="240" w:after="0" w:line="240" w:lineRule="auto"/>
        <w:ind w:right="482"/>
        <w:rPr>
          <w:rFonts w:ascii="Times New Roman" w:hAnsi="Times New Roman"/>
          <w:sz w:val="24"/>
          <w:szCs w:val="24"/>
        </w:rPr>
      </w:pPr>
      <w:r w:rsidRPr="00931AB3">
        <w:rPr>
          <w:rFonts w:ascii="Times New Roman" w:hAnsi="Times New Roman"/>
          <w:sz w:val="24"/>
          <w:szCs w:val="24"/>
        </w:rPr>
        <w:t xml:space="preserve">The Minister </w:t>
      </w:r>
      <w:r>
        <w:rPr>
          <w:rFonts w:ascii="Times New Roman" w:hAnsi="Times New Roman"/>
          <w:sz w:val="24"/>
          <w:szCs w:val="24"/>
        </w:rPr>
        <w:t>is</w:t>
      </w:r>
      <w:r w:rsidRPr="00931AB3">
        <w:rPr>
          <w:rFonts w:ascii="Times New Roman" w:hAnsi="Times New Roman"/>
          <w:sz w:val="24"/>
          <w:szCs w:val="24"/>
        </w:rPr>
        <w:t xml:space="preserve"> satisfied that the </w:t>
      </w:r>
      <w:r w:rsidRPr="00245455">
        <w:rPr>
          <w:rFonts w:ascii="Times New Roman" w:hAnsi="Times New Roman"/>
          <w:sz w:val="24"/>
          <w:szCs w:val="24"/>
        </w:rPr>
        <w:t>New South Wales Office of the Children’s Guardian</w:t>
      </w:r>
      <w:r w:rsidRPr="00931AB3">
        <w:rPr>
          <w:rFonts w:ascii="Times New Roman" w:hAnsi="Times New Roman"/>
          <w:sz w:val="24"/>
          <w:szCs w:val="24"/>
        </w:rPr>
        <w:t xml:space="preserve">, the Australian Capital Territory Office of Regulatory Services Background Screening Unit, and the </w:t>
      </w:r>
      <w:r>
        <w:rPr>
          <w:rFonts w:ascii="Times New Roman" w:hAnsi="Times New Roman"/>
          <w:sz w:val="24"/>
          <w:szCs w:val="24"/>
        </w:rPr>
        <w:t xml:space="preserve">South Australian </w:t>
      </w:r>
      <w:r w:rsidRPr="00931AB3">
        <w:rPr>
          <w:rFonts w:ascii="Times New Roman" w:hAnsi="Times New Roman"/>
          <w:sz w:val="24"/>
          <w:szCs w:val="24"/>
        </w:rPr>
        <w:t xml:space="preserve">Department for Communities and Social Inclusion </w:t>
      </w:r>
      <w:r w:rsidRPr="005B4398">
        <w:rPr>
          <w:rFonts w:ascii="Times New Roman" w:hAnsi="Times New Roman"/>
          <w:sz w:val="24"/>
          <w:szCs w:val="24"/>
        </w:rPr>
        <w:t>Screening Unit satisfy the criteria</w:t>
      </w:r>
      <w:r w:rsidR="006F6DB9">
        <w:rPr>
          <w:rFonts w:ascii="Times New Roman" w:hAnsi="Times New Roman"/>
          <w:sz w:val="24"/>
          <w:szCs w:val="24"/>
        </w:rPr>
        <w:t xml:space="preserve"> in section 85ZZGE of the Act.  </w:t>
      </w:r>
      <w:r w:rsidR="00733237">
        <w:rPr>
          <w:rFonts w:ascii="Times New Roman" w:hAnsi="Times New Roman"/>
          <w:sz w:val="24"/>
          <w:szCs w:val="24"/>
        </w:rPr>
        <w:t>T</w:t>
      </w:r>
      <w:r w:rsidR="006F6DB9">
        <w:rPr>
          <w:rFonts w:ascii="Times New Roman" w:hAnsi="Times New Roman"/>
          <w:sz w:val="24"/>
          <w:szCs w:val="24"/>
        </w:rPr>
        <w:t>he prescribed state legislation</w:t>
      </w:r>
      <w:r w:rsidR="00733237">
        <w:rPr>
          <w:rFonts w:ascii="Times New Roman" w:hAnsi="Times New Roman"/>
          <w:sz w:val="24"/>
          <w:szCs w:val="24"/>
        </w:rPr>
        <w:t xml:space="preserve"> appropriately restricts the use of expanded criminal history to the specific purpose of conducting Working with Children Checks, and prescribes safeguards to ensure the privacy and protection of this information is upheld. </w:t>
      </w:r>
    </w:p>
    <w:p w:rsidR="008D27F7" w:rsidRPr="005B4398" w:rsidRDefault="008D27F7" w:rsidP="008D27F7">
      <w:pPr>
        <w:spacing w:before="240" w:after="0" w:line="240" w:lineRule="auto"/>
        <w:ind w:right="482"/>
        <w:rPr>
          <w:rFonts w:ascii="Times New Roman" w:hAnsi="Times New Roman"/>
          <w:sz w:val="24"/>
          <w:szCs w:val="24"/>
        </w:rPr>
      </w:pPr>
      <w:r w:rsidRPr="005B4398">
        <w:rPr>
          <w:rFonts w:ascii="Times New Roman" w:hAnsi="Times New Roman"/>
          <w:sz w:val="24"/>
          <w:szCs w:val="24"/>
        </w:rPr>
        <w:t xml:space="preserve">Further detail on the Regulation is contained in the </w:t>
      </w:r>
      <w:r w:rsidRPr="005B4398">
        <w:rPr>
          <w:rFonts w:ascii="Times New Roman" w:hAnsi="Times New Roman"/>
          <w:sz w:val="24"/>
          <w:szCs w:val="24"/>
          <w:u w:val="single"/>
        </w:rPr>
        <w:t>Attachment</w:t>
      </w:r>
      <w:r w:rsidRPr="005B4398">
        <w:rPr>
          <w:rFonts w:ascii="Times New Roman" w:hAnsi="Times New Roman"/>
          <w:sz w:val="24"/>
          <w:szCs w:val="24"/>
        </w:rPr>
        <w:t>.</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This Regulation was developed by the Attorney-General’s Department in consultation with </w:t>
      </w:r>
      <w:r w:rsidR="00F87A9A" w:rsidRPr="00F87A9A">
        <w:rPr>
          <w:rFonts w:ascii="Times New Roman" w:hAnsi="Times New Roman"/>
          <w:sz w:val="24"/>
          <w:szCs w:val="24"/>
        </w:rPr>
        <w:t>the South Australian Department for Communities and Social Inclusion Screening Unit, the New South Wales Office of the Children’s Guardian and the Australian Capital Territory Office of Regulatory Services Background Screening</w:t>
      </w:r>
      <w:r w:rsidR="00F87A9A">
        <w:rPr>
          <w:rFonts w:ascii="Times New Roman" w:hAnsi="Times New Roman"/>
          <w:sz w:val="24"/>
          <w:szCs w:val="24"/>
        </w:rPr>
        <w:t xml:space="preserve">. </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The Office of Best Practice Regulation was consulted in the drafting of the Regulation and advised that no Regulation Impact Statement was required.</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This Regulation is a legislative instrument for the purposes of the </w:t>
      </w:r>
      <w:r>
        <w:rPr>
          <w:rFonts w:ascii="Times New Roman" w:hAnsi="Times New Roman"/>
          <w:i/>
          <w:sz w:val="24"/>
          <w:szCs w:val="24"/>
        </w:rPr>
        <w:t>Legislative Instruments Act 2003</w:t>
      </w:r>
      <w:r>
        <w:rPr>
          <w:rFonts w:ascii="Times New Roman" w:hAnsi="Times New Roman"/>
          <w:sz w:val="24"/>
          <w:szCs w:val="24"/>
        </w:rPr>
        <w:t>.</w:t>
      </w:r>
    </w:p>
    <w:p w:rsidR="008D27F7" w:rsidRDefault="008D27F7" w:rsidP="008D27F7">
      <w:pPr>
        <w:spacing w:before="240" w:after="0" w:line="240" w:lineRule="auto"/>
        <w:ind w:right="482"/>
        <w:rPr>
          <w:rFonts w:ascii="Times New Roman" w:hAnsi="Times New Roman"/>
          <w:sz w:val="24"/>
          <w:szCs w:val="24"/>
        </w:rPr>
      </w:pPr>
      <w:r w:rsidRPr="00245455">
        <w:rPr>
          <w:rFonts w:ascii="Times New Roman" w:hAnsi="Times New Roman"/>
          <w:sz w:val="24"/>
          <w:szCs w:val="24"/>
        </w:rPr>
        <w:t>The Regulation commences on the day after it is registered on the Federal Register of Legislative Instruments.</w:t>
      </w:r>
    </w:p>
    <w:p w:rsidR="008D27F7" w:rsidRDefault="008D27F7" w:rsidP="008D27F7">
      <w:pPr>
        <w:spacing w:after="120"/>
        <w:ind w:right="480"/>
      </w:pPr>
    </w:p>
    <w:p w:rsidR="008D27F7" w:rsidRDefault="008D27F7" w:rsidP="008D27F7">
      <w:pPr>
        <w:spacing w:after="120"/>
        <w:ind w:right="480"/>
        <w:jc w:val="right"/>
        <w:rPr>
          <w:rFonts w:ascii="Times New Roman" w:hAnsi="Times New Roman"/>
          <w:i/>
          <w:sz w:val="24"/>
          <w:szCs w:val="24"/>
        </w:rPr>
      </w:pPr>
      <w:r>
        <w:rPr>
          <w:rFonts w:ascii="Times New Roman" w:hAnsi="Times New Roman"/>
          <w:sz w:val="24"/>
          <w:szCs w:val="24"/>
          <w:u w:val="single"/>
        </w:rPr>
        <w:t>Authority</w:t>
      </w:r>
      <w:r>
        <w:rPr>
          <w:rFonts w:ascii="Times New Roman" w:hAnsi="Times New Roman"/>
          <w:sz w:val="24"/>
          <w:szCs w:val="24"/>
        </w:rPr>
        <w:t xml:space="preserve">:  Section 91 of the </w:t>
      </w:r>
      <w:r>
        <w:rPr>
          <w:rFonts w:ascii="Times New Roman" w:hAnsi="Times New Roman"/>
          <w:i/>
          <w:sz w:val="24"/>
          <w:szCs w:val="24"/>
        </w:rPr>
        <w:t>Crimes Act 1914</w:t>
      </w:r>
    </w:p>
    <w:p w:rsidR="008D27F7" w:rsidRDefault="008D27F7" w:rsidP="008D27F7">
      <w:pPr>
        <w:spacing w:after="120"/>
        <w:ind w:right="480"/>
        <w:rPr>
          <w:rFonts w:ascii="Times New Roman" w:hAnsi="Times New Roman"/>
          <w:sz w:val="24"/>
          <w:szCs w:val="24"/>
        </w:rPr>
      </w:pPr>
    </w:p>
    <w:p w:rsidR="008D27F7" w:rsidRDefault="007928F9" w:rsidP="008D27F7">
      <w:pPr>
        <w:spacing w:after="120"/>
        <w:ind w:right="480"/>
        <w:rPr>
          <w:rFonts w:ascii="Times New Roman" w:hAnsi="Times New Roman"/>
          <w:b/>
          <w:sz w:val="24"/>
          <w:szCs w:val="24"/>
        </w:rPr>
      </w:pPr>
      <w:r>
        <w:rPr>
          <w:rFonts w:ascii="Times New Roman" w:hAnsi="Times New Roman"/>
          <w:b/>
          <w:sz w:val="24"/>
          <w:szCs w:val="24"/>
        </w:rPr>
        <w:br w:type="page"/>
      </w:r>
      <w:r w:rsidR="008D27F7">
        <w:rPr>
          <w:rFonts w:ascii="Times New Roman" w:hAnsi="Times New Roman"/>
          <w:b/>
          <w:sz w:val="24"/>
          <w:szCs w:val="24"/>
        </w:rPr>
        <w:lastRenderedPageBreak/>
        <w:t>Statement of Compatibility with Human Rights</w:t>
      </w:r>
    </w:p>
    <w:p w:rsidR="008D27F7" w:rsidRPr="00DD713B"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This Regulation </w:t>
      </w:r>
      <w:r w:rsidRPr="00DD713B">
        <w:rPr>
          <w:rFonts w:ascii="Times New Roman" w:hAnsi="Times New Roman"/>
          <w:sz w:val="24"/>
          <w:szCs w:val="24"/>
        </w:rPr>
        <w:t xml:space="preserve">is compatible with the human rights and freedoms recognised or declared in the international instruments listed in section 3 of the </w:t>
      </w:r>
      <w:r w:rsidRPr="00DD713B">
        <w:rPr>
          <w:rFonts w:ascii="Times New Roman" w:hAnsi="Times New Roman"/>
          <w:i/>
          <w:sz w:val="24"/>
          <w:szCs w:val="24"/>
        </w:rPr>
        <w:t>Human Rights (Parliamentary Scrutiny) Act 2011</w:t>
      </w:r>
      <w:r>
        <w:rPr>
          <w:rFonts w:ascii="Times New Roman" w:hAnsi="Times New Roman"/>
          <w:sz w:val="24"/>
          <w:szCs w:val="24"/>
        </w:rPr>
        <w:t>.</w:t>
      </w:r>
    </w:p>
    <w:p w:rsidR="008D27F7" w:rsidRPr="00C03296" w:rsidRDefault="008D27F7" w:rsidP="008D27F7">
      <w:pPr>
        <w:spacing w:before="240" w:after="0" w:line="240" w:lineRule="auto"/>
        <w:ind w:right="482"/>
        <w:rPr>
          <w:rFonts w:ascii="Times New Roman" w:hAnsi="Times New Roman"/>
          <w:b/>
          <w:sz w:val="24"/>
          <w:szCs w:val="24"/>
        </w:rPr>
      </w:pPr>
      <w:r w:rsidRPr="00613338">
        <w:rPr>
          <w:rFonts w:ascii="Times New Roman" w:hAnsi="Times New Roman"/>
          <w:b/>
          <w:sz w:val="24"/>
          <w:szCs w:val="24"/>
        </w:rPr>
        <w:t>Overview</w:t>
      </w:r>
    </w:p>
    <w:p w:rsidR="009B092D"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This Regulation</w:t>
      </w:r>
      <w:r w:rsidRPr="00504832">
        <w:rPr>
          <w:rFonts w:ascii="Times New Roman" w:hAnsi="Times New Roman"/>
          <w:sz w:val="24"/>
          <w:szCs w:val="24"/>
        </w:rPr>
        <w:t xml:space="preserve"> </w:t>
      </w:r>
      <w:r w:rsidRPr="00931AB3">
        <w:rPr>
          <w:rFonts w:ascii="Times New Roman" w:hAnsi="Times New Roman"/>
          <w:sz w:val="24"/>
          <w:szCs w:val="24"/>
        </w:rPr>
        <w:t>update</w:t>
      </w:r>
      <w:r>
        <w:rPr>
          <w:rFonts w:ascii="Times New Roman" w:hAnsi="Times New Roman"/>
          <w:sz w:val="24"/>
          <w:szCs w:val="24"/>
        </w:rPr>
        <w:t>s</w:t>
      </w:r>
      <w:r w:rsidRPr="00931AB3">
        <w:rPr>
          <w:rFonts w:ascii="Times New Roman" w:hAnsi="Times New Roman"/>
          <w:sz w:val="24"/>
          <w:szCs w:val="24"/>
        </w:rPr>
        <w:t xml:space="preserve"> the list of prescribed persons or bodies</w:t>
      </w:r>
      <w:r>
        <w:rPr>
          <w:rFonts w:ascii="Times New Roman" w:hAnsi="Times New Roman"/>
          <w:sz w:val="24"/>
          <w:szCs w:val="24"/>
        </w:rPr>
        <w:t xml:space="preserve"> who may receive expanded criminal history information (including pardoned, quashed and spent Commonwealth convictions) for the purposes of assessing whether a person is suitable for work with children.</w:t>
      </w:r>
      <w:r w:rsidRPr="00931AB3">
        <w:rPr>
          <w:rFonts w:ascii="Times New Roman" w:hAnsi="Times New Roman"/>
          <w:sz w:val="24"/>
          <w:szCs w:val="24"/>
        </w:rPr>
        <w:t xml:space="preserve"> </w:t>
      </w:r>
      <w:r w:rsidR="00854CD1">
        <w:rPr>
          <w:rFonts w:ascii="Times New Roman" w:hAnsi="Times New Roman"/>
          <w:sz w:val="24"/>
          <w:szCs w:val="24"/>
        </w:rPr>
        <w:t xml:space="preserve"> </w:t>
      </w:r>
    </w:p>
    <w:p w:rsidR="009B092D" w:rsidRDefault="003853FF" w:rsidP="009E06E1">
      <w:pPr>
        <w:spacing w:beforeLines="120" w:before="288" w:after="0" w:line="240" w:lineRule="auto"/>
        <w:ind w:right="482"/>
        <w:rPr>
          <w:rFonts w:ascii="Times New Roman" w:hAnsi="Times New Roman"/>
          <w:sz w:val="24"/>
          <w:szCs w:val="24"/>
        </w:rPr>
      </w:pPr>
      <w:r>
        <w:rPr>
          <w:rFonts w:ascii="Times New Roman" w:hAnsi="Times New Roman"/>
          <w:sz w:val="24"/>
          <w:szCs w:val="24"/>
        </w:rPr>
        <w:t xml:space="preserve">There are currently nine prescribed screening agencies in Regulation 7A of the </w:t>
      </w:r>
      <w:r w:rsidR="009719EA">
        <w:rPr>
          <w:rFonts w:ascii="Times New Roman" w:hAnsi="Times New Roman"/>
          <w:sz w:val="24"/>
          <w:szCs w:val="24"/>
        </w:rPr>
        <w:t xml:space="preserve">Crimes </w:t>
      </w:r>
      <w:r>
        <w:rPr>
          <w:rFonts w:ascii="Times New Roman" w:hAnsi="Times New Roman"/>
          <w:sz w:val="24"/>
          <w:szCs w:val="24"/>
        </w:rPr>
        <w:t xml:space="preserve">Regulations. </w:t>
      </w:r>
      <w:r w:rsidR="009719EA">
        <w:rPr>
          <w:rFonts w:ascii="Times New Roman" w:hAnsi="Times New Roman"/>
          <w:sz w:val="24"/>
          <w:szCs w:val="24"/>
        </w:rPr>
        <w:t xml:space="preserve"> S</w:t>
      </w:r>
      <w:r w:rsidR="009B092D">
        <w:rPr>
          <w:rFonts w:ascii="Times New Roman" w:hAnsi="Times New Roman"/>
          <w:sz w:val="24"/>
          <w:szCs w:val="24"/>
        </w:rPr>
        <w:t xml:space="preserve">chedule 1 </w:t>
      </w:r>
      <w:r w:rsidR="000D3437">
        <w:rPr>
          <w:rFonts w:ascii="Times New Roman" w:hAnsi="Times New Roman"/>
          <w:sz w:val="24"/>
          <w:szCs w:val="24"/>
        </w:rPr>
        <w:t xml:space="preserve">of the Regulation </w:t>
      </w:r>
      <w:r w:rsidR="009B092D">
        <w:rPr>
          <w:rFonts w:ascii="Times New Roman" w:hAnsi="Times New Roman"/>
          <w:sz w:val="24"/>
          <w:szCs w:val="24"/>
        </w:rPr>
        <w:t>remove</w:t>
      </w:r>
      <w:r w:rsidR="000D3437">
        <w:rPr>
          <w:rFonts w:ascii="Times New Roman" w:hAnsi="Times New Roman"/>
          <w:sz w:val="24"/>
          <w:szCs w:val="24"/>
        </w:rPr>
        <w:t>s</w:t>
      </w:r>
      <w:r w:rsidR="009B092D">
        <w:rPr>
          <w:rFonts w:ascii="Times New Roman" w:hAnsi="Times New Roman"/>
          <w:sz w:val="24"/>
          <w:szCs w:val="24"/>
        </w:rPr>
        <w:t xml:space="preserve"> the following prescribed agencies</w:t>
      </w:r>
      <w:r>
        <w:rPr>
          <w:rFonts w:ascii="Times New Roman" w:hAnsi="Times New Roman"/>
          <w:sz w:val="24"/>
          <w:szCs w:val="24"/>
        </w:rPr>
        <w:t xml:space="preserve"> in New South Wales</w:t>
      </w:r>
      <w:r w:rsidR="000D3437">
        <w:rPr>
          <w:rFonts w:ascii="Times New Roman" w:hAnsi="Times New Roman"/>
          <w:sz w:val="24"/>
          <w:szCs w:val="24"/>
        </w:rPr>
        <w:t xml:space="preserve"> from Regulation 7A</w:t>
      </w:r>
      <w:r>
        <w:rPr>
          <w:rFonts w:ascii="Times New Roman" w:hAnsi="Times New Roman"/>
          <w:sz w:val="24"/>
          <w:szCs w:val="24"/>
        </w:rPr>
        <w:t xml:space="preserve">: </w:t>
      </w:r>
    </w:p>
    <w:p w:rsidR="009B092D" w:rsidRDefault="009B092D" w:rsidP="009E06E1">
      <w:pPr>
        <w:numPr>
          <w:ilvl w:val="0"/>
          <w:numId w:val="7"/>
        </w:numPr>
        <w:spacing w:before="120" w:after="0" w:line="240" w:lineRule="auto"/>
        <w:ind w:left="714" w:right="482" w:hanging="357"/>
        <w:rPr>
          <w:rFonts w:ascii="Times New Roman" w:hAnsi="Times New Roman"/>
          <w:sz w:val="24"/>
          <w:szCs w:val="24"/>
        </w:rPr>
      </w:pPr>
      <w:r>
        <w:rPr>
          <w:rFonts w:ascii="Times New Roman" w:hAnsi="Times New Roman"/>
          <w:sz w:val="24"/>
          <w:szCs w:val="24"/>
        </w:rPr>
        <w:t>Commission for Children and Young People;</w:t>
      </w:r>
    </w:p>
    <w:p w:rsidR="009B092D" w:rsidRDefault="009B092D" w:rsidP="009E06E1">
      <w:pPr>
        <w:numPr>
          <w:ilvl w:val="0"/>
          <w:numId w:val="7"/>
        </w:numPr>
        <w:spacing w:before="120" w:after="0" w:line="240" w:lineRule="auto"/>
        <w:ind w:left="714" w:right="482" w:hanging="357"/>
        <w:rPr>
          <w:rFonts w:ascii="Times New Roman" w:hAnsi="Times New Roman"/>
          <w:sz w:val="24"/>
          <w:szCs w:val="24"/>
        </w:rPr>
      </w:pPr>
      <w:r>
        <w:rPr>
          <w:rFonts w:ascii="Times New Roman" w:hAnsi="Times New Roman"/>
          <w:sz w:val="24"/>
          <w:szCs w:val="24"/>
        </w:rPr>
        <w:t>Department of Education and Communities;</w:t>
      </w:r>
    </w:p>
    <w:p w:rsidR="009B092D" w:rsidRDefault="009B092D" w:rsidP="009E06E1">
      <w:pPr>
        <w:numPr>
          <w:ilvl w:val="0"/>
          <w:numId w:val="7"/>
        </w:numPr>
        <w:spacing w:before="120" w:after="0" w:line="240" w:lineRule="auto"/>
        <w:ind w:left="714" w:right="482" w:hanging="357"/>
        <w:rPr>
          <w:rFonts w:ascii="Times New Roman" w:hAnsi="Times New Roman"/>
          <w:sz w:val="24"/>
          <w:szCs w:val="24"/>
        </w:rPr>
      </w:pPr>
      <w:r>
        <w:rPr>
          <w:rFonts w:ascii="Times New Roman" w:hAnsi="Times New Roman"/>
          <w:sz w:val="24"/>
          <w:szCs w:val="24"/>
        </w:rPr>
        <w:t>Department of Health;</w:t>
      </w:r>
      <w:r w:rsidR="009719EA">
        <w:rPr>
          <w:rFonts w:ascii="Times New Roman" w:hAnsi="Times New Roman"/>
          <w:sz w:val="24"/>
          <w:szCs w:val="24"/>
        </w:rPr>
        <w:t xml:space="preserve"> and</w:t>
      </w:r>
    </w:p>
    <w:p w:rsidR="009B092D" w:rsidRDefault="009B092D" w:rsidP="009E06E1">
      <w:pPr>
        <w:numPr>
          <w:ilvl w:val="0"/>
          <w:numId w:val="7"/>
        </w:numPr>
        <w:spacing w:before="120" w:after="0" w:line="240" w:lineRule="auto"/>
        <w:ind w:left="714" w:right="482" w:hanging="357"/>
        <w:rPr>
          <w:rFonts w:ascii="Times New Roman" w:hAnsi="Times New Roman"/>
          <w:sz w:val="24"/>
          <w:szCs w:val="24"/>
        </w:rPr>
      </w:pPr>
      <w:r>
        <w:rPr>
          <w:rFonts w:ascii="Times New Roman" w:hAnsi="Times New Roman"/>
          <w:sz w:val="24"/>
          <w:szCs w:val="24"/>
        </w:rPr>
        <w:t>Catholic Comm</w:t>
      </w:r>
      <w:r w:rsidR="009719EA">
        <w:rPr>
          <w:rFonts w:ascii="Times New Roman" w:hAnsi="Times New Roman"/>
          <w:sz w:val="24"/>
          <w:szCs w:val="24"/>
        </w:rPr>
        <w:t>ission for Employment Relations.</w:t>
      </w:r>
    </w:p>
    <w:p w:rsidR="007928F9" w:rsidRDefault="007928F9" w:rsidP="007928F9">
      <w:pPr>
        <w:spacing w:after="0" w:line="240" w:lineRule="auto"/>
        <w:rPr>
          <w:rFonts w:ascii="Times New Roman" w:hAnsi="Times New Roman"/>
          <w:sz w:val="24"/>
          <w:szCs w:val="24"/>
        </w:rPr>
      </w:pPr>
    </w:p>
    <w:p w:rsidR="009B092D" w:rsidRPr="00E569F1" w:rsidRDefault="000D3437" w:rsidP="007928F9">
      <w:pPr>
        <w:spacing w:after="0" w:line="240" w:lineRule="auto"/>
        <w:rPr>
          <w:rFonts w:ascii="Times New Roman" w:hAnsi="Times New Roman"/>
          <w:sz w:val="24"/>
          <w:szCs w:val="24"/>
        </w:rPr>
      </w:pPr>
      <w:r>
        <w:rPr>
          <w:rFonts w:ascii="Times New Roman" w:hAnsi="Times New Roman"/>
          <w:sz w:val="24"/>
          <w:szCs w:val="24"/>
        </w:rPr>
        <w:t xml:space="preserve">The New South Wales </w:t>
      </w:r>
      <w:r w:rsidR="003853FF" w:rsidRPr="00E569F1">
        <w:rPr>
          <w:rFonts w:ascii="Times New Roman" w:hAnsi="Times New Roman"/>
          <w:sz w:val="24"/>
          <w:szCs w:val="24"/>
        </w:rPr>
        <w:t>Office of the Children’s Guardian</w:t>
      </w:r>
      <w:r>
        <w:rPr>
          <w:rFonts w:ascii="Times New Roman" w:hAnsi="Times New Roman"/>
          <w:sz w:val="24"/>
          <w:szCs w:val="24"/>
        </w:rPr>
        <w:t xml:space="preserve"> is inserted into Regulation 7A to reflect that this </w:t>
      </w:r>
      <w:r w:rsidR="00D26176">
        <w:rPr>
          <w:rFonts w:ascii="Times New Roman" w:hAnsi="Times New Roman"/>
          <w:sz w:val="24"/>
          <w:szCs w:val="24"/>
        </w:rPr>
        <w:t>agency</w:t>
      </w:r>
      <w:r w:rsidR="003853FF">
        <w:rPr>
          <w:rFonts w:ascii="Times New Roman" w:hAnsi="Times New Roman"/>
          <w:sz w:val="24"/>
          <w:szCs w:val="24"/>
        </w:rPr>
        <w:t xml:space="preserve"> </w:t>
      </w:r>
      <w:r>
        <w:rPr>
          <w:rFonts w:ascii="Times New Roman" w:hAnsi="Times New Roman"/>
          <w:sz w:val="24"/>
          <w:szCs w:val="24"/>
        </w:rPr>
        <w:t xml:space="preserve">is </w:t>
      </w:r>
      <w:r w:rsidR="003853FF">
        <w:rPr>
          <w:rFonts w:ascii="Times New Roman" w:hAnsi="Times New Roman"/>
          <w:sz w:val="24"/>
          <w:szCs w:val="24"/>
        </w:rPr>
        <w:t xml:space="preserve">now </w:t>
      </w:r>
      <w:r w:rsidR="009719EA">
        <w:rPr>
          <w:rFonts w:ascii="Times New Roman" w:hAnsi="Times New Roman"/>
          <w:sz w:val="24"/>
          <w:szCs w:val="24"/>
        </w:rPr>
        <w:t>solely responsible for Working W</w:t>
      </w:r>
      <w:r w:rsidR="003853FF">
        <w:rPr>
          <w:rFonts w:ascii="Times New Roman" w:hAnsi="Times New Roman"/>
          <w:sz w:val="24"/>
          <w:szCs w:val="24"/>
        </w:rPr>
        <w:t xml:space="preserve">ith Children Checks </w:t>
      </w:r>
      <w:r w:rsidR="003853FF" w:rsidRPr="00E569F1">
        <w:rPr>
          <w:rFonts w:ascii="Times New Roman" w:hAnsi="Times New Roman"/>
          <w:sz w:val="24"/>
          <w:szCs w:val="24"/>
        </w:rPr>
        <w:t xml:space="preserve">in accordance with the </w:t>
      </w:r>
      <w:r w:rsidR="003853FF" w:rsidRPr="00E569F1">
        <w:rPr>
          <w:rFonts w:ascii="Times New Roman" w:hAnsi="Times New Roman"/>
          <w:i/>
          <w:sz w:val="24"/>
          <w:szCs w:val="24"/>
        </w:rPr>
        <w:t>Child Protection (Working with Children) Act 2012</w:t>
      </w:r>
      <w:r w:rsidR="003853FF" w:rsidRPr="00E569F1">
        <w:rPr>
          <w:rFonts w:ascii="Times New Roman" w:hAnsi="Times New Roman"/>
          <w:sz w:val="24"/>
          <w:szCs w:val="24"/>
        </w:rPr>
        <w:t xml:space="preserve"> (NSW)</w:t>
      </w:r>
      <w:r w:rsidR="003853FF">
        <w:rPr>
          <w:rFonts w:ascii="Times New Roman" w:hAnsi="Times New Roman"/>
          <w:sz w:val="24"/>
          <w:szCs w:val="24"/>
        </w:rPr>
        <w:t xml:space="preserve">.  </w:t>
      </w:r>
      <w:r w:rsidR="009B092D">
        <w:rPr>
          <w:rFonts w:ascii="Times New Roman" w:hAnsi="Times New Roman"/>
          <w:sz w:val="24"/>
          <w:szCs w:val="24"/>
        </w:rPr>
        <w:t>In addition, the</w:t>
      </w:r>
      <w:r w:rsidR="009B092D" w:rsidRPr="009B092D">
        <w:rPr>
          <w:rFonts w:ascii="Times New Roman" w:hAnsi="Times New Roman"/>
          <w:sz w:val="24"/>
          <w:szCs w:val="24"/>
        </w:rPr>
        <w:t xml:space="preserve"> </w:t>
      </w:r>
      <w:r w:rsidR="009B092D" w:rsidRPr="00E569F1">
        <w:rPr>
          <w:rFonts w:ascii="Times New Roman" w:hAnsi="Times New Roman"/>
          <w:sz w:val="24"/>
          <w:szCs w:val="24"/>
        </w:rPr>
        <w:t>South Australian Department for Communities and Soc</w:t>
      </w:r>
      <w:r w:rsidR="009B092D">
        <w:rPr>
          <w:rFonts w:ascii="Times New Roman" w:hAnsi="Times New Roman"/>
          <w:sz w:val="24"/>
          <w:szCs w:val="24"/>
        </w:rPr>
        <w:t xml:space="preserve">ial Inclusion Screening Unit </w:t>
      </w:r>
      <w:r w:rsidR="009B092D" w:rsidRPr="00E569F1">
        <w:rPr>
          <w:rFonts w:ascii="Times New Roman" w:hAnsi="Times New Roman"/>
          <w:sz w:val="24"/>
          <w:szCs w:val="24"/>
        </w:rPr>
        <w:t>and the Australian Capital Territory Office of Regulatory Services Background Screening Unit</w:t>
      </w:r>
      <w:r w:rsidR="009B092D">
        <w:rPr>
          <w:rFonts w:ascii="Times New Roman" w:hAnsi="Times New Roman"/>
          <w:sz w:val="24"/>
          <w:szCs w:val="24"/>
        </w:rPr>
        <w:t xml:space="preserve"> are </w:t>
      </w:r>
      <w:r w:rsidR="00D26176">
        <w:rPr>
          <w:rFonts w:ascii="Times New Roman" w:hAnsi="Times New Roman"/>
          <w:sz w:val="24"/>
          <w:szCs w:val="24"/>
        </w:rPr>
        <w:t>inserted</w:t>
      </w:r>
      <w:r w:rsidR="009B092D" w:rsidRPr="00E569F1">
        <w:rPr>
          <w:rFonts w:ascii="Times New Roman" w:hAnsi="Times New Roman"/>
          <w:sz w:val="24"/>
          <w:szCs w:val="24"/>
        </w:rPr>
        <w:t xml:space="preserve"> as </w:t>
      </w:r>
      <w:r w:rsidR="009B092D">
        <w:rPr>
          <w:rFonts w:ascii="Times New Roman" w:hAnsi="Times New Roman"/>
          <w:sz w:val="24"/>
          <w:szCs w:val="24"/>
        </w:rPr>
        <w:t>the</w:t>
      </w:r>
      <w:r w:rsidR="009B092D" w:rsidRPr="00E569F1">
        <w:rPr>
          <w:rFonts w:ascii="Times New Roman" w:hAnsi="Times New Roman"/>
          <w:sz w:val="24"/>
          <w:szCs w:val="24"/>
        </w:rPr>
        <w:t xml:space="preserve"> prescribed bod</w:t>
      </w:r>
      <w:r w:rsidR="009B092D">
        <w:rPr>
          <w:rFonts w:ascii="Times New Roman" w:hAnsi="Times New Roman"/>
          <w:sz w:val="24"/>
          <w:szCs w:val="24"/>
        </w:rPr>
        <w:t>ies</w:t>
      </w:r>
      <w:r w:rsidR="009B092D" w:rsidRPr="00E569F1">
        <w:rPr>
          <w:rFonts w:ascii="Times New Roman" w:hAnsi="Times New Roman"/>
          <w:sz w:val="24"/>
          <w:szCs w:val="24"/>
        </w:rPr>
        <w:t xml:space="preserve"> to perfo</w:t>
      </w:r>
      <w:r w:rsidR="009B092D">
        <w:rPr>
          <w:rFonts w:ascii="Times New Roman" w:hAnsi="Times New Roman"/>
          <w:sz w:val="24"/>
          <w:szCs w:val="24"/>
        </w:rPr>
        <w:t xml:space="preserve">rm </w:t>
      </w:r>
      <w:r w:rsidR="00D26176">
        <w:rPr>
          <w:rFonts w:ascii="Times New Roman" w:hAnsi="Times New Roman"/>
          <w:sz w:val="24"/>
          <w:szCs w:val="24"/>
        </w:rPr>
        <w:t>Working With Children Checks</w:t>
      </w:r>
      <w:r>
        <w:rPr>
          <w:rFonts w:ascii="Times New Roman" w:hAnsi="Times New Roman"/>
          <w:sz w:val="24"/>
          <w:szCs w:val="24"/>
        </w:rPr>
        <w:t xml:space="preserve"> in their respective </w:t>
      </w:r>
      <w:r w:rsidR="00BA6ECA">
        <w:rPr>
          <w:rFonts w:ascii="Times New Roman" w:hAnsi="Times New Roman"/>
          <w:sz w:val="24"/>
          <w:szCs w:val="24"/>
        </w:rPr>
        <w:t>jurisdiction</w:t>
      </w:r>
      <w:r w:rsidR="00D26176">
        <w:rPr>
          <w:rFonts w:ascii="Times New Roman" w:hAnsi="Times New Roman"/>
          <w:sz w:val="24"/>
          <w:szCs w:val="24"/>
        </w:rPr>
        <w:t xml:space="preserve">. </w:t>
      </w:r>
    </w:p>
    <w:p w:rsidR="008D27F7" w:rsidRDefault="008D27F7" w:rsidP="008D27F7">
      <w:pPr>
        <w:spacing w:before="240" w:after="0" w:line="240" w:lineRule="auto"/>
        <w:ind w:right="482"/>
        <w:rPr>
          <w:rFonts w:ascii="Times New Roman" w:hAnsi="Times New Roman"/>
          <w:sz w:val="24"/>
          <w:szCs w:val="24"/>
        </w:rPr>
      </w:pPr>
      <w:r w:rsidRPr="00931AB3">
        <w:rPr>
          <w:rFonts w:ascii="Times New Roman" w:hAnsi="Times New Roman"/>
          <w:sz w:val="24"/>
          <w:szCs w:val="24"/>
        </w:rPr>
        <w:t xml:space="preserve">This </w:t>
      </w:r>
      <w:r w:rsidR="004C3117">
        <w:rPr>
          <w:rFonts w:ascii="Times New Roman" w:hAnsi="Times New Roman"/>
          <w:sz w:val="24"/>
          <w:szCs w:val="24"/>
        </w:rPr>
        <w:t>amendment</w:t>
      </w:r>
      <w:r>
        <w:rPr>
          <w:rFonts w:ascii="Times New Roman" w:hAnsi="Times New Roman"/>
          <w:sz w:val="24"/>
          <w:szCs w:val="24"/>
        </w:rPr>
        <w:t xml:space="preserve"> engages:</w:t>
      </w:r>
    </w:p>
    <w:p w:rsidR="008D27F7" w:rsidRDefault="008D27F7" w:rsidP="009E06E1">
      <w:pPr>
        <w:numPr>
          <w:ilvl w:val="0"/>
          <w:numId w:val="5"/>
        </w:numPr>
        <w:spacing w:before="120" w:after="0" w:line="240" w:lineRule="auto"/>
        <w:ind w:left="709" w:right="482" w:hanging="284"/>
        <w:rPr>
          <w:rFonts w:ascii="Times New Roman" w:hAnsi="Times New Roman"/>
          <w:sz w:val="24"/>
          <w:szCs w:val="24"/>
        </w:rPr>
      </w:pPr>
      <w:r>
        <w:rPr>
          <w:rFonts w:ascii="Times New Roman" w:hAnsi="Times New Roman"/>
          <w:sz w:val="24"/>
          <w:szCs w:val="24"/>
        </w:rPr>
        <w:t>the right to protection against arbitrary and unlawful interferences with privacy (Article 17 International Covenant on Civil and Political Rights (ICCPR))</w:t>
      </w:r>
      <w:r w:rsidR="009719EA">
        <w:rPr>
          <w:rFonts w:ascii="Times New Roman" w:hAnsi="Times New Roman"/>
          <w:sz w:val="24"/>
          <w:szCs w:val="24"/>
        </w:rPr>
        <w:t>;</w:t>
      </w:r>
      <w:r>
        <w:rPr>
          <w:rFonts w:ascii="Times New Roman" w:hAnsi="Times New Roman"/>
          <w:sz w:val="24"/>
          <w:szCs w:val="24"/>
        </w:rPr>
        <w:t xml:space="preserve"> and</w:t>
      </w:r>
    </w:p>
    <w:p w:rsidR="008D27F7" w:rsidRDefault="008D27F7" w:rsidP="009E06E1">
      <w:pPr>
        <w:numPr>
          <w:ilvl w:val="0"/>
          <w:numId w:val="5"/>
        </w:numPr>
        <w:spacing w:before="120" w:after="0" w:line="240" w:lineRule="auto"/>
        <w:ind w:left="709" w:right="482" w:hanging="284"/>
        <w:rPr>
          <w:rFonts w:ascii="Times New Roman" w:hAnsi="Times New Roman"/>
          <w:sz w:val="24"/>
          <w:szCs w:val="24"/>
        </w:rPr>
      </w:pPr>
      <w:r>
        <w:rPr>
          <w:rFonts w:ascii="Times New Roman" w:hAnsi="Times New Roman"/>
          <w:sz w:val="24"/>
          <w:szCs w:val="24"/>
        </w:rPr>
        <w:t>children’s rights, including</w:t>
      </w:r>
      <w:r w:rsidR="009719EA">
        <w:rPr>
          <w:rFonts w:ascii="Times New Roman" w:hAnsi="Times New Roman"/>
          <w:sz w:val="24"/>
          <w:szCs w:val="24"/>
        </w:rPr>
        <w:t>:</w:t>
      </w:r>
      <w:r>
        <w:rPr>
          <w:rFonts w:ascii="Times New Roman" w:hAnsi="Times New Roman"/>
          <w:sz w:val="24"/>
          <w:szCs w:val="24"/>
        </w:rPr>
        <w:t xml:space="preserve"> </w:t>
      </w:r>
    </w:p>
    <w:p w:rsidR="008D27F7" w:rsidRDefault="008D27F7" w:rsidP="009E06E1">
      <w:pPr>
        <w:numPr>
          <w:ilvl w:val="1"/>
          <w:numId w:val="5"/>
        </w:numPr>
        <w:spacing w:before="120" w:after="0" w:line="240" w:lineRule="auto"/>
        <w:ind w:left="1417" w:right="482" w:hanging="357"/>
        <w:rPr>
          <w:rFonts w:ascii="Times New Roman" w:hAnsi="Times New Roman"/>
          <w:sz w:val="24"/>
          <w:szCs w:val="24"/>
        </w:rPr>
      </w:pPr>
      <w:r>
        <w:rPr>
          <w:rFonts w:ascii="Times New Roman" w:hAnsi="Times New Roman"/>
          <w:sz w:val="24"/>
          <w:szCs w:val="24"/>
        </w:rPr>
        <w:t>the best interests of the child  (Article 3 of the Convention on the Rights of the Child (CRC))</w:t>
      </w:r>
      <w:r w:rsidR="009719EA">
        <w:rPr>
          <w:rFonts w:ascii="Times New Roman" w:hAnsi="Times New Roman"/>
          <w:sz w:val="24"/>
          <w:szCs w:val="24"/>
        </w:rPr>
        <w:t>;</w:t>
      </w:r>
    </w:p>
    <w:p w:rsidR="008D27F7" w:rsidRDefault="008D27F7" w:rsidP="009E06E1">
      <w:pPr>
        <w:numPr>
          <w:ilvl w:val="1"/>
          <w:numId w:val="5"/>
        </w:numPr>
        <w:spacing w:before="120" w:after="0" w:line="240" w:lineRule="auto"/>
        <w:ind w:left="1417" w:right="482" w:hanging="357"/>
        <w:rPr>
          <w:rFonts w:ascii="Times New Roman" w:hAnsi="Times New Roman"/>
          <w:sz w:val="24"/>
          <w:szCs w:val="24"/>
        </w:rPr>
      </w:pPr>
      <w:r>
        <w:rPr>
          <w:rFonts w:ascii="Times New Roman" w:hAnsi="Times New Roman"/>
          <w:sz w:val="24"/>
          <w:szCs w:val="24"/>
        </w:rPr>
        <w:t>protection from all forms of violence o</w:t>
      </w:r>
      <w:r w:rsidR="009719EA">
        <w:rPr>
          <w:rFonts w:ascii="Times New Roman" w:hAnsi="Times New Roman"/>
          <w:sz w:val="24"/>
          <w:szCs w:val="24"/>
        </w:rPr>
        <w:t>r abuse (Article 19 of the CRC); and</w:t>
      </w:r>
    </w:p>
    <w:p w:rsidR="008D27F7" w:rsidRDefault="008D27F7" w:rsidP="009E06E1">
      <w:pPr>
        <w:numPr>
          <w:ilvl w:val="1"/>
          <w:numId w:val="5"/>
        </w:numPr>
        <w:spacing w:before="120" w:after="0" w:line="240" w:lineRule="auto"/>
        <w:ind w:left="1417" w:right="482" w:hanging="357"/>
        <w:rPr>
          <w:rFonts w:ascii="Times New Roman" w:hAnsi="Times New Roman"/>
          <w:sz w:val="24"/>
          <w:szCs w:val="24"/>
        </w:rPr>
      </w:pPr>
      <w:r>
        <w:rPr>
          <w:rFonts w:ascii="Times New Roman" w:hAnsi="Times New Roman"/>
          <w:sz w:val="24"/>
          <w:szCs w:val="24"/>
        </w:rPr>
        <w:t>the protection from sexual exploitation and abuse (Article 34 of the CRC)</w:t>
      </w:r>
      <w:r w:rsidR="009719EA">
        <w:rPr>
          <w:rFonts w:ascii="Times New Roman" w:hAnsi="Times New Roman"/>
          <w:sz w:val="24"/>
          <w:szCs w:val="24"/>
        </w:rPr>
        <w:t>.</w:t>
      </w:r>
    </w:p>
    <w:p w:rsidR="008D27F7" w:rsidRPr="008F2DA2" w:rsidRDefault="008D27F7" w:rsidP="008D27F7">
      <w:pPr>
        <w:spacing w:before="240" w:after="0" w:line="240" w:lineRule="auto"/>
        <w:ind w:right="482"/>
        <w:rPr>
          <w:rFonts w:ascii="Times New Roman" w:hAnsi="Times New Roman"/>
          <w:b/>
          <w:sz w:val="24"/>
          <w:szCs w:val="24"/>
        </w:rPr>
      </w:pPr>
      <w:r>
        <w:rPr>
          <w:rFonts w:ascii="Times New Roman" w:hAnsi="Times New Roman"/>
          <w:b/>
          <w:sz w:val="24"/>
          <w:szCs w:val="24"/>
        </w:rPr>
        <w:t>Human rights implications</w:t>
      </w:r>
    </w:p>
    <w:p w:rsidR="008D27F7" w:rsidRPr="008F2DA2" w:rsidRDefault="008D27F7" w:rsidP="008D27F7">
      <w:pPr>
        <w:spacing w:before="240" w:after="0" w:line="240" w:lineRule="auto"/>
        <w:ind w:right="482"/>
        <w:rPr>
          <w:rFonts w:ascii="Times New Roman" w:hAnsi="Times New Roman"/>
          <w:sz w:val="24"/>
          <w:szCs w:val="24"/>
          <w:u w:val="single"/>
        </w:rPr>
      </w:pPr>
      <w:r w:rsidRPr="008F2DA2">
        <w:rPr>
          <w:rFonts w:ascii="Times New Roman" w:hAnsi="Times New Roman"/>
          <w:sz w:val="24"/>
          <w:szCs w:val="24"/>
          <w:u w:val="single"/>
        </w:rPr>
        <w:t>Children’s rights</w:t>
      </w:r>
      <w:r>
        <w:rPr>
          <w:rFonts w:ascii="Times New Roman" w:hAnsi="Times New Roman"/>
          <w:sz w:val="24"/>
          <w:szCs w:val="24"/>
          <w:u w:val="single"/>
        </w:rPr>
        <w:t xml:space="preserve"> - Articles 3, 19 and 34 of the CRC</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Regulation 7A promotes the rights of the child as protected by the CRC.  Article 3 of the Convention provides that the best interests of the child must be a primary consideration in all actions concerning children and that States Parties must undertake to ensure the child such protection and care as i</w:t>
      </w:r>
      <w:r w:rsidR="00286D96">
        <w:rPr>
          <w:rFonts w:ascii="Times New Roman" w:hAnsi="Times New Roman"/>
          <w:sz w:val="24"/>
          <w:szCs w:val="24"/>
        </w:rPr>
        <w:t>s necessary for his or her well</w:t>
      </w:r>
      <w:r>
        <w:rPr>
          <w:rFonts w:ascii="Times New Roman" w:hAnsi="Times New Roman"/>
          <w:sz w:val="24"/>
          <w:szCs w:val="24"/>
        </w:rPr>
        <w:t xml:space="preserve">being, and, to this end, shall take all appropriate legislative and administrative measures.  </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Article 19 of the CRC requires State Parties to provide measures to protect the child from all forms of physical or mental violence, injury or abuse, neglect or negligent treatment, maltreatment or exploitation, including sexual abuse.</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Article 34 provides that State Parties undertake to protect the child from all forms of sexual exploitation and sexual ab</w:t>
      </w:r>
      <w:r w:rsidR="00286D96">
        <w:rPr>
          <w:rFonts w:ascii="Times New Roman" w:hAnsi="Times New Roman"/>
          <w:sz w:val="24"/>
          <w:szCs w:val="24"/>
        </w:rPr>
        <w:t>use.  For these purposes, State</w:t>
      </w:r>
      <w:r>
        <w:rPr>
          <w:rFonts w:ascii="Times New Roman" w:hAnsi="Times New Roman"/>
          <w:sz w:val="24"/>
          <w:szCs w:val="24"/>
        </w:rPr>
        <w:t xml:space="preserve"> Parties shall in particular take all appropriate measures to prevent: the inducement or coercion of a child to engage </w:t>
      </w:r>
      <w:r w:rsidR="00286D96">
        <w:rPr>
          <w:rFonts w:ascii="Times New Roman" w:hAnsi="Times New Roman"/>
          <w:sz w:val="24"/>
          <w:szCs w:val="24"/>
        </w:rPr>
        <w:t>in any unlawful sexual activity;</w:t>
      </w:r>
      <w:r>
        <w:rPr>
          <w:rFonts w:ascii="Times New Roman" w:hAnsi="Times New Roman"/>
          <w:sz w:val="24"/>
          <w:szCs w:val="24"/>
        </w:rPr>
        <w:t xml:space="preserve"> the exploitive use of children in prostitution or </w:t>
      </w:r>
      <w:r w:rsidR="00286D96">
        <w:rPr>
          <w:rFonts w:ascii="Times New Roman" w:hAnsi="Times New Roman"/>
          <w:sz w:val="24"/>
          <w:szCs w:val="24"/>
        </w:rPr>
        <w:t>other unlawful sexual practices;</w:t>
      </w:r>
      <w:r>
        <w:rPr>
          <w:rFonts w:ascii="Times New Roman" w:hAnsi="Times New Roman"/>
          <w:sz w:val="24"/>
          <w:szCs w:val="24"/>
        </w:rPr>
        <w:t xml:space="preserve"> or the exploitative use of children in pornographic performances and materials.  </w:t>
      </w:r>
    </w:p>
    <w:p w:rsidR="008D27F7" w:rsidRPr="00931AB3" w:rsidRDefault="008D27F7" w:rsidP="008D27F7">
      <w:pPr>
        <w:spacing w:before="240" w:after="0" w:line="240" w:lineRule="auto"/>
        <w:ind w:right="482"/>
        <w:rPr>
          <w:rFonts w:ascii="Times New Roman" w:hAnsi="Times New Roman"/>
          <w:iCs/>
          <w:sz w:val="24"/>
          <w:szCs w:val="24"/>
        </w:rPr>
      </w:pPr>
      <w:r>
        <w:rPr>
          <w:rFonts w:ascii="Times New Roman" w:hAnsi="Times New Roman"/>
          <w:sz w:val="24"/>
          <w:szCs w:val="24"/>
        </w:rPr>
        <w:t xml:space="preserve">Regulation </w:t>
      </w:r>
      <w:r w:rsidR="003A39E6">
        <w:rPr>
          <w:rFonts w:ascii="Times New Roman" w:hAnsi="Times New Roman"/>
          <w:sz w:val="24"/>
          <w:szCs w:val="24"/>
        </w:rPr>
        <w:t xml:space="preserve">7A </w:t>
      </w:r>
      <w:r>
        <w:rPr>
          <w:rFonts w:ascii="Times New Roman" w:hAnsi="Times New Roman"/>
          <w:sz w:val="24"/>
          <w:szCs w:val="24"/>
        </w:rPr>
        <w:t xml:space="preserve">permits specified agencies to obtain expanded criminal history information, which includes details of pardoned, quashed and spent convictions that previously could not be taken into account when conducting background checks and were not routinely shared across </w:t>
      </w:r>
      <w:r w:rsidR="00286D96">
        <w:rPr>
          <w:rFonts w:ascii="Times New Roman" w:hAnsi="Times New Roman"/>
          <w:sz w:val="24"/>
          <w:szCs w:val="24"/>
        </w:rPr>
        <w:t>s</w:t>
      </w:r>
      <w:r>
        <w:rPr>
          <w:rFonts w:ascii="Times New Roman" w:hAnsi="Times New Roman"/>
          <w:sz w:val="24"/>
          <w:szCs w:val="24"/>
        </w:rPr>
        <w:t xml:space="preserve">tate borders.  The purpose of allowing disclosure of such information is to protect children from sexual, physical and emotional harm by allowing screening agencies to access all information relevant to determining the risk that an individual may pose to children.  In accordance with </w:t>
      </w:r>
      <w:r w:rsidRPr="00931AB3">
        <w:rPr>
          <w:rFonts w:ascii="Times New Roman" w:hAnsi="Times New Roman"/>
          <w:iCs/>
          <w:sz w:val="24"/>
          <w:szCs w:val="24"/>
        </w:rPr>
        <w:t xml:space="preserve">section 85ZZGE of the </w:t>
      </w:r>
      <w:r w:rsidR="00286D96">
        <w:rPr>
          <w:rFonts w:ascii="Times New Roman" w:hAnsi="Times New Roman"/>
          <w:iCs/>
          <w:sz w:val="24"/>
          <w:szCs w:val="24"/>
        </w:rPr>
        <w:t>Act</w:t>
      </w:r>
      <w:r>
        <w:rPr>
          <w:rFonts w:ascii="Times New Roman" w:hAnsi="Times New Roman"/>
          <w:iCs/>
          <w:sz w:val="24"/>
          <w:szCs w:val="24"/>
        </w:rPr>
        <w:t>, b</w:t>
      </w:r>
      <w:r w:rsidRPr="00931AB3">
        <w:rPr>
          <w:rFonts w:ascii="Times New Roman" w:hAnsi="Times New Roman"/>
          <w:iCs/>
          <w:sz w:val="24"/>
          <w:szCs w:val="24"/>
        </w:rPr>
        <w:t>efore an agen</w:t>
      </w:r>
      <w:r>
        <w:rPr>
          <w:rFonts w:ascii="Times New Roman" w:hAnsi="Times New Roman"/>
          <w:iCs/>
          <w:sz w:val="24"/>
          <w:szCs w:val="24"/>
        </w:rPr>
        <w:t>cy can be authorised to</w:t>
      </w:r>
      <w:r w:rsidRPr="00931AB3">
        <w:rPr>
          <w:rFonts w:ascii="Times New Roman" w:hAnsi="Times New Roman"/>
          <w:iCs/>
          <w:sz w:val="24"/>
          <w:szCs w:val="24"/>
        </w:rPr>
        <w:t xml:space="preserve"> receive expanded </w:t>
      </w:r>
      <w:r w:rsidRPr="00245455">
        <w:rPr>
          <w:rFonts w:ascii="Times New Roman" w:hAnsi="Times New Roman"/>
          <w:sz w:val="24"/>
          <w:szCs w:val="24"/>
        </w:rPr>
        <w:t>Commonwealth</w:t>
      </w:r>
      <w:r w:rsidRPr="00931AB3">
        <w:rPr>
          <w:rFonts w:ascii="Times New Roman" w:hAnsi="Times New Roman"/>
          <w:iCs/>
          <w:sz w:val="24"/>
          <w:szCs w:val="24"/>
        </w:rPr>
        <w:t xml:space="preserve"> criminal history information</w:t>
      </w:r>
      <w:r>
        <w:rPr>
          <w:rFonts w:ascii="Times New Roman" w:hAnsi="Times New Roman"/>
          <w:iCs/>
          <w:sz w:val="24"/>
          <w:szCs w:val="24"/>
        </w:rPr>
        <w:t>,</w:t>
      </w:r>
      <w:r w:rsidRPr="00931AB3">
        <w:rPr>
          <w:rFonts w:ascii="Times New Roman" w:hAnsi="Times New Roman"/>
          <w:iCs/>
          <w:sz w:val="24"/>
          <w:szCs w:val="24"/>
        </w:rPr>
        <w:t xml:space="preserve"> the Minister </w:t>
      </w:r>
      <w:r w:rsidR="00286D96">
        <w:rPr>
          <w:rFonts w:ascii="Times New Roman" w:hAnsi="Times New Roman"/>
          <w:iCs/>
          <w:sz w:val="24"/>
          <w:szCs w:val="24"/>
        </w:rPr>
        <w:t xml:space="preserve">is required </w:t>
      </w:r>
      <w:r w:rsidRPr="00931AB3">
        <w:rPr>
          <w:rFonts w:ascii="Times New Roman" w:hAnsi="Times New Roman"/>
          <w:iCs/>
          <w:sz w:val="24"/>
          <w:szCs w:val="24"/>
        </w:rPr>
        <w:t xml:space="preserve">to </w:t>
      </w:r>
      <w:r>
        <w:rPr>
          <w:rFonts w:ascii="Times New Roman" w:hAnsi="Times New Roman"/>
          <w:iCs/>
          <w:sz w:val="24"/>
          <w:szCs w:val="24"/>
        </w:rPr>
        <w:t>be satisfied that the agency</w:t>
      </w:r>
      <w:r w:rsidRPr="00931AB3">
        <w:rPr>
          <w:rFonts w:ascii="Times New Roman" w:hAnsi="Times New Roman"/>
          <w:iCs/>
          <w:sz w:val="24"/>
          <w:szCs w:val="24"/>
        </w:rPr>
        <w:t>:</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t>is required or permitted by or under a Commonwealth or state law to obtain and deal with information about persons who work, or seek to work, with children; and</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t>complies with applicable Commonwealth or state law relating to privacy, human rights and records management; and</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t>complies with the principles of natural justice; and</w:t>
      </w:r>
    </w:p>
    <w:p w:rsidR="008D27F7" w:rsidRPr="00931AB3" w:rsidRDefault="008D27F7" w:rsidP="008D27F7">
      <w:pPr>
        <w:numPr>
          <w:ilvl w:val="0"/>
          <w:numId w:val="2"/>
        </w:numPr>
        <w:spacing w:before="120" w:after="0" w:line="240" w:lineRule="auto"/>
        <w:ind w:left="714" w:hanging="357"/>
        <w:rPr>
          <w:rFonts w:ascii="Times New Roman" w:hAnsi="Times New Roman"/>
          <w:iCs/>
          <w:sz w:val="24"/>
          <w:szCs w:val="24"/>
        </w:rPr>
      </w:pPr>
      <w:r w:rsidRPr="00931AB3">
        <w:rPr>
          <w:rFonts w:ascii="Times New Roman" w:hAnsi="Times New Roman"/>
          <w:iCs/>
          <w:sz w:val="24"/>
          <w:szCs w:val="24"/>
        </w:rPr>
        <w:t>has risk assessment frameworks and appropriately skilled staff to assess risks to children’s safety.</w:t>
      </w:r>
    </w:p>
    <w:p w:rsidR="008D27F7"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The provision of expanded criminal history information to agencies when undertaking Working With Children Checks will assist in mitigating against the hiring of an individual who may pose a risk to the safety and wellbeing of the children with </w:t>
      </w:r>
      <w:r w:rsidR="00286D96">
        <w:rPr>
          <w:rFonts w:ascii="Times New Roman" w:hAnsi="Times New Roman"/>
          <w:sz w:val="24"/>
          <w:szCs w:val="24"/>
        </w:rPr>
        <w:t>whom</w:t>
      </w:r>
      <w:r>
        <w:rPr>
          <w:rFonts w:ascii="Times New Roman" w:hAnsi="Times New Roman"/>
          <w:sz w:val="24"/>
          <w:szCs w:val="24"/>
        </w:rPr>
        <w:t xml:space="preserve"> they are working.  By granting agencies access to expanded criminal history information they will be able to make more accurate assessments about an individual’s suitability for work with children, thus protecting the rights of the child to be free from all forms of abuse or exploitation.</w:t>
      </w:r>
    </w:p>
    <w:p w:rsidR="008D27F7" w:rsidRPr="00613338" w:rsidRDefault="008D27F7" w:rsidP="008D27F7">
      <w:pPr>
        <w:spacing w:before="240" w:after="0" w:line="240" w:lineRule="auto"/>
        <w:ind w:right="482"/>
        <w:rPr>
          <w:rFonts w:ascii="Times New Roman" w:hAnsi="Times New Roman"/>
          <w:sz w:val="24"/>
          <w:szCs w:val="24"/>
          <w:u w:val="single"/>
        </w:rPr>
      </w:pPr>
      <w:r>
        <w:rPr>
          <w:rFonts w:ascii="Times New Roman" w:hAnsi="Times New Roman"/>
          <w:sz w:val="24"/>
          <w:szCs w:val="24"/>
          <w:u w:val="single"/>
        </w:rPr>
        <w:t>The right to privacy - A</w:t>
      </w:r>
      <w:r w:rsidRPr="00FD6D4B">
        <w:rPr>
          <w:rFonts w:ascii="Times New Roman" w:hAnsi="Times New Roman"/>
          <w:sz w:val="24"/>
          <w:szCs w:val="24"/>
          <w:u w:val="single"/>
        </w:rPr>
        <w:t xml:space="preserve">rticle 17 </w:t>
      </w:r>
      <w:r>
        <w:rPr>
          <w:rFonts w:ascii="Times New Roman" w:hAnsi="Times New Roman"/>
          <w:sz w:val="24"/>
          <w:szCs w:val="24"/>
          <w:u w:val="single"/>
        </w:rPr>
        <w:t xml:space="preserve">of the </w:t>
      </w:r>
      <w:r w:rsidRPr="00613338">
        <w:rPr>
          <w:rFonts w:ascii="Times New Roman" w:hAnsi="Times New Roman"/>
          <w:sz w:val="24"/>
          <w:szCs w:val="24"/>
          <w:u w:val="single"/>
        </w:rPr>
        <w:t>ICCPR</w:t>
      </w:r>
    </w:p>
    <w:p w:rsidR="008D27F7" w:rsidRPr="003A34AB"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Article 17 of the </w:t>
      </w:r>
      <w:r w:rsidR="00286D96">
        <w:rPr>
          <w:rFonts w:ascii="Times New Roman" w:hAnsi="Times New Roman"/>
          <w:sz w:val="24"/>
          <w:szCs w:val="24"/>
        </w:rPr>
        <w:t>ICCPR</w:t>
      </w:r>
      <w:r>
        <w:rPr>
          <w:rFonts w:ascii="Times New Roman" w:hAnsi="Times New Roman"/>
          <w:sz w:val="24"/>
          <w:szCs w:val="24"/>
        </w:rPr>
        <w:t xml:space="preserve"> protects against unlawful or arbitrary interferences with a person’s privacy, family, home and correspondence.  In order for an interference with the right not to be ‘arbitrary’, the interference must be for a reason consistent with the relevant Convention, be </w:t>
      </w:r>
      <w:r w:rsidRPr="0044131E">
        <w:rPr>
          <w:rFonts w:ascii="Times New Roman" w:hAnsi="Times New Roman"/>
          <w:sz w:val="24"/>
          <w:szCs w:val="24"/>
        </w:rPr>
        <w:t>based on reasonable and objective criteria</w:t>
      </w:r>
      <w:r>
        <w:rPr>
          <w:rFonts w:ascii="Times New Roman" w:hAnsi="Times New Roman"/>
          <w:sz w:val="24"/>
          <w:szCs w:val="24"/>
        </w:rPr>
        <w:t xml:space="preserve">, be </w:t>
      </w:r>
      <w:r w:rsidRPr="003A34AB">
        <w:rPr>
          <w:rFonts w:ascii="Times New Roman" w:hAnsi="Times New Roman"/>
          <w:sz w:val="24"/>
          <w:szCs w:val="24"/>
        </w:rPr>
        <w:t>proportional to the end sought and necessary in the circumstances of any given case</w:t>
      </w:r>
      <w:r>
        <w:rPr>
          <w:rFonts w:ascii="Times New Roman" w:hAnsi="Times New Roman"/>
          <w:sz w:val="24"/>
          <w:szCs w:val="24"/>
        </w:rPr>
        <w:t>.</w:t>
      </w:r>
      <w:r w:rsidRPr="003A34AB">
        <w:rPr>
          <w:rFonts w:ascii="Times New Roman" w:hAnsi="Times New Roman"/>
          <w:sz w:val="24"/>
          <w:szCs w:val="24"/>
        </w:rPr>
        <w:t xml:space="preserve">  The</w:t>
      </w:r>
      <w:r>
        <w:rPr>
          <w:rFonts w:ascii="Times New Roman" w:hAnsi="Times New Roman"/>
          <w:sz w:val="24"/>
          <w:szCs w:val="24"/>
        </w:rPr>
        <w:t xml:space="preserve"> </w:t>
      </w:r>
      <w:r w:rsidRPr="003A34AB">
        <w:rPr>
          <w:rFonts w:ascii="Times New Roman" w:hAnsi="Times New Roman"/>
          <w:sz w:val="24"/>
          <w:szCs w:val="24"/>
        </w:rPr>
        <w:t>collection, security, use, disclosure or publication of personal information</w:t>
      </w:r>
      <w:r>
        <w:rPr>
          <w:rFonts w:ascii="Times New Roman" w:hAnsi="Times New Roman"/>
          <w:sz w:val="24"/>
          <w:szCs w:val="24"/>
        </w:rPr>
        <w:t xml:space="preserve"> will engage the right to protection against unlawful and arbitrary interferences with privacy.</w:t>
      </w:r>
      <w:r w:rsidR="00DD5E6E">
        <w:rPr>
          <w:rFonts w:ascii="Times New Roman" w:hAnsi="Times New Roman"/>
          <w:sz w:val="24"/>
          <w:szCs w:val="24"/>
        </w:rPr>
        <w:t xml:space="preserve"> </w:t>
      </w:r>
    </w:p>
    <w:p w:rsidR="008D27F7" w:rsidRPr="001F63E6"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The disclosure of an individual’s expanded criminal history information </w:t>
      </w:r>
      <w:r w:rsidR="00DD5E6E">
        <w:rPr>
          <w:rFonts w:ascii="Times New Roman" w:hAnsi="Times New Roman"/>
          <w:sz w:val="24"/>
          <w:szCs w:val="24"/>
        </w:rPr>
        <w:t xml:space="preserve">to prescribed persons or bodies </w:t>
      </w:r>
      <w:r>
        <w:rPr>
          <w:rFonts w:ascii="Times New Roman" w:hAnsi="Times New Roman"/>
          <w:sz w:val="24"/>
          <w:szCs w:val="24"/>
        </w:rPr>
        <w:t>amounts to the release of personal information that would otherwise not be permitted to be disclosed.  In accordance with Article 17 this amounts to a limitation on the individual’s right to privacy.  However, Division 6 of the</w:t>
      </w:r>
      <w:r w:rsidR="00286D96">
        <w:rPr>
          <w:rFonts w:ascii="Times New Roman" w:hAnsi="Times New Roman"/>
          <w:sz w:val="24"/>
          <w:szCs w:val="24"/>
        </w:rPr>
        <w:t xml:space="preserve"> Act </w:t>
      </w:r>
      <w:r>
        <w:rPr>
          <w:rFonts w:ascii="Times New Roman" w:hAnsi="Times New Roman"/>
          <w:sz w:val="24"/>
          <w:szCs w:val="24"/>
        </w:rPr>
        <w:t>serves to provide a list of exclusions to the disclosure and use provisions in Divisions 2 and 3 in order to protect children from sexual, physical and emotional harm.</w:t>
      </w:r>
    </w:p>
    <w:p w:rsidR="00D26176"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 xml:space="preserve">Regulation 7A protects against arbitrary interferences with an individual’s privacy rights by prescribing </w:t>
      </w:r>
      <w:r w:rsidR="00A22E14">
        <w:rPr>
          <w:rFonts w:ascii="Times New Roman" w:hAnsi="Times New Roman"/>
          <w:sz w:val="24"/>
          <w:szCs w:val="24"/>
        </w:rPr>
        <w:t xml:space="preserve">a list of </w:t>
      </w:r>
      <w:r>
        <w:rPr>
          <w:rFonts w:ascii="Times New Roman" w:hAnsi="Times New Roman"/>
          <w:sz w:val="24"/>
          <w:szCs w:val="24"/>
        </w:rPr>
        <w:t xml:space="preserve">screening agencies authorised to collect and use expanded criminal history information for a specified purpose.  It clearly stipulates the prescribed agencies established under State and Territory legislation authorised to obtain such information, and the specific purpose for which such information may be used, namely to conduct checks on people who propose to work with children. </w:t>
      </w:r>
      <w:r w:rsidR="00BB03EB">
        <w:rPr>
          <w:rFonts w:ascii="Times New Roman" w:hAnsi="Times New Roman"/>
          <w:sz w:val="24"/>
          <w:szCs w:val="24"/>
        </w:rPr>
        <w:t xml:space="preserve"> </w:t>
      </w:r>
      <w:r w:rsidR="001063ED">
        <w:rPr>
          <w:rFonts w:ascii="Times New Roman" w:hAnsi="Times New Roman"/>
          <w:sz w:val="24"/>
          <w:szCs w:val="24"/>
        </w:rPr>
        <w:t>As a safeguard, b</w:t>
      </w:r>
      <w:r w:rsidR="00BB03EB">
        <w:rPr>
          <w:rFonts w:ascii="Times New Roman" w:hAnsi="Times New Roman"/>
          <w:sz w:val="24"/>
          <w:szCs w:val="24"/>
        </w:rPr>
        <w:t>efore an agency can be added to the list i</w:t>
      </w:r>
      <w:r w:rsidR="00286D96">
        <w:rPr>
          <w:rFonts w:ascii="Times New Roman" w:hAnsi="Times New Roman"/>
          <w:sz w:val="24"/>
          <w:szCs w:val="24"/>
        </w:rPr>
        <w:t>n Regulation 7A, section 85ZZGE</w:t>
      </w:r>
      <w:r w:rsidR="00BB03EB">
        <w:rPr>
          <w:rFonts w:ascii="Times New Roman" w:hAnsi="Times New Roman"/>
          <w:sz w:val="24"/>
          <w:szCs w:val="24"/>
        </w:rPr>
        <w:t xml:space="preserve">(c) of the Act requires the Minister to be satisfied that the prescribed person or body complies with applicable Commonwealth or state law relating to privacy. </w:t>
      </w:r>
      <w:r w:rsidR="001063ED">
        <w:rPr>
          <w:rFonts w:ascii="Times New Roman" w:hAnsi="Times New Roman"/>
          <w:sz w:val="24"/>
          <w:szCs w:val="24"/>
        </w:rPr>
        <w:t xml:space="preserve"> </w:t>
      </w:r>
      <w:r w:rsidR="009B092D">
        <w:rPr>
          <w:rFonts w:ascii="Times New Roman" w:hAnsi="Times New Roman"/>
          <w:sz w:val="24"/>
          <w:szCs w:val="24"/>
        </w:rPr>
        <w:t xml:space="preserve">The October 2013 </w:t>
      </w:r>
      <w:r w:rsidR="009B092D">
        <w:rPr>
          <w:rFonts w:ascii="Times New Roman" w:hAnsi="Times New Roman"/>
          <w:iCs/>
          <w:sz w:val="24"/>
          <w:szCs w:val="24"/>
        </w:rPr>
        <w:t xml:space="preserve">Review of the operation of Subdivision A of Division 6 of Part VIIC of the </w:t>
      </w:r>
      <w:r w:rsidR="009B092D">
        <w:rPr>
          <w:rFonts w:ascii="Times New Roman" w:hAnsi="Times New Roman"/>
          <w:i/>
          <w:iCs/>
          <w:sz w:val="24"/>
          <w:szCs w:val="24"/>
        </w:rPr>
        <w:t>Crimes Act 1914</w:t>
      </w:r>
      <w:r w:rsidR="003A39E6">
        <w:rPr>
          <w:rFonts w:ascii="Times New Roman" w:hAnsi="Times New Roman"/>
          <w:sz w:val="24"/>
          <w:szCs w:val="24"/>
        </w:rPr>
        <w:t xml:space="preserve"> confirmed that the disclosure of expanded criminal history information for Working with Children Checks is being used appropriately to assess the risk that individuals may pose and that screening agencies are adhering to safeguards in place to ensure the privacy and protection of information and individual rights.  </w:t>
      </w:r>
    </w:p>
    <w:p w:rsidR="009B092D" w:rsidRDefault="008D27F7" w:rsidP="008D27F7">
      <w:pPr>
        <w:spacing w:before="240" w:after="0" w:line="240" w:lineRule="auto"/>
        <w:ind w:right="482"/>
        <w:rPr>
          <w:rFonts w:ascii="Times New Roman" w:hAnsi="Times New Roman"/>
          <w:sz w:val="24"/>
          <w:szCs w:val="24"/>
        </w:rPr>
      </w:pPr>
      <w:r>
        <w:rPr>
          <w:rFonts w:ascii="Times New Roman" w:hAnsi="Times New Roman"/>
          <w:sz w:val="24"/>
          <w:szCs w:val="24"/>
        </w:rPr>
        <w:t>Limiting the right of the individual to privacy in this way is necessary to ensure that the rights of children are pro</w:t>
      </w:r>
      <w:r w:rsidR="007C5469">
        <w:rPr>
          <w:rFonts w:ascii="Times New Roman" w:hAnsi="Times New Roman"/>
          <w:sz w:val="24"/>
          <w:szCs w:val="24"/>
        </w:rPr>
        <w:t>tected.  Allowing an individual’</w:t>
      </w:r>
      <w:r>
        <w:rPr>
          <w:rFonts w:ascii="Times New Roman" w:hAnsi="Times New Roman"/>
          <w:sz w:val="24"/>
          <w:szCs w:val="24"/>
        </w:rPr>
        <w:t>s</w:t>
      </w:r>
      <w:r w:rsidR="007C5469">
        <w:rPr>
          <w:rFonts w:ascii="Times New Roman" w:hAnsi="Times New Roman"/>
          <w:sz w:val="24"/>
          <w:szCs w:val="24"/>
        </w:rPr>
        <w:t xml:space="preserve"> full</w:t>
      </w:r>
      <w:r>
        <w:rPr>
          <w:rFonts w:ascii="Times New Roman" w:hAnsi="Times New Roman"/>
          <w:sz w:val="24"/>
          <w:szCs w:val="24"/>
        </w:rPr>
        <w:t xml:space="preserve"> criminal history to be taken into account when being assessed for a Working With Children Check is a reasonable and proportionate curtailment of an individual’s right to privacy as it is a necessary safeguard for the protection of children in accordance with the CRC.</w:t>
      </w:r>
    </w:p>
    <w:p w:rsidR="009B092D" w:rsidRDefault="008D27F7" w:rsidP="009B092D">
      <w:pPr>
        <w:spacing w:before="240" w:after="0" w:line="240" w:lineRule="auto"/>
        <w:ind w:right="482"/>
        <w:rPr>
          <w:rFonts w:ascii="Times New Roman" w:hAnsi="Times New Roman"/>
          <w:sz w:val="24"/>
          <w:szCs w:val="24"/>
        </w:rPr>
      </w:pPr>
      <w:r w:rsidRPr="00613338">
        <w:rPr>
          <w:rFonts w:ascii="Times New Roman" w:hAnsi="Times New Roman"/>
          <w:b/>
          <w:sz w:val="24"/>
          <w:szCs w:val="24"/>
        </w:rPr>
        <w:t>Conclusion</w:t>
      </w:r>
    </w:p>
    <w:p w:rsidR="008D27F7" w:rsidRDefault="008D27F7" w:rsidP="009B092D">
      <w:pPr>
        <w:spacing w:before="240" w:after="0" w:line="240" w:lineRule="auto"/>
        <w:ind w:right="482"/>
        <w:rPr>
          <w:rFonts w:ascii="Times New Roman" w:hAnsi="Times New Roman"/>
          <w:sz w:val="24"/>
          <w:szCs w:val="24"/>
        </w:rPr>
      </w:pPr>
      <w:r>
        <w:rPr>
          <w:rFonts w:ascii="Times New Roman" w:hAnsi="Times New Roman"/>
          <w:sz w:val="24"/>
          <w:szCs w:val="24"/>
        </w:rPr>
        <w:t xml:space="preserve">This regulation </w:t>
      </w:r>
      <w:r w:rsidRPr="00D664E6">
        <w:rPr>
          <w:rFonts w:ascii="Times New Roman" w:hAnsi="Times New Roman"/>
          <w:sz w:val="24"/>
          <w:szCs w:val="24"/>
        </w:rPr>
        <w:t>is compatible</w:t>
      </w:r>
      <w:r>
        <w:rPr>
          <w:rFonts w:ascii="Times New Roman" w:hAnsi="Times New Roman"/>
          <w:sz w:val="24"/>
          <w:szCs w:val="24"/>
        </w:rPr>
        <w:t xml:space="preserve"> with human rights because </w:t>
      </w:r>
      <w:r w:rsidRPr="00D664E6">
        <w:rPr>
          <w:rFonts w:ascii="Times New Roman" w:hAnsi="Times New Roman"/>
          <w:sz w:val="24"/>
          <w:szCs w:val="24"/>
        </w:rPr>
        <w:t xml:space="preserve">it </w:t>
      </w:r>
      <w:r>
        <w:rPr>
          <w:rFonts w:ascii="Times New Roman" w:hAnsi="Times New Roman"/>
          <w:sz w:val="24"/>
          <w:szCs w:val="24"/>
        </w:rPr>
        <w:t xml:space="preserve">promotes the protection of human rights, and </w:t>
      </w:r>
      <w:r w:rsidRPr="00D664E6">
        <w:rPr>
          <w:rFonts w:ascii="Times New Roman" w:hAnsi="Times New Roman"/>
          <w:sz w:val="24"/>
          <w:szCs w:val="24"/>
          <w:lang w:val="en-GB"/>
        </w:rPr>
        <w:t>to the extent that it limit</w:t>
      </w:r>
      <w:r>
        <w:rPr>
          <w:rFonts w:ascii="Times New Roman" w:hAnsi="Times New Roman"/>
          <w:sz w:val="24"/>
          <w:szCs w:val="24"/>
          <w:lang w:val="en-GB"/>
        </w:rPr>
        <w:t>s</w:t>
      </w:r>
      <w:r w:rsidRPr="00D664E6">
        <w:rPr>
          <w:rFonts w:ascii="Times New Roman" w:hAnsi="Times New Roman"/>
          <w:sz w:val="24"/>
          <w:szCs w:val="24"/>
          <w:lang w:val="en-GB"/>
        </w:rPr>
        <w:t xml:space="preserve"> human rights, those limitations are reasonable, necessary and </w:t>
      </w:r>
      <w:r>
        <w:rPr>
          <w:rFonts w:ascii="Times New Roman" w:hAnsi="Times New Roman"/>
          <w:sz w:val="24"/>
          <w:szCs w:val="24"/>
        </w:rPr>
        <w:t>proportionate.</w:t>
      </w:r>
    </w:p>
    <w:p w:rsidR="008D27F7" w:rsidRPr="00245455" w:rsidRDefault="008D27F7" w:rsidP="008D27F7">
      <w:pPr>
        <w:spacing w:after="120"/>
        <w:ind w:right="480"/>
        <w:rPr>
          <w:rFonts w:ascii="Times New Roman" w:hAnsi="Times New Roman"/>
          <w:b/>
          <w:sz w:val="24"/>
          <w:szCs w:val="24"/>
        </w:rPr>
      </w:pPr>
    </w:p>
    <w:p w:rsidR="008D27F7" w:rsidRPr="00C770A3" w:rsidRDefault="008D27F7" w:rsidP="008D27F7">
      <w:pPr>
        <w:spacing w:after="120"/>
        <w:ind w:right="480"/>
        <w:jc w:val="right"/>
        <w:rPr>
          <w:rFonts w:ascii="Times New Roman" w:hAnsi="Times New Roman"/>
          <w:b/>
          <w:bCs/>
          <w:sz w:val="24"/>
          <w:szCs w:val="24"/>
          <w:u w:val="single"/>
        </w:rPr>
      </w:pPr>
      <w:r>
        <w:br w:type="page"/>
      </w:r>
      <w:r w:rsidRPr="00C770A3">
        <w:rPr>
          <w:rFonts w:ascii="Times New Roman" w:hAnsi="Times New Roman"/>
          <w:b/>
          <w:bCs/>
          <w:sz w:val="24"/>
          <w:szCs w:val="24"/>
          <w:u w:val="single"/>
        </w:rPr>
        <w:t>ATTACHMENT</w:t>
      </w:r>
    </w:p>
    <w:p w:rsidR="008D27F7" w:rsidRPr="00C770A3" w:rsidRDefault="008D27F7" w:rsidP="008D27F7">
      <w:pPr>
        <w:spacing w:line="240" w:lineRule="auto"/>
        <w:rPr>
          <w:rFonts w:ascii="Times New Roman" w:hAnsi="Times New Roman"/>
          <w:b/>
          <w:i/>
          <w:sz w:val="24"/>
          <w:szCs w:val="24"/>
          <w:u w:val="single"/>
        </w:rPr>
      </w:pPr>
      <w:r w:rsidRPr="00C770A3">
        <w:rPr>
          <w:rFonts w:ascii="Times New Roman" w:hAnsi="Times New Roman"/>
          <w:b/>
          <w:sz w:val="24"/>
          <w:szCs w:val="24"/>
          <w:u w:val="single"/>
        </w:rPr>
        <w:t xml:space="preserve">Details of the proposed </w:t>
      </w:r>
      <w:r w:rsidRPr="00C770A3">
        <w:rPr>
          <w:rFonts w:ascii="Times New Roman" w:hAnsi="Times New Roman"/>
          <w:b/>
          <w:i/>
          <w:sz w:val="24"/>
          <w:szCs w:val="24"/>
          <w:u w:val="single"/>
        </w:rPr>
        <w:t>Crimes Amendment (Prescribed Law) Regulation 2014</w:t>
      </w:r>
    </w:p>
    <w:p w:rsidR="008D27F7" w:rsidRDefault="008D27F7" w:rsidP="008D27F7">
      <w:pPr>
        <w:spacing w:line="240" w:lineRule="auto"/>
        <w:rPr>
          <w:rFonts w:ascii="Times New Roman" w:hAnsi="Times New Roman"/>
          <w:b/>
          <w:sz w:val="24"/>
          <w:szCs w:val="24"/>
        </w:rPr>
      </w:pPr>
      <w:r>
        <w:rPr>
          <w:rFonts w:ascii="Times New Roman" w:hAnsi="Times New Roman"/>
          <w:b/>
          <w:sz w:val="24"/>
          <w:szCs w:val="24"/>
        </w:rPr>
        <w:t>Section 1 – Name of Regulation</w:t>
      </w:r>
    </w:p>
    <w:p w:rsidR="008D27F7" w:rsidRPr="00D0690D" w:rsidRDefault="008D27F7" w:rsidP="008D27F7">
      <w:pPr>
        <w:spacing w:line="240" w:lineRule="auto"/>
        <w:rPr>
          <w:rFonts w:ascii="Times New Roman" w:hAnsi="Times New Roman"/>
          <w:sz w:val="24"/>
          <w:szCs w:val="24"/>
        </w:rPr>
      </w:pPr>
      <w:r w:rsidRPr="00D0690D">
        <w:rPr>
          <w:rFonts w:ascii="Times New Roman" w:hAnsi="Times New Roman"/>
          <w:sz w:val="24"/>
          <w:szCs w:val="24"/>
        </w:rPr>
        <w:t xml:space="preserve">This clause provides that the name of the Regulation is the </w:t>
      </w:r>
      <w:r w:rsidRPr="00D0690D">
        <w:rPr>
          <w:rFonts w:ascii="Times New Roman" w:hAnsi="Times New Roman"/>
          <w:i/>
          <w:sz w:val="24"/>
          <w:szCs w:val="24"/>
        </w:rPr>
        <w:t>Crimes Amendment (Prescribed Law) Regulation 2014</w:t>
      </w:r>
      <w:r w:rsidRPr="00D0690D">
        <w:rPr>
          <w:rFonts w:ascii="Times New Roman" w:hAnsi="Times New Roman"/>
          <w:sz w:val="24"/>
          <w:szCs w:val="24"/>
        </w:rPr>
        <w:t>.</w:t>
      </w:r>
    </w:p>
    <w:p w:rsidR="008D27F7" w:rsidRDefault="008D27F7" w:rsidP="008D27F7">
      <w:pPr>
        <w:spacing w:line="240" w:lineRule="auto"/>
        <w:rPr>
          <w:rFonts w:ascii="Times New Roman" w:hAnsi="Times New Roman"/>
          <w:b/>
          <w:sz w:val="24"/>
          <w:szCs w:val="24"/>
        </w:rPr>
      </w:pPr>
      <w:r>
        <w:rPr>
          <w:rFonts w:ascii="Times New Roman" w:hAnsi="Times New Roman"/>
          <w:b/>
          <w:sz w:val="24"/>
          <w:szCs w:val="24"/>
        </w:rPr>
        <w:t>Section 2 – Commencement</w:t>
      </w:r>
    </w:p>
    <w:p w:rsidR="008D27F7" w:rsidRDefault="008D27F7" w:rsidP="008D27F7">
      <w:pPr>
        <w:spacing w:line="240" w:lineRule="auto"/>
        <w:rPr>
          <w:rFonts w:ascii="Times New Roman" w:hAnsi="Times New Roman"/>
          <w:sz w:val="24"/>
          <w:szCs w:val="24"/>
        </w:rPr>
      </w:pPr>
      <w:r w:rsidRPr="0070411E">
        <w:rPr>
          <w:rFonts w:ascii="Times New Roman" w:hAnsi="Times New Roman"/>
          <w:sz w:val="24"/>
          <w:szCs w:val="24"/>
        </w:rPr>
        <w:t>This clause provides that the Regulation is to commence on the day after it is registered on the Federal Register of Legislative Instruments.</w:t>
      </w:r>
    </w:p>
    <w:p w:rsidR="008D27F7" w:rsidRDefault="008D27F7" w:rsidP="008D27F7">
      <w:pPr>
        <w:spacing w:line="240" w:lineRule="auto"/>
        <w:rPr>
          <w:rFonts w:ascii="Times New Roman" w:hAnsi="Times New Roman"/>
          <w:b/>
          <w:sz w:val="24"/>
          <w:szCs w:val="24"/>
        </w:rPr>
      </w:pPr>
      <w:r>
        <w:rPr>
          <w:rFonts w:ascii="Times New Roman" w:hAnsi="Times New Roman"/>
          <w:b/>
          <w:sz w:val="24"/>
          <w:szCs w:val="24"/>
        </w:rPr>
        <w:t>Section 3 – Authority</w:t>
      </w:r>
    </w:p>
    <w:p w:rsidR="008D27F7" w:rsidRDefault="008D27F7" w:rsidP="008D27F7">
      <w:pPr>
        <w:spacing w:line="240" w:lineRule="auto"/>
        <w:rPr>
          <w:rFonts w:ascii="Times New Roman" w:hAnsi="Times New Roman"/>
          <w:sz w:val="24"/>
          <w:szCs w:val="24"/>
        </w:rPr>
      </w:pPr>
      <w:r w:rsidRPr="0070411E">
        <w:rPr>
          <w:rFonts w:ascii="Times New Roman" w:hAnsi="Times New Roman"/>
          <w:sz w:val="24"/>
          <w:szCs w:val="24"/>
        </w:rPr>
        <w:t xml:space="preserve">This is a formal clause that outlines that the Regulation is being made under the </w:t>
      </w:r>
      <w:r w:rsidRPr="00AE421F">
        <w:rPr>
          <w:rFonts w:ascii="Times New Roman" w:hAnsi="Times New Roman"/>
          <w:i/>
          <w:sz w:val="24"/>
          <w:szCs w:val="24"/>
        </w:rPr>
        <w:t>Crimes Act 1914</w:t>
      </w:r>
      <w:r w:rsidRPr="0070411E">
        <w:rPr>
          <w:rFonts w:ascii="Times New Roman" w:hAnsi="Times New Roman"/>
          <w:sz w:val="24"/>
          <w:szCs w:val="24"/>
        </w:rPr>
        <w:t xml:space="preserve"> (the Crimes Act).  Section 91 of the Crimes Act provides that the Governor</w:t>
      </w:r>
      <w:r w:rsidR="00912B30">
        <w:rPr>
          <w:rFonts w:ascii="Times New Roman" w:hAnsi="Times New Roman"/>
          <w:sz w:val="24"/>
          <w:szCs w:val="24"/>
        </w:rPr>
        <w:noBreakHyphen/>
      </w:r>
      <w:r w:rsidRPr="0070411E">
        <w:rPr>
          <w:rFonts w:ascii="Times New Roman" w:hAnsi="Times New Roman"/>
          <w:sz w:val="24"/>
          <w:szCs w:val="24"/>
        </w:rPr>
        <w:t>General may make regulations, not inconsistent with the Act, prescribing all matters required or permitted by the Act to be prescribed or necessary or convenient to be prescribed for carrying out or giving effect to the Crimes Act.</w:t>
      </w:r>
    </w:p>
    <w:p w:rsidR="008D27F7" w:rsidRDefault="008D27F7" w:rsidP="008D27F7">
      <w:pPr>
        <w:spacing w:line="240" w:lineRule="auto"/>
        <w:rPr>
          <w:rFonts w:ascii="Times New Roman" w:hAnsi="Times New Roman"/>
          <w:b/>
          <w:sz w:val="24"/>
          <w:szCs w:val="24"/>
        </w:rPr>
      </w:pPr>
      <w:r>
        <w:rPr>
          <w:rFonts w:ascii="Times New Roman" w:hAnsi="Times New Roman"/>
          <w:b/>
          <w:sz w:val="24"/>
          <w:szCs w:val="24"/>
        </w:rPr>
        <w:t>Section 4 – Schedule(s)</w:t>
      </w:r>
    </w:p>
    <w:p w:rsidR="008D27F7" w:rsidRPr="0070411E" w:rsidRDefault="008D27F7" w:rsidP="008D27F7">
      <w:pPr>
        <w:spacing w:line="240" w:lineRule="auto"/>
        <w:rPr>
          <w:rFonts w:ascii="Times New Roman" w:hAnsi="Times New Roman"/>
          <w:sz w:val="24"/>
          <w:szCs w:val="24"/>
        </w:rPr>
      </w:pPr>
      <w:r w:rsidRPr="0070411E">
        <w:rPr>
          <w:rFonts w:ascii="Times New Roman" w:hAnsi="Times New Roman"/>
          <w:sz w:val="24"/>
          <w:szCs w:val="24"/>
        </w:rPr>
        <w:t xml:space="preserve">This is a formal clause that identifies that the Regulation amends the </w:t>
      </w:r>
      <w:r w:rsidRPr="00AE421F">
        <w:rPr>
          <w:rFonts w:ascii="Times New Roman" w:hAnsi="Times New Roman"/>
          <w:i/>
          <w:sz w:val="24"/>
          <w:szCs w:val="24"/>
        </w:rPr>
        <w:t>Crime Regulations 1990</w:t>
      </w:r>
      <w:r w:rsidRPr="0070411E">
        <w:rPr>
          <w:rFonts w:ascii="Times New Roman" w:hAnsi="Times New Roman"/>
          <w:sz w:val="24"/>
          <w:szCs w:val="24"/>
        </w:rPr>
        <w:t xml:space="preserve"> (the Crimes Regulations), which is the instrument specified in Schedule 1.</w:t>
      </w:r>
    </w:p>
    <w:p w:rsidR="008D27F7" w:rsidRPr="0070411E" w:rsidRDefault="008D27F7" w:rsidP="008D27F7">
      <w:pPr>
        <w:spacing w:line="240" w:lineRule="auto"/>
        <w:rPr>
          <w:rFonts w:ascii="Times New Roman" w:hAnsi="Times New Roman"/>
          <w:b/>
          <w:sz w:val="24"/>
          <w:szCs w:val="24"/>
        </w:rPr>
      </w:pPr>
      <w:r w:rsidRPr="0070411E">
        <w:rPr>
          <w:rFonts w:ascii="Times New Roman" w:hAnsi="Times New Roman"/>
          <w:b/>
          <w:sz w:val="24"/>
          <w:szCs w:val="24"/>
        </w:rPr>
        <w:t>Schedule 1 – Amendments</w:t>
      </w:r>
    </w:p>
    <w:p w:rsidR="008D27F7" w:rsidRPr="0070411E" w:rsidRDefault="008D27F7" w:rsidP="008D27F7">
      <w:pPr>
        <w:spacing w:line="240" w:lineRule="auto"/>
        <w:rPr>
          <w:rFonts w:ascii="Times New Roman" w:hAnsi="Times New Roman"/>
          <w:sz w:val="24"/>
          <w:szCs w:val="24"/>
        </w:rPr>
      </w:pPr>
      <w:r w:rsidRPr="0070411E">
        <w:rPr>
          <w:rFonts w:ascii="Times New Roman" w:hAnsi="Times New Roman"/>
          <w:sz w:val="24"/>
          <w:szCs w:val="24"/>
        </w:rPr>
        <w:t>This schedule contains amendments to the Crimes Regulations.</w:t>
      </w:r>
    </w:p>
    <w:p w:rsidR="008D27F7" w:rsidRPr="0070411E" w:rsidRDefault="008D27F7" w:rsidP="008D27F7">
      <w:pPr>
        <w:spacing w:line="240" w:lineRule="auto"/>
        <w:rPr>
          <w:rFonts w:ascii="Times New Roman" w:hAnsi="Times New Roman"/>
          <w:b/>
          <w:sz w:val="24"/>
          <w:szCs w:val="24"/>
        </w:rPr>
      </w:pPr>
      <w:r w:rsidRPr="0070411E">
        <w:rPr>
          <w:rFonts w:ascii="Times New Roman" w:hAnsi="Times New Roman"/>
          <w:b/>
          <w:sz w:val="24"/>
          <w:szCs w:val="24"/>
        </w:rPr>
        <w:t xml:space="preserve">Item </w:t>
      </w:r>
      <w:r w:rsidR="00C770A3">
        <w:rPr>
          <w:rFonts w:ascii="Times New Roman" w:hAnsi="Times New Roman"/>
          <w:b/>
          <w:sz w:val="24"/>
          <w:szCs w:val="24"/>
        </w:rPr>
        <w:t>[</w:t>
      </w:r>
      <w:r w:rsidRPr="0070411E">
        <w:rPr>
          <w:rFonts w:ascii="Times New Roman" w:hAnsi="Times New Roman"/>
          <w:b/>
          <w:sz w:val="24"/>
          <w:szCs w:val="24"/>
        </w:rPr>
        <w:t>1</w:t>
      </w:r>
      <w:r w:rsidR="00C770A3">
        <w:rPr>
          <w:rFonts w:ascii="Times New Roman" w:hAnsi="Times New Roman"/>
          <w:b/>
          <w:sz w:val="24"/>
          <w:szCs w:val="24"/>
        </w:rPr>
        <w:t>]</w:t>
      </w:r>
      <w:r w:rsidRPr="0070411E">
        <w:rPr>
          <w:rFonts w:ascii="Times New Roman" w:hAnsi="Times New Roman"/>
          <w:b/>
          <w:sz w:val="24"/>
          <w:szCs w:val="24"/>
        </w:rPr>
        <w:t xml:space="preserve"> – Regulation 7A (table)</w:t>
      </w:r>
    </w:p>
    <w:p w:rsidR="008D27F7" w:rsidRPr="0070411E" w:rsidRDefault="008D27F7" w:rsidP="008D27F7">
      <w:pPr>
        <w:spacing w:line="240" w:lineRule="auto"/>
        <w:rPr>
          <w:rFonts w:ascii="Times New Roman" w:hAnsi="Times New Roman"/>
          <w:sz w:val="24"/>
          <w:szCs w:val="24"/>
        </w:rPr>
      </w:pPr>
      <w:r w:rsidRPr="0070411E">
        <w:rPr>
          <w:rFonts w:ascii="Times New Roman" w:hAnsi="Times New Roman"/>
          <w:sz w:val="24"/>
          <w:szCs w:val="24"/>
        </w:rPr>
        <w:t>Regulation 7A prescribes the persons and bodies authorised under Part VIIC Division 6 Subdivision A of the Act to receive expanded criminal history information.  These are State and Territory agencies which perform working with children checks to assess whether a person is suitable to work with children.</w:t>
      </w:r>
    </w:p>
    <w:p w:rsidR="008D27F7" w:rsidRPr="0070411E" w:rsidRDefault="008D27F7" w:rsidP="008D27F7">
      <w:pPr>
        <w:spacing w:line="240" w:lineRule="auto"/>
        <w:rPr>
          <w:rFonts w:ascii="Times New Roman" w:hAnsi="Times New Roman"/>
          <w:sz w:val="24"/>
          <w:szCs w:val="24"/>
        </w:rPr>
      </w:pPr>
      <w:r w:rsidRPr="0070411E">
        <w:rPr>
          <w:rFonts w:ascii="Times New Roman" w:hAnsi="Times New Roman"/>
          <w:sz w:val="24"/>
          <w:szCs w:val="24"/>
        </w:rPr>
        <w:t>Since Regulation 7A was last amended, amendments have been made to legislation and screening agency arrangements in New South Wales.  The Australian Capital Territory and South Australia have also established screening agencies.</w:t>
      </w:r>
    </w:p>
    <w:p w:rsidR="008D27F7" w:rsidRPr="0070411E" w:rsidRDefault="008D27F7" w:rsidP="008D27F7">
      <w:pPr>
        <w:spacing w:line="240" w:lineRule="auto"/>
        <w:rPr>
          <w:rFonts w:ascii="Times New Roman" w:hAnsi="Times New Roman"/>
          <w:sz w:val="24"/>
          <w:szCs w:val="24"/>
        </w:rPr>
      </w:pPr>
      <w:r w:rsidRPr="0070411E">
        <w:rPr>
          <w:rFonts w:ascii="Times New Roman" w:hAnsi="Times New Roman"/>
          <w:sz w:val="24"/>
          <w:szCs w:val="24"/>
        </w:rPr>
        <w:t>This item repeal</w:t>
      </w:r>
      <w:r w:rsidR="00347FCB">
        <w:rPr>
          <w:rFonts w:ascii="Times New Roman" w:hAnsi="Times New Roman"/>
          <w:sz w:val="24"/>
          <w:szCs w:val="24"/>
        </w:rPr>
        <w:t>s</w:t>
      </w:r>
      <w:r w:rsidRPr="0070411E">
        <w:rPr>
          <w:rFonts w:ascii="Times New Roman" w:hAnsi="Times New Roman"/>
          <w:sz w:val="24"/>
          <w:szCs w:val="24"/>
        </w:rPr>
        <w:t xml:space="preserve"> the current list of prescribed persons, bodies and laws and insert</w:t>
      </w:r>
      <w:r w:rsidR="00347FCB">
        <w:rPr>
          <w:rFonts w:ascii="Times New Roman" w:hAnsi="Times New Roman"/>
          <w:sz w:val="24"/>
          <w:szCs w:val="24"/>
        </w:rPr>
        <w:t>s</w:t>
      </w:r>
      <w:r w:rsidRPr="0070411E">
        <w:rPr>
          <w:rFonts w:ascii="Times New Roman" w:hAnsi="Times New Roman"/>
          <w:sz w:val="24"/>
          <w:szCs w:val="24"/>
        </w:rPr>
        <w:t xml:space="preserve"> the following updated list, reflecting the current screening agency arrangements in each State and Territory.</w:t>
      </w:r>
      <w:r w:rsidR="005B4398">
        <w:rPr>
          <w:rFonts w:ascii="Times New Roman" w:hAnsi="Times New Roman"/>
          <w:sz w:val="24"/>
          <w:szCs w:val="24"/>
        </w:rPr>
        <w:t xml:space="preserve">  </w:t>
      </w:r>
      <w:r w:rsidR="005B4398" w:rsidRPr="00416A3C">
        <w:rPr>
          <w:rFonts w:ascii="Times New Roman" w:hAnsi="Times New Roman"/>
          <w:sz w:val="24"/>
          <w:szCs w:val="24"/>
        </w:rPr>
        <w:t xml:space="preserve">This </w:t>
      </w:r>
      <w:r w:rsidR="00520FEB">
        <w:rPr>
          <w:rFonts w:ascii="Times New Roman" w:hAnsi="Times New Roman"/>
          <w:sz w:val="24"/>
          <w:szCs w:val="24"/>
        </w:rPr>
        <w:t>has</w:t>
      </w:r>
      <w:r w:rsidR="005B4398" w:rsidRPr="00416A3C">
        <w:rPr>
          <w:rFonts w:ascii="Times New Roman" w:hAnsi="Times New Roman"/>
          <w:sz w:val="24"/>
          <w:szCs w:val="24"/>
        </w:rPr>
        <w:t xml:space="preserve"> also correct</w:t>
      </w:r>
      <w:r w:rsidR="00520FEB">
        <w:rPr>
          <w:rFonts w:ascii="Times New Roman" w:hAnsi="Times New Roman"/>
          <w:sz w:val="24"/>
          <w:szCs w:val="24"/>
        </w:rPr>
        <w:t>ed</w:t>
      </w:r>
      <w:r w:rsidR="005B4398" w:rsidRPr="00416A3C">
        <w:rPr>
          <w:rFonts w:ascii="Times New Roman" w:hAnsi="Times New Roman"/>
          <w:sz w:val="24"/>
          <w:szCs w:val="24"/>
        </w:rPr>
        <w:t xml:space="preserve"> the minor error in the prescribed law for the Northern Territory Screening Authority.</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304"/>
        <w:gridCol w:w="4408"/>
      </w:tblGrid>
      <w:tr w:rsidR="008D27F7" w:rsidRPr="0070411E" w:rsidTr="006B5999">
        <w:tc>
          <w:tcPr>
            <w:tcW w:w="9478" w:type="dxa"/>
            <w:gridSpan w:val="3"/>
          </w:tcPr>
          <w:p w:rsidR="008D27F7" w:rsidRPr="0070411E" w:rsidRDefault="008D27F7" w:rsidP="006B5999">
            <w:pPr>
              <w:spacing w:after="120" w:line="240" w:lineRule="auto"/>
              <w:rPr>
                <w:rFonts w:ascii="Times New Roman" w:hAnsi="Times New Roman"/>
                <w:b/>
                <w:sz w:val="24"/>
                <w:szCs w:val="24"/>
              </w:rPr>
            </w:pPr>
            <w:r w:rsidRPr="0070411E">
              <w:rPr>
                <w:rFonts w:ascii="Times New Roman" w:hAnsi="Times New Roman"/>
                <w:b/>
                <w:sz w:val="24"/>
                <w:szCs w:val="24"/>
              </w:rPr>
              <w:t>Prescribed persons, bodies and laws</w:t>
            </w:r>
          </w:p>
        </w:tc>
      </w:tr>
      <w:tr w:rsidR="008D27F7" w:rsidRPr="0070411E" w:rsidTr="006B5999">
        <w:tc>
          <w:tcPr>
            <w:tcW w:w="766" w:type="dxa"/>
          </w:tcPr>
          <w:p w:rsidR="008D27F7" w:rsidRPr="0070411E" w:rsidRDefault="008D27F7" w:rsidP="006B5999">
            <w:pPr>
              <w:spacing w:after="120" w:line="240" w:lineRule="auto"/>
              <w:rPr>
                <w:rFonts w:ascii="Times New Roman" w:hAnsi="Times New Roman"/>
                <w:b/>
                <w:sz w:val="24"/>
                <w:szCs w:val="24"/>
              </w:rPr>
            </w:pPr>
            <w:r w:rsidRPr="0070411E">
              <w:rPr>
                <w:rFonts w:ascii="Times New Roman" w:hAnsi="Times New Roman"/>
                <w:b/>
                <w:sz w:val="24"/>
                <w:szCs w:val="24"/>
              </w:rPr>
              <w:t>Item</w:t>
            </w:r>
          </w:p>
        </w:tc>
        <w:tc>
          <w:tcPr>
            <w:tcW w:w="4304" w:type="dxa"/>
            <w:shd w:val="clear" w:color="auto" w:fill="auto"/>
          </w:tcPr>
          <w:p w:rsidR="008D27F7" w:rsidRPr="0070411E" w:rsidRDefault="008D27F7" w:rsidP="006B5999">
            <w:pPr>
              <w:spacing w:after="120" w:line="240" w:lineRule="auto"/>
              <w:rPr>
                <w:rFonts w:ascii="Times New Roman" w:hAnsi="Times New Roman"/>
                <w:b/>
                <w:sz w:val="24"/>
                <w:szCs w:val="24"/>
              </w:rPr>
            </w:pPr>
            <w:r w:rsidRPr="0070411E">
              <w:rPr>
                <w:rFonts w:ascii="Times New Roman" w:hAnsi="Times New Roman"/>
                <w:b/>
                <w:sz w:val="24"/>
                <w:szCs w:val="24"/>
              </w:rPr>
              <w:t>Prescribed person or body</w:t>
            </w:r>
          </w:p>
        </w:tc>
        <w:tc>
          <w:tcPr>
            <w:tcW w:w="4408" w:type="dxa"/>
            <w:shd w:val="clear" w:color="auto" w:fill="auto"/>
          </w:tcPr>
          <w:p w:rsidR="008D27F7" w:rsidRPr="0070411E" w:rsidRDefault="008D27F7" w:rsidP="006B5999">
            <w:pPr>
              <w:spacing w:after="120" w:line="240" w:lineRule="auto"/>
              <w:rPr>
                <w:rFonts w:ascii="Times New Roman" w:hAnsi="Times New Roman"/>
                <w:b/>
                <w:sz w:val="24"/>
                <w:szCs w:val="24"/>
              </w:rPr>
            </w:pPr>
            <w:r w:rsidRPr="0070411E">
              <w:rPr>
                <w:rFonts w:ascii="Times New Roman" w:hAnsi="Times New Roman"/>
                <w:b/>
                <w:sz w:val="24"/>
                <w:szCs w:val="24"/>
              </w:rPr>
              <w:t>Prescribed law</w:t>
            </w:r>
          </w:p>
        </w:tc>
      </w:tr>
      <w:tr w:rsidR="008D27F7" w:rsidRPr="0070411E" w:rsidTr="006B5999">
        <w:tc>
          <w:tcPr>
            <w:tcW w:w="766" w:type="dxa"/>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1</w:t>
            </w:r>
          </w:p>
        </w:tc>
        <w:tc>
          <w:tcPr>
            <w:tcW w:w="4304"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Office of the Children’s Guardian</w:t>
            </w:r>
          </w:p>
        </w:tc>
        <w:tc>
          <w:tcPr>
            <w:tcW w:w="4408"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i/>
                <w:sz w:val="24"/>
                <w:szCs w:val="24"/>
              </w:rPr>
              <w:t>Child Protection (Working with Children) Act 2012</w:t>
            </w:r>
            <w:r w:rsidRPr="0070411E">
              <w:rPr>
                <w:rFonts w:ascii="Times New Roman" w:hAnsi="Times New Roman"/>
                <w:sz w:val="24"/>
                <w:szCs w:val="24"/>
              </w:rPr>
              <w:t xml:space="preserve"> (NSW)</w:t>
            </w:r>
          </w:p>
        </w:tc>
      </w:tr>
      <w:tr w:rsidR="008D27F7" w:rsidRPr="0070411E" w:rsidTr="006B5999">
        <w:tc>
          <w:tcPr>
            <w:tcW w:w="766" w:type="dxa"/>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2</w:t>
            </w:r>
          </w:p>
        </w:tc>
        <w:tc>
          <w:tcPr>
            <w:tcW w:w="4304"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Secretary to the Department of Justice</w:t>
            </w:r>
          </w:p>
        </w:tc>
        <w:tc>
          <w:tcPr>
            <w:tcW w:w="4408"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i/>
                <w:sz w:val="24"/>
                <w:szCs w:val="24"/>
              </w:rPr>
              <w:t xml:space="preserve">Working with Children Act 2005 </w:t>
            </w:r>
            <w:r w:rsidRPr="0070411E">
              <w:rPr>
                <w:rFonts w:ascii="Times New Roman" w:hAnsi="Times New Roman"/>
                <w:sz w:val="24"/>
                <w:szCs w:val="24"/>
              </w:rPr>
              <w:t>(Vic</w:t>
            </w:r>
            <w:r w:rsidR="00520FEB">
              <w:rPr>
                <w:rFonts w:ascii="Times New Roman" w:hAnsi="Times New Roman"/>
                <w:sz w:val="24"/>
                <w:szCs w:val="24"/>
              </w:rPr>
              <w:t>.</w:t>
            </w:r>
            <w:r w:rsidRPr="0070411E">
              <w:rPr>
                <w:rFonts w:ascii="Times New Roman" w:hAnsi="Times New Roman"/>
                <w:sz w:val="24"/>
                <w:szCs w:val="24"/>
              </w:rPr>
              <w:t>)</w:t>
            </w:r>
          </w:p>
        </w:tc>
      </w:tr>
      <w:tr w:rsidR="008D27F7" w:rsidRPr="0070411E" w:rsidTr="006B5999">
        <w:tc>
          <w:tcPr>
            <w:tcW w:w="766" w:type="dxa"/>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3</w:t>
            </w:r>
          </w:p>
        </w:tc>
        <w:tc>
          <w:tcPr>
            <w:tcW w:w="4304"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Commissioner for Children and Young People and Child Guardian</w:t>
            </w:r>
          </w:p>
        </w:tc>
        <w:tc>
          <w:tcPr>
            <w:tcW w:w="4408"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i/>
                <w:sz w:val="24"/>
                <w:szCs w:val="24"/>
              </w:rPr>
              <w:t xml:space="preserve">Commission for Children and Young People and Child Guardian Act 2000 </w:t>
            </w:r>
            <w:r w:rsidRPr="0070411E">
              <w:rPr>
                <w:rFonts w:ascii="Times New Roman" w:hAnsi="Times New Roman"/>
                <w:sz w:val="24"/>
                <w:szCs w:val="24"/>
              </w:rPr>
              <w:t>(Qld)</w:t>
            </w:r>
          </w:p>
        </w:tc>
      </w:tr>
      <w:tr w:rsidR="008D27F7" w:rsidRPr="0070411E" w:rsidTr="006B5999">
        <w:tc>
          <w:tcPr>
            <w:tcW w:w="766" w:type="dxa"/>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4</w:t>
            </w:r>
          </w:p>
        </w:tc>
        <w:tc>
          <w:tcPr>
            <w:tcW w:w="4304"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Queensland College of Teachers</w:t>
            </w:r>
          </w:p>
        </w:tc>
        <w:tc>
          <w:tcPr>
            <w:tcW w:w="4408"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i/>
                <w:sz w:val="24"/>
                <w:szCs w:val="24"/>
              </w:rPr>
              <w:t xml:space="preserve">Education (Queensland College of Teachers) Act 2005 </w:t>
            </w:r>
            <w:r w:rsidRPr="0070411E">
              <w:rPr>
                <w:rFonts w:ascii="Times New Roman" w:hAnsi="Times New Roman"/>
                <w:sz w:val="24"/>
                <w:szCs w:val="24"/>
              </w:rPr>
              <w:t>(Qld)</w:t>
            </w:r>
          </w:p>
        </w:tc>
      </w:tr>
      <w:tr w:rsidR="008D27F7" w:rsidRPr="0070411E" w:rsidTr="006B5999">
        <w:tc>
          <w:tcPr>
            <w:tcW w:w="766" w:type="dxa"/>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5</w:t>
            </w:r>
          </w:p>
        </w:tc>
        <w:tc>
          <w:tcPr>
            <w:tcW w:w="4304"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Chief executive officer of the Department for Child Protection</w:t>
            </w:r>
          </w:p>
        </w:tc>
        <w:tc>
          <w:tcPr>
            <w:tcW w:w="4408"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i/>
                <w:sz w:val="24"/>
                <w:szCs w:val="24"/>
              </w:rPr>
              <w:t xml:space="preserve">Working with Children (Criminal Record Checking) Act 2004 </w:t>
            </w:r>
            <w:r w:rsidRPr="0070411E">
              <w:rPr>
                <w:rFonts w:ascii="Times New Roman" w:hAnsi="Times New Roman"/>
                <w:sz w:val="24"/>
                <w:szCs w:val="24"/>
              </w:rPr>
              <w:t>(WA)</w:t>
            </w:r>
          </w:p>
        </w:tc>
      </w:tr>
      <w:tr w:rsidR="008D27F7" w:rsidRPr="0070411E" w:rsidTr="006B5999">
        <w:tc>
          <w:tcPr>
            <w:tcW w:w="766" w:type="dxa"/>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6</w:t>
            </w:r>
          </w:p>
        </w:tc>
        <w:tc>
          <w:tcPr>
            <w:tcW w:w="4304"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sz w:val="24"/>
                <w:szCs w:val="24"/>
              </w:rPr>
              <w:t>Department for Communities and Social Inclusion Screening Unit</w:t>
            </w:r>
          </w:p>
        </w:tc>
        <w:tc>
          <w:tcPr>
            <w:tcW w:w="4408" w:type="dxa"/>
            <w:shd w:val="clear" w:color="auto" w:fill="auto"/>
          </w:tcPr>
          <w:p w:rsidR="008D27F7" w:rsidRPr="0070411E" w:rsidRDefault="008D27F7" w:rsidP="006B5999">
            <w:pPr>
              <w:spacing w:after="120" w:line="240" w:lineRule="auto"/>
              <w:rPr>
                <w:rFonts w:ascii="Times New Roman" w:hAnsi="Times New Roman"/>
                <w:sz w:val="24"/>
                <w:szCs w:val="24"/>
              </w:rPr>
            </w:pPr>
            <w:r w:rsidRPr="0070411E">
              <w:rPr>
                <w:rFonts w:ascii="Times New Roman" w:hAnsi="Times New Roman"/>
                <w:i/>
                <w:sz w:val="24"/>
                <w:szCs w:val="24"/>
              </w:rPr>
              <w:t>Children’s Protection Regulations 2010</w:t>
            </w:r>
            <w:r w:rsidRPr="0070411E">
              <w:rPr>
                <w:rFonts w:ascii="Times New Roman" w:hAnsi="Times New Roman"/>
                <w:sz w:val="24"/>
                <w:szCs w:val="24"/>
              </w:rPr>
              <w:t xml:space="preserve"> (SA)</w:t>
            </w:r>
          </w:p>
        </w:tc>
      </w:tr>
      <w:tr w:rsidR="007A6259" w:rsidRPr="0070411E" w:rsidTr="006B5999">
        <w:tc>
          <w:tcPr>
            <w:tcW w:w="766" w:type="dxa"/>
          </w:tcPr>
          <w:p w:rsidR="007A6259" w:rsidRPr="0070411E" w:rsidRDefault="007A6259" w:rsidP="00D02997">
            <w:pPr>
              <w:spacing w:after="120" w:line="240" w:lineRule="auto"/>
              <w:rPr>
                <w:rFonts w:ascii="Times New Roman" w:hAnsi="Times New Roman"/>
                <w:sz w:val="24"/>
                <w:szCs w:val="24"/>
              </w:rPr>
            </w:pPr>
            <w:r>
              <w:rPr>
                <w:rFonts w:ascii="Times New Roman" w:hAnsi="Times New Roman"/>
                <w:sz w:val="24"/>
                <w:szCs w:val="24"/>
              </w:rPr>
              <w:t>7</w:t>
            </w:r>
          </w:p>
        </w:tc>
        <w:tc>
          <w:tcPr>
            <w:tcW w:w="4304" w:type="dxa"/>
            <w:shd w:val="clear" w:color="auto" w:fill="auto"/>
          </w:tcPr>
          <w:p w:rsidR="007A6259" w:rsidRPr="0070411E" w:rsidRDefault="007A6259" w:rsidP="00D02997">
            <w:pPr>
              <w:spacing w:after="120" w:line="240" w:lineRule="auto"/>
              <w:rPr>
                <w:rFonts w:ascii="Times New Roman" w:hAnsi="Times New Roman"/>
                <w:sz w:val="24"/>
                <w:szCs w:val="24"/>
              </w:rPr>
            </w:pPr>
            <w:r w:rsidRPr="0070411E">
              <w:rPr>
                <w:rFonts w:ascii="Times New Roman" w:hAnsi="Times New Roman"/>
                <w:sz w:val="24"/>
                <w:szCs w:val="24"/>
              </w:rPr>
              <w:t>Australian Capital Territory Office of Regulatory Services Background Screening Unit</w:t>
            </w:r>
          </w:p>
        </w:tc>
        <w:tc>
          <w:tcPr>
            <w:tcW w:w="4408" w:type="dxa"/>
            <w:shd w:val="clear" w:color="auto" w:fill="auto"/>
          </w:tcPr>
          <w:p w:rsidR="007A6259" w:rsidRPr="0070411E" w:rsidRDefault="007A6259" w:rsidP="00D02997">
            <w:pPr>
              <w:spacing w:after="120" w:line="240" w:lineRule="auto"/>
              <w:rPr>
                <w:rFonts w:ascii="Times New Roman" w:hAnsi="Times New Roman"/>
                <w:sz w:val="24"/>
                <w:szCs w:val="24"/>
              </w:rPr>
            </w:pPr>
            <w:r w:rsidRPr="0070411E">
              <w:rPr>
                <w:rFonts w:ascii="Times New Roman" w:hAnsi="Times New Roman"/>
                <w:i/>
                <w:sz w:val="24"/>
                <w:szCs w:val="24"/>
              </w:rPr>
              <w:t>Working with Vulnerable People (Background Checking) Act 2011</w:t>
            </w:r>
            <w:r w:rsidRPr="0070411E">
              <w:rPr>
                <w:rFonts w:ascii="Times New Roman" w:hAnsi="Times New Roman"/>
                <w:sz w:val="24"/>
                <w:szCs w:val="24"/>
              </w:rPr>
              <w:t xml:space="preserve"> (ACT)</w:t>
            </w:r>
          </w:p>
        </w:tc>
      </w:tr>
      <w:tr w:rsidR="007A6259" w:rsidRPr="0070411E" w:rsidTr="006B5999">
        <w:tc>
          <w:tcPr>
            <w:tcW w:w="766" w:type="dxa"/>
          </w:tcPr>
          <w:p w:rsidR="007A6259" w:rsidRPr="0070411E" w:rsidRDefault="007A6259" w:rsidP="006B5999">
            <w:pPr>
              <w:spacing w:after="120" w:line="240" w:lineRule="auto"/>
              <w:rPr>
                <w:rFonts w:ascii="Times New Roman" w:hAnsi="Times New Roman"/>
                <w:sz w:val="24"/>
                <w:szCs w:val="24"/>
              </w:rPr>
            </w:pPr>
            <w:r>
              <w:rPr>
                <w:rFonts w:ascii="Times New Roman" w:hAnsi="Times New Roman"/>
                <w:sz w:val="24"/>
                <w:szCs w:val="24"/>
              </w:rPr>
              <w:t>8</w:t>
            </w:r>
          </w:p>
        </w:tc>
        <w:tc>
          <w:tcPr>
            <w:tcW w:w="4304" w:type="dxa"/>
            <w:shd w:val="clear" w:color="auto" w:fill="auto"/>
          </w:tcPr>
          <w:p w:rsidR="007A6259" w:rsidRPr="0070411E" w:rsidRDefault="007A6259" w:rsidP="006B5999">
            <w:pPr>
              <w:spacing w:after="120" w:line="240" w:lineRule="auto"/>
              <w:rPr>
                <w:rFonts w:ascii="Times New Roman" w:hAnsi="Times New Roman"/>
                <w:sz w:val="24"/>
                <w:szCs w:val="24"/>
              </w:rPr>
            </w:pPr>
            <w:r w:rsidRPr="0070411E">
              <w:rPr>
                <w:rFonts w:ascii="Times New Roman" w:hAnsi="Times New Roman"/>
                <w:sz w:val="24"/>
                <w:szCs w:val="24"/>
              </w:rPr>
              <w:t>Screening Authority</w:t>
            </w:r>
          </w:p>
        </w:tc>
        <w:tc>
          <w:tcPr>
            <w:tcW w:w="4408" w:type="dxa"/>
            <w:shd w:val="clear" w:color="auto" w:fill="auto"/>
          </w:tcPr>
          <w:p w:rsidR="007A6259" w:rsidRPr="0070411E" w:rsidRDefault="007A6259" w:rsidP="006B5999">
            <w:pPr>
              <w:spacing w:after="120" w:line="240" w:lineRule="auto"/>
              <w:rPr>
                <w:rFonts w:ascii="Times New Roman" w:hAnsi="Times New Roman"/>
                <w:sz w:val="24"/>
                <w:szCs w:val="24"/>
              </w:rPr>
            </w:pPr>
            <w:r w:rsidRPr="0070411E">
              <w:rPr>
                <w:rFonts w:ascii="Times New Roman" w:hAnsi="Times New Roman"/>
                <w:i/>
                <w:sz w:val="24"/>
                <w:szCs w:val="24"/>
              </w:rPr>
              <w:t xml:space="preserve">Care and Protection of Children Act </w:t>
            </w:r>
            <w:r>
              <w:rPr>
                <w:rFonts w:ascii="Times New Roman" w:hAnsi="Times New Roman"/>
                <w:i/>
                <w:sz w:val="24"/>
                <w:szCs w:val="24"/>
              </w:rPr>
              <w:t xml:space="preserve">2007 </w:t>
            </w:r>
            <w:r w:rsidRPr="0070411E">
              <w:rPr>
                <w:rFonts w:ascii="Times New Roman" w:hAnsi="Times New Roman"/>
                <w:sz w:val="24"/>
                <w:szCs w:val="24"/>
              </w:rPr>
              <w:t>(NT)</w:t>
            </w:r>
          </w:p>
        </w:tc>
      </w:tr>
    </w:tbl>
    <w:p w:rsidR="008D27F7" w:rsidRPr="0070411E" w:rsidRDefault="008D27F7" w:rsidP="008D27F7">
      <w:pPr>
        <w:spacing w:before="200"/>
        <w:rPr>
          <w:rFonts w:ascii="Times New Roman" w:hAnsi="Times New Roman"/>
          <w:b/>
          <w:sz w:val="24"/>
          <w:szCs w:val="24"/>
        </w:rPr>
      </w:pPr>
      <w:r w:rsidRPr="0070411E">
        <w:rPr>
          <w:rFonts w:ascii="Times New Roman" w:hAnsi="Times New Roman"/>
          <w:b/>
          <w:sz w:val="24"/>
          <w:szCs w:val="24"/>
        </w:rPr>
        <w:t>Compliance with criteria</w:t>
      </w:r>
    </w:p>
    <w:p w:rsidR="008D27F7" w:rsidRPr="0070411E" w:rsidRDefault="008D27F7" w:rsidP="008D27F7">
      <w:pPr>
        <w:spacing w:before="200" w:line="240" w:lineRule="auto"/>
        <w:rPr>
          <w:rFonts w:ascii="Times New Roman" w:hAnsi="Times New Roman"/>
          <w:sz w:val="24"/>
          <w:szCs w:val="24"/>
        </w:rPr>
      </w:pPr>
      <w:r w:rsidRPr="0070411E">
        <w:rPr>
          <w:rFonts w:ascii="Times New Roman" w:hAnsi="Times New Roman"/>
          <w:sz w:val="24"/>
          <w:szCs w:val="24"/>
        </w:rPr>
        <w:t>Section 85ZZGE establishes criteria of which the Minister must be satisfied before a person or body can be prescribed under Regulation 7A.  The Minister must be satisfied that the person or body:</w:t>
      </w:r>
    </w:p>
    <w:p w:rsidR="008D27F7" w:rsidRPr="0070411E" w:rsidRDefault="008D27F7" w:rsidP="00912B30">
      <w:pPr>
        <w:numPr>
          <w:ilvl w:val="0"/>
          <w:numId w:val="8"/>
        </w:numPr>
        <w:spacing w:before="200" w:line="240" w:lineRule="auto"/>
        <w:rPr>
          <w:rFonts w:ascii="Times New Roman" w:hAnsi="Times New Roman"/>
          <w:sz w:val="24"/>
          <w:szCs w:val="24"/>
        </w:rPr>
      </w:pPr>
      <w:r w:rsidRPr="0070411E">
        <w:rPr>
          <w:rFonts w:ascii="Times New Roman" w:hAnsi="Times New Roman"/>
          <w:sz w:val="24"/>
          <w:szCs w:val="24"/>
        </w:rPr>
        <w:t>is required or permitted by or under a Commonwealth or state law to obtain and deal with information about persons who work or seek to work with children</w:t>
      </w:r>
      <w:r w:rsidR="00912B30">
        <w:rPr>
          <w:rFonts w:ascii="Times New Roman" w:hAnsi="Times New Roman"/>
          <w:sz w:val="24"/>
          <w:szCs w:val="24"/>
        </w:rPr>
        <w:t xml:space="preserve">; </w:t>
      </w:r>
    </w:p>
    <w:p w:rsidR="008D27F7" w:rsidRPr="0070411E" w:rsidRDefault="008D27F7" w:rsidP="00912B30">
      <w:pPr>
        <w:numPr>
          <w:ilvl w:val="0"/>
          <w:numId w:val="8"/>
        </w:numPr>
        <w:spacing w:before="200" w:line="240" w:lineRule="auto"/>
        <w:rPr>
          <w:rFonts w:ascii="Times New Roman" w:hAnsi="Times New Roman"/>
          <w:sz w:val="24"/>
          <w:szCs w:val="24"/>
        </w:rPr>
      </w:pPr>
      <w:r w:rsidRPr="0070411E">
        <w:rPr>
          <w:rFonts w:ascii="Times New Roman" w:hAnsi="Times New Roman"/>
          <w:sz w:val="24"/>
          <w:szCs w:val="24"/>
        </w:rPr>
        <w:t>complies with applicable Commonwealth or state law relating to privacy, human rights and records management</w:t>
      </w:r>
      <w:r w:rsidR="00912B30">
        <w:rPr>
          <w:rFonts w:ascii="Times New Roman" w:hAnsi="Times New Roman"/>
          <w:sz w:val="24"/>
          <w:szCs w:val="24"/>
        </w:rPr>
        <w:t xml:space="preserve">; </w:t>
      </w:r>
    </w:p>
    <w:p w:rsidR="008D27F7" w:rsidRPr="0070411E" w:rsidRDefault="008D27F7" w:rsidP="00912B30">
      <w:pPr>
        <w:numPr>
          <w:ilvl w:val="0"/>
          <w:numId w:val="8"/>
        </w:numPr>
        <w:spacing w:before="200" w:line="240" w:lineRule="auto"/>
        <w:rPr>
          <w:rFonts w:ascii="Times New Roman" w:hAnsi="Times New Roman"/>
          <w:sz w:val="24"/>
          <w:szCs w:val="24"/>
        </w:rPr>
      </w:pPr>
      <w:r w:rsidRPr="0070411E">
        <w:rPr>
          <w:rFonts w:ascii="Times New Roman" w:hAnsi="Times New Roman"/>
          <w:sz w:val="24"/>
          <w:szCs w:val="24"/>
        </w:rPr>
        <w:t>complies with the principles of natural justice</w:t>
      </w:r>
      <w:r w:rsidR="00912B30">
        <w:rPr>
          <w:rFonts w:ascii="Times New Roman" w:hAnsi="Times New Roman"/>
          <w:sz w:val="24"/>
          <w:szCs w:val="24"/>
        </w:rPr>
        <w:t xml:space="preserve">; </w:t>
      </w:r>
      <w:r w:rsidRPr="0070411E">
        <w:rPr>
          <w:rFonts w:ascii="Times New Roman" w:hAnsi="Times New Roman"/>
          <w:sz w:val="24"/>
          <w:szCs w:val="24"/>
        </w:rPr>
        <w:t>and</w:t>
      </w:r>
    </w:p>
    <w:p w:rsidR="008D27F7" w:rsidRPr="0070411E" w:rsidRDefault="008D27F7" w:rsidP="00912B30">
      <w:pPr>
        <w:numPr>
          <w:ilvl w:val="0"/>
          <w:numId w:val="8"/>
        </w:numPr>
        <w:spacing w:before="200" w:line="240" w:lineRule="auto"/>
        <w:rPr>
          <w:rFonts w:ascii="Times New Roman" w:hAnsi="Times New Roman"/>
          <w:sz w:val="24"/>
          <w:szCs w:val="24"/>
        </w:rPr>
      </w:pPr>
      <w:r w:rsidRPr="0070411E">
        <w:rPr>
          <w:rFonts w:ascii="Times New Roman" w:hAnsi="Times New Roman"/>
          <w:sz w:val="24"/>
          <w:szCs w:val="24"/>
        </w:rPr>
        <w:t>has risk assessment frameworks and appropriately skilled staff to assess risks to children’s safety.</w:t>
      </w:r>
    </w:p>
    <w:p w:rsidR="008D27F7" w:rsidRPr="0070411E" w:rsidRDefault="008D27F7" w:rsidP="008D27F7">
      <w:pPr>
        <w:spacing w:before="200" w:line="240" w:lineRule="auto"/>
        <w:rPr>
          <w:rFonts w:ascii="Times New Roman" w:hAnsi="Times New Roman"/>
          <w:iCs/>
          <w:sz w:val="24"/>
          <w:szCs w:val="24"/>
        </w:rPr>
      </w:pPr>
      <w:r w:rsidRPr="0070411E">
        <w:rPr>
          <w:rFonts w:ascii="Times New Roman" w:hAnsi="Times New Roman"/>
          <w:sz w:val="24"/>
          <w:szCs w:val="24"/>
        </w:rPr>
        <w:t xml:space="preserve">The Minister is satisfied that these criteria are met in relation to the New South Wales Office of the Children’s Guardian, the </w:t>
      </w:r>
      <w:r w:rsidRPr="0070411E">
        <w:rPr>
          <w:rFonts w:ascii="Times New Roman" w:hAnsi="Times New Roman"/>
          <w:iCs/>
          <w:sz w:val="24"/>
          <w:szCs w:val="24"/>
        </w:rPr>
        <w:t xml:space="preserve">Australian Capital Territory Office of Regulatory Services Background Screening Unit and the South Australian Department for Communities and </w:t>
      </w:r>
      <w:r w:rsidR="007C5469">
        <w:rPr>
          <w:rFonts w:ascii="Times New Roman" w:hAnsi="Times New Roman"/>
          <w:iCs/>
          <w:sz w:val="24"/>
          <w:szCs w:val="24"/>
        </w:rPr>
        <w:t xml:space="preserve">Social Inclusion Screening Unit. </w:t>
      </w:r>
    </w:p>
    <w:sectPr w:rsidR="008D27F7" w:rsidRPr="0070411E" w:rsidSect="007C5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1A0"/>
    <w:multiLevelType w:val="hybridMultilevel"/>
    <w:tmpl w:val="C99260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DA291A"/>
    <w:multiLevelType w:val="hybridMultilevel"/>
    <w:tmpl w:val="22240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932EBD"/>
    <w:multiLevelType w:val="hybridMultilevel"/>
    <w:tmpl w:val="AD3EC7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35E057B"/>
    <w:multiLevelType w:val="hybridMultilevel"/>
    <w:tmpl w:val="C3DE933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
    <w:nsid w:val="35EE1FBB"/>
    <w:multiLevelType w:val="hybridMultilevel"/>
    <w:tmpl w:val="1B6EC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4F17C0"/>
    <w:multiLevelType w:val="hybridMultilevel"/>
    <w:tmpl w:val="A560DFAA"/>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nsid w:val="61BD522F"/>
    <w:multiLevelType w:val="hybridMultilevel"/>
    <w:tmpl w:val="8E2498D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66E5E46"/>
    <w:multiLevelType w:val="hybridMultilevel"/>
    <w:tmpl w:val="BA666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B3"/>
    <w:rsid w:val="000050B3"/>
    <w:rsid w:val="00057CD8"/>
    <w:rsid w:val="000632B5"/>
    <w:rsid w:val="000A256E"/>
    <w:rsid w:val="000A67B7"/>
    <w:rsid w:val="000B3619"/>
    <w:rsid w:val="000D3437"/>
    <w:rsid w:val="001063ED"/>
    <w:rsid w:val="00114069"/>
    <w:rsid w:val="00131457"/>
    <w:rsid w:val="00164E40"/>
    <w:rsid w:val="001B01F0"/>
    <w:rsid w:val="001C5ACF"/>
    <w:rsid w:val="001E133C"/>
    <w:rsid w:val="001F62DC"/>
    <w:rsid w:val="0025626A"/>
    <w:rsid w:val="002746FB"/>
    <w:rsid w:val="00286D96"/>
    <w:rsid w:val="002C0964"/>
    <w:rsid w:val="00347FCB"/>
    <w:rsid w:val="003853FF"/>
    <w:rsid w:val="003A39E6"/>
    <w:rsid w:val="003F0220"/>
    <w:rsid w:val="003F1C53"/>
    <w:rsid w:val="004302DD"/>
    <w:rsid w:val="004618FC"/>
    <w:rsid w:val="004C3117"/>
    <w:rsid w:val="00520FEB"/>
    <w:rsid w:val="0059310C"/>
    <w:rsid w:val="005B4398"/>
    <w:rsid w:val="006156D4"/>
    <w:rsid w:val="00621D27"/>
    <w:rsid w:val="0063499A"/>
    <w:rsid w:val="0067271C"/>
    <w:rsid w:val="006A4DED"/>
    <w:rsid w:val="006F6DB9"/>
    <w:rsid w:val="00733237"/>
    <w:rsid w:val="007928F9"/>
    <w:rsid w:val="007A6259"/>
    <w:rsid w:val="007C5469"/>
    <w:rsid w:val="007F3AF1"/>
    <w:rsid w:val="007F7A55"/>
    <w:rsid w:val="00834DA7"/>
    <w:rsid w:val="00854CD1"/>
    <w:rsid w:val="00855B9B"/>
    <w:rsid w:val="008D27F7"/>
    <w:rsid w:val="00912B30"/>
    <w:rsid w:val="00964A07"/>
    <w:rsid w:val="009658D0"/>
    <w:rsid w:val="009719EA"/>
    <w:rsid w:val="009B092D"/>
    <w:rsid w:val="009C529F"/>
    <w:rsid w:val="009E06E1"/>
    <w:rsid w:val="00A17CD2"/>
    <w:rsid w:val="00A22E14"/>
    <w:rsid w:val="00A32504"/>
    <w:rsid w:val="00A66A43"/>
    <w:rsid w:val="00AE421F"/>
    <w:rsid w:val="00AF3470"/>
    <w:rsid w:val="00B358C1"/>
    <w:rsid w:val="00B44DEC"/>
    <w:rsid w:val="00B85CB5"/>
    <w:rsid w:val="00B9094A"/>
    <w:rsid w:val="00BA2C8D"/>
    <w:rsid w:val="00BA3E95"/>
    <w:rsid w:val="00BA6ECA"/>
    <w:rsid w:val="00BB03EB"/>
    <w:rsid w:val="00BC10BD"/>
    <w:rsid w:val="00BC30F8"/>
    <w:rsid w:val="00C60B6B"/>
    <w:rsid w:val="00C616BA"/>
    <w:rsid w:val="00C72D7E"/>
    <w:rsid w:val="00C770A3"/>
    <w:rsid w:val="00D22081"/>
    <w:rsid w:val="00D26176"/>
    <w:rsid w:val="00D35A3C"/>
    <w:rsid w:val="00D71C8E"/>
    <w:rsid w:val="00DB33A0"/>
    <w:rsid w:val="00DD5E6E"/>
    <w:rsid w:val="00DE621F"/>
    <w:rsid w:val="00E46FC5"/>
    <w:rsid w:val="00E610B5"/>
    <w:rsid w:val="00F17BE4"/>
    <w:rsid w:val="00F878AF"/>
    <w:rsid w:val="00F87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B3"/>
    <w:pPr>
      <w:spacing w:after="200" w:line="276" w:lineRule="auto"/>
    </w:pPr>
    <w:rPr>
      <w:sz w:val="22"/>
      <w:szCs w:val="22"/>
      <w:lang w:eastAsia="en-US"/>
    </w:rPr>
  </w:style>
  <w:style w:type="paragraph" w:styleId="Heading1">
    <w:name w:val="heading 1"/>
    <w:basedOn w:val="Normal"/>
    <w:next w:val="Normal"/>
    <w:link w:val="Heading1Char"/>
    <w:uiPriority w:val="9"/>
    <w:qFormat/>
    <w:rsid w:val="00C72D7E"/>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0B3"/>
    <w:pPr>
      <w:autoSpaceDE w:val="0"/>
      <w:autoSpaceDN w:val="0"/>
      <w:adjustRightInd w:val="0"/>
    </w:pPr>
    <w:rPr>
      <w:rFonts w:ascii="Arial" w:hAnsi="Arial" w:cs="Arial"/>
      <w:color w:val="000000"/>
      <w:sz w:val="24"/>
      <w:szCs w:val="24"/>
      <w:lang w:eastAsia="en-US"/>
    </w:rPr>
  </w:style>
  <w:style w:type="paragraph" w:customStyle="1" w:styleId="celltext">
    <w:name w:val="celltext"/>
    <w:basedOn w:val="Normal"/>
    <w:rsid w:val="00057CD8"/>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1Char">
    <w:name w:val="Heading 1 Char"/>
    <w:basedOn w:val="DefaultParagraphFont"/>
    <w:link w:val="Heading1"/>
    <w:uiPriority w:val="9"/>
    <w:rsid w:val="00C72D7E"/>
    <w:rPr>
      <w:rFonts w:asciiTheme="majorHAnsi" w:eastAsiaTheme="majorEastAsia" w:hAnsiTheme="majorHAnsi" w:cstheme="majorBidi"/>
      <w:b/>
      <w:bCs/>
      <w:kern w:val="32"/>
      <w:sz w:val="32"/>
      <w:szCs w:val="32"/>
      <w:lang w:eastAsia="en-US"/>
    </w:rPr>
  </w:style>
  <w:style w:type="paragraph" w:styleId="TOCHeading">
    <w:name w:val="TOC Heading"/>
    <w:basedOn w:val="Heading1"/>
    <w:next w:val="Normal"/>
    <w:uiPriority w:val="39"/>
    <w:unhideWhenUsed/>
    <w:qFormat/>
    <w:rsid w:val="00C72D7E"/>
    <w:pPr>
      <w:keepLines/>
      <w:spacing w:before="480" w:after="0"/>
      <w:outlineLvl w:val="9"/>
    </w:pPr>
    <w:rPr>
      <w:rFonts w:ascii="Cambria" w:eastAsia="Times New Roman" w:hAnsi="Cambria" w:cs="Times New Roman"/>
      <w:color w:val="365F91"/>
      <w:kern w:val="0"/>
      <w:sz w:val="28"/>
      <w:szCs w:val="28"/>
      <w:lang w:val="en-US"/>
    </w:rPr>
  </w:style>
  <w:style w:type="paragraph" w:styleId="BalloonText">
    <w:name w:val="Balloon Text"/>
    <w:basedOn w:val="Normal"/>
    <w:link w:val="BalloonTextChar"/>
    <w:uiPriority w:val="99"/>
    <w:semiHidden/>
    <w:unhideWhenUsed/>
    <w:rsid w:val="00C60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B6B"/>
    <w:rPr>
      <w:rFonts w:ascii="Tahoma" w:hAnsi="Tahoma" w:cs="Tahoma"/>
      <w:sz w:val="16"/>
      <w:szCs w:val="16"/>
      <w:lang w:eastAsia="en-US"/>
    </w:rPr>
  </w:style>
  <w:style w:type="table" w:styleId="TableGrid">
    <w:name w:val="Table Grid"/>
    <w:basedOn w:val="TableNormal"/>
    <w:uiPriority w:val="59"/>
    <w:rsid w:val="00C60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5ACF"/>
    <w:rPr>
      <w:sz w:val="16"/>
      <w:szCs w:val="16"/>
    </w:rPr>
  </w:style>
  <w:style w:type="paragraph" w:styleId="CommentText">
    <w:name w:val="annotation text"/>
    <w:basedOn w:val="Normal"/>
    <w:link w:val="CommentTextChar"/>
    <w:uiPriority w:val="99"/>
    <w:semiHidden/>
    <w:unhideWhenUsed/>
    <w:rsid w:val="001C5ACF"/>
    <w:rPr>
      <w:sz w:val="20"/>
      <w:szCs w:val="20"/>
    </w:rPr>
  </w:style>
  <w:style w:type="character" w:customStyle="1" w:styleId="CommentTextChar">
    <w:name w:val="Comment Text Char"/>
    <w:basedOn w:val="DefaultParagraphFont"/>
    <w:link w:val="CommentText"/>
    <w:uiPriority w:val="99"/>
    <w:semiHidden/>
    <w:rsid w:val="001C5ACF"/>
    <w:rPr>
      <w:lang w:eastAsia="en-US"/>
    </w:rPr>
  </w:style>
  <w:style w:type="table" w:customStyle="1" w:styleId="TableGrid1">
    <w:name w:val="Table Grid1"/>
    <w:basedOn w:val="TableNormal"/>
    <w:next w:val="TableGrid"/>
    <w:uiPriority w:val="59"/>
    <w:rsid w:val="001C5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853FF"/>
    <w:rPr>
      <w:b/>
      <w:bCs/>
    </w:rPr>
  </w:style>
  <w:style w:type="character" w:customStyle="1" w:styleId="CommentSubjectChar">
    <w:name w:val="Comment Subject Char"/>
    <w:basedOn w:val="CommentTextChar"/>
    <w:link w:val="CommentSubject"/>
    <w:uiPriority w:val="99"/>
    <w:semiHidden/>
    <w:rsid w:val="003853F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B3"/>
    <w:pPr>
      <w:spacing w:after="200" w:line="276" w:lineRule="auto"/>
    </w:pPr>
    <w:rPr>
      <w:sz w:val="22"/>
      <w:szCs w:val="22"/>
      <w:lang w:eastAsia="en-US"/>
    </w:rPr>
  </w:style>
  <w:style w:type="paragraph" w:styleId="Heading1">
    <w:name w:val="heading 1"/>
    <w:basedOn w:val="Normal"/>
    <w:next w:val="Normal"/>
    <w:link w:val="Heading1Char"/>
    <w:uiPriority w:val="9"/>
    <w:qFormat/>
    <w:rsid w:val="00C72D7E"/>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0B3"/>
    <w:pPr>
      <w:autoSpaceDE w:val="0"/>
      <w:autoSpaceDN w:val="0"/>
      <w:adjustRightInd w:val="0"/>
    </w:pPr>
    <w:rPr>
      <w:rFonts w:ascii="Arial" w:hAnsi="Arial" w:cs="Arial"/>
      <w:color w:val="000000"/>
      <w:sz w:val="24"/>
      <w:szCs w:val="24"/>
      <w:lang w:eastAsia="en-US"/>
    </w:rPr>
  </w:style>
  <w:style w:type="paragraph" w:customStyle="1" w:styleId="celltext">
    <w:name w:val="celltext"/>
    <w:basedOn w:val="Normal"/>
    <w:rsid w:val="00057CD8"/>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1Char">
    <w:name w:val="Heading 1 Char"/>
    <w:basedOn w:val="DefaultParagraphFont"/>
    <w:link w:val="Heading1"/>
    <w:uiPriority w:val="9"/>
    <w:rsid w:val="00C72D7E"/>
    <w:rPr>
      <w:rFonts w:asciiTheme="majorHAnsi" w:eastAsiaTheme="majorEastAsia" w:hAnsiTheme="majorHAnsi" w:cstheme="majorBidi"/>
      <w:b/>
      <w:bCs/>
      <w:kern w:val="32"/>
      <w:sz w:val="32"/>
      <w:szCs w:val="32"/>
      <w:lang w:eastAsia="en-US"/>
    </w:rPr>
  </w:style>
  <w:style w:type="paragraph" w:styleId="TOCHeading">
    <w:name w:val="TOC Heading"/>
    <w:basedOn w:val="Heading1"/>
    <w:next w:val="Normal"/>
    <w:uiPriority w:val="39"/>
    <w:unhideWhenUsed/>
    <w:qFormat/>
    <w:rsid w:val="00C72D7E"/>
    <w:pPr>
      <w:keepLines/>
      <w:spacing w:before="480" w:after="0"/>
      <w:outlineLvl w:val="9"/>
    </w:pPr>
    <w:rPr>
      <w:rFonts w:ascii="Cambria" w:eastAsia="Times New Roman" w:hAnsi="Cambria" w:cs="Times New Roman"/>
      <w:color w:val="365F91"/>
      <w:kern w:val="0"/>
      <w:sz w:val="28"/>
      <w:szCs w:val="28"/>
      <w:lang w:val="en-US"/>
    </w:rPr>
  </w:style>
  <w:style w:type="paragraph" w:styleId="BalloonText">
    <w:name w:val="Balloon Text"/>
    <w:basedOn w:val="Normal"/>
    <w:link w:val="BalloonTextChar"/>
    <w:uiPriority w:val="99"/>
    <w:semiHidden/>
    <w:unhideWhenUsed/>
    <w:rsid w:val="00C60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B6B"/>
    <w:rPr>
      <w:rFonts w:ascii="Tahoma" w:hAnsi="Tahoma" w:cs="Tahoma"/>
      <w:sz w:val="16"/>
      <w:szCs w:val="16"/>
      <w:lang w:eastAsia="en-US"/>
    </w:rPr>
  </w:style>
  <w:style w:type="table" w:styleId="TableGrid">
    <w:name w:val="Table Grid"/>
    <w:basedOn w:val="TableNormal"/>
    <w:uiPriority w:val="59"/>
    <w:rsid w:val="00C60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5ACF"/>
    <w:rPr>
      <w:sz w:val="16"/>
      <w:szCs w:val="16"/>
    </w:rPr>
  </w:style>
  <w:style w:type="paragraph" w:styleId="CommentText">
    <w:name w:val="annotation text"/>
    <w:basedOn w:val="Normal"/>
    <w:link w:val="CommentTextChar"/>
    <w:uiPriority w:val="99"/>
    <w:semiHidden/>
    <w:unhideWhenUsed/>
    <w:rsid w:val="001C5ACF"/>
    <w:rPr>
      <w:sz w:val="20"/>
      <w:szCs w:val="20"/>
    </w:rPr>
  </w:style>
  <w:style w:type="character" w:customStyle="1" w:styleId="CommentTextChar">
    <w:name w:val="Comment Text Char"/>
    <w:basedOn w:val="DefaultParagraphFont"/>
    <w:link w:val="CommentText"/>
    <w:uiPriority w:val="99"/>
    <w:semiHidden/>
    <w:rsid w:val="001C5ACF"/>
    <w:rPr>
      <w:lang w:eastAsia="en-US"/>
    </w:rPr>
  </w:style>
  <w:style w:type="table" w:customStyle="1" w:styleId="TableGrid1">
    <w:name w:val="Table Grid1"/>
    <w:basedOn w:val="TableNormal"/>
    <w:next w:val="TableGrid"/>
    <w:uiPriority w:val="59"/>
    <w:rsid w:val="001C5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853FF"/>
    <w:rPr>
      <w:b/>
      <w:bCs/>
    </w:rPr>
  </w:style>
  <w:style w:type="character" w:customStyle="1" w:styleId="CommentSubjectChar">
    <w:name w:val="Comment Subject Char"/>
    <w:basedOn w:val="CommentTextChar"/>
    <w:link w:val="CommentSubject"/>
    <w:uiPriority w:val="99"/>
    <w:semiHidden/>
    <w:rsid w:val="003853F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tenkae</dc:creator>
  <cp:lastModifiedBy>Hilhorst, Matt</cp:lastModifiedBy>
  <cp:revision>2</cp:revision>
  <cp:lastPrinted>2014-02-04T22:28:00Z</cp:lastPrinted>
  <dcterms:created xsi:type="dcterms:W3CDTF">2014-03-11T04:45:00Z</dcterms:created>
  <dcterms:modified xsi:type="dcterms:W3CDTF">2014-03-11T04:45:00Z</dcterms:modified>
</cp:coreProperties>
</file>