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EF8" w:rsidRDefault="00583EF8" w:rsidP="00D962BC">
      <w:pPr>
        <w:pStyle w:val="Heading2"/>
        <w:rPr>
          <w:iCs w:val="0"/>
          <w:sz w:val="40"/>
          <w:szCs w:val="32"/>
        </w:rPr>
      </w:pPr>
    </w:p>
    <w:p w:rsidR="00583EF8" w:rsidRDefault="00583EF8" w:rsidP="00D962BC">
      <w:pPr>
        <w:pStyle w:val="Heading2"/>
        <w:rPr>
          <w:iCs w:val="0"/>
          <w:sz w:val="40"/>
          <w:szCs w:val="32"/>
        </w:rPr>
      </w:pPr>
    </w:p>
    <w:p w:rsidR="00583EF8" w:rsidRDefault="00583EF8" w:rsidP="00D962BC">
      <w:pPr>
        <w:pStyle w:val="Heading2"/>
        <w:rPr>
          <w:iCs w:val="0"/>
          <w:sz w:val="40"/>
          <w:szCs w:val="32"/>
        </w:rPr>
      </w:pPr>
    </w:p>
    <w:p w:rsidR="00583EF8" w:rsidRDefault="00583EF8" w:rsidP="00D962BC">
      <w:pPr>
        <w:pStyle w:val="Heading2"/>
        <w:rPr>
          <w:iCs w:val="0"/>
          <w:sz w:val="40"/>
          <w:szCs w:val="32"/>
        </w:rPr>
      </w:pPr>
    </w:p>
    <w:p w:rsidR="00806D52" w:rsidRDefault="00806D52" w:rsidP="00D962BC">
      <w:pPr>
        <w:pStyle w:val="Heading2"/>
        <w:rPr>
          <w:iCs w:val="0"/>
          <w:sz w:val="40"/>
          <w:szCs w:val="32"/>
        </w:rPr>
      </w:pPr>
      <w:r w:rsidRPr="00806D52">
        <w:rPr>
          <w:iCs w:val="0"/>
          <w:sz w:val="40"/>
          <w:szCs w:val="32"/>
        </w:rPr>
        <w:t>Explanatory Statement</w:t>
      </w:r>
    </w:p>
    <w:p w:rsidR="00806D52" w:rsidRPr="00806D52" w:rsidRDefault="002F12FA" w:rsidP="00806D52">
      <w:pPr>
        <w:pStyle w:val="Heading3"/>
        <w:rPr>
          <w:b w:val="0"/>
          <w:iCs/>
          <w:sz w:val="32"/>
          <w:szCs w:val="28"/>
        </w:rPr>
      </w:pPr>
      <w:r>
        <w:rPr>
          <w:b w:val="0"/>
          <w:iCs/>
          <w:sz w:val="32"/>
          <w:szCs w:val="28"/>
        </w:rPr>
        <w:t>G</w:t>
      </w:r>
      <w:r w:rsidR="00806D52" w:rsidRPr="00806D52">
        <w:rPr>
          <w:b w:val="0"/>
          <w:iCs/>
          <w:sz w:val="32"/>
          <w:szCs w:val="28"/>
        </w:rPr>
        <w:t>uide</w:t>
      </w:r>
      <w:r w:rsidR="00BD36EB">
        <w:rPr>
          <w:b w:val="0"/>
          <w:iCs/>
          <w:sz w:val="32"/>
          <w:szCs w:val="28"/>
        </w:rPr>
        <w:t>lines under section 95</w:t>
      </w:r>
      <w:r w:rsidR="00806D52">
        <w:rPr>
          <w:b w:val="0"/>
          <w:iCs/>
          <w:sz w:val="32"/>
          <w:szCs w:val="28"/>
        </w:rPr>
        <w:t xml:space="preserve"> </w:t>
      </w:r>
      <w:r w:rsidR="00806D52" w:rsidRPr="00806D52">
        <w:rPr>
          <w:b w:val="0"/>
          <w:iCs/>
          <w:sz w:val="32"/>
          <w:szCs w:val="28"/>
        </w:rPr>
        <w:t>of the Privacy Act 1988</w:t>
      </w:r>
    </w:p>
    <w:p w:rsidR="00806D52" w:rsidRDefault="004A41A8" w:rsidP="00806D52">
      <w:pPr>
        <w:pStyle w:val="Heading3"/>
        <w:rPr>
          <w:b w:val="0"/>
          <w:iCs/>
          <w:sz w:val="32"/>
          <w:szCs w:val="28"/>
        </w:rPr>
      </w:pPr>
      <w:r>
        <w:rPr>
          <w:b w:val="0"/>
          <w:iCs/>
          <w:sz w:val="32"/>
          <w:szCs w:val="28"/>
        </w:rPr>
        <w:t xml:space="preserve">12 </w:t>
      </w:r>
      <w:r w:rsidR="00583EF8">
        <w:rPr>
          <w:b w:val="0"/>
          <w:iCs/>
          <w:sz w:val="32"/>
          <w:szCs w:val="28"/>
        </w:rPr>
        <w:t>March 2014</w:t>
      </w:r>
    </w:p>
    <w:p w:rsidR="00D962BC" w:rsidRDefault="00806D52" w:rsidP="00806D52">
      <w:pPr>
        <w:spacing w:after="0" w:line="240" w:lineRule="auto"/>
      </w:pPr>
      <w:r>
        <w:br w:type="page"/>
      </w:r>
    </w:p>
    <w:p w:rsidR="00806D52" w:rsidRDefault="00806D52" w:rsidP="00806D52">
      <w:pPr>
        <w:rPr>
          <w:rFonts w:cs="Arial"/>
          <w:b/>
          <w:bCs/>
          <w:color w:val="165788"/>
          <w:szCs w:val="26"/>
        </w:rPr>
      </w:pPr>
    </w:p>
    <w:p w:rsidR="00806D52" w:rsidRPr="00C8312F" w:rsidRDefault="00806D52" w:rsidP="00C8312F">
      <w:pPr>
        <w:rPr>
          <w:rFonts w:cs="Arial"/>
          <w:b/>
          <w:bCs/>
          <w:color w:val="165788"/>
          <w:szCs w:val="26"/>
        </w:rPr>
      </w:pPr>
      <w:r w:rsidRPr="00806D52">
        <w:rPr>
          <w:rFonts w:cs="Arial"/>
          <w:b/>
          <w:bCs/>
          <w:color w:val="165788"/>
          <w:szCs w:val="26"/>
        </w:rPr>
        <w:t>1. PURPOSE AND AUTHORITY</w:t>
      </w:r>
    </w:p>
    <w:p w:rsidR="00806D52" w:rsidRDefault="00A10F23" w:rsidP="00806D52">
      <w:pPr>
        <w:autoSpaceDE w:val="0"/>
        <w:autoSpaceDN w:val="0"/>
        <w:adjustRightInd w:val="0"/>
        <w:spacing w:after="0" w:line="240" w:lineRule="auto"/>
        <w:rPr>
          <w:rFonts w:cs="Arial"/>
          <w:color w:val="000000"/>
          <w:szCs w:val="20"/>
        </w:rPr>
      </w:pPr>
      <w:r w:rsidRPr="00336370">
        <w:rPr>
          <w:rFonts w:cs="Arial"/>
          <w:color w:val="000000"/>
          <w:szCs w:val="20"/>
        </w:rPr>
        <w:t>Section 95</w:t>
      </w:r>
      <w:r w:rsidR="00806D52" w:rsidRPr="00336370">
        <w:rPr>
          <w:rFonts w:cs="Arial"/>
          <w:color w:val="000000"/>
          <w:szCs w:val="20"/>
        </w:rPr>
        <w:t xml:space="preserve"> of the </w:t>
      </w:r>
      <w:r w:rsidR="00806D52" w:rsidRPr="00336370">
        <w:rPr>
          <w:rFonts w:cs="Arial"/>
          <w:iCs/>
          <w:color w:val="000000"/>
          <w:szCs w:val="20"/>
        </w:rPr>
        <w:t xml:space="preserve">Privacy Act 1988 </w:t>
      </w:r>
      <w:r w:rsidR="00806D52" w:rsidRPr="00336370">
        <w:rPr>
          <w:rFonts w:cs="Arial"/>
          <w:color w:val="000000"/>
          <w:szCs w:val="20"/>
        </w:rPr>
        <w:t>(</w:t>
      </w:r>
      <w:proofErr w:type="spellStart"/>
      <w:r w:rsidR="00806D52" w:rsidRPr="00336370">
        <w:rPr>
          <w:rFonts w:cs="Arial"/>
          <w:color w:val="000000"/>
          <w:szCs w:val="20"/>
        </w:rPr>
        <w:t>Cth</w:t>
      </w:r>
      <w:proofErr w:type="spellEnd"/>
      <w:r w:rsidR="00806D52" w:rsidRPr="00336370">
        <w:rPr>
          <w:rFonts w:cs="Arial"/>
          <w:color w:val="000000"/>
          <w:szCs w:val="20"/>
        </w:rPr>
        <w:t>) (the Privacy Act) allows the</w:t>
      </w:r>
      <w:r w:rsidR="00E424E7">
        <w:rPr>
          <w:rFonts w:cs="Arial"/>
          <w:color w:val="000000"/>
          <w:szCs w:val="20"/>
        </w:rPr>
        <w:t xml:space="preserve"> </w:t>
      </w:r>
      <w:r w:rsidR="00806D52" w:rsidRPr="00336370">
        <w:rPr>
          <w:rFonts w:cs="Arial"/>
          <w:color w:val="000000"/>
          <w:szCs w:val="20"/>
        </w:rPr>
        <w:t>National Health and Medical Research Council (NHMRC)</w:t>
      </w:r>
      <w:r w:rsidR="00F8389C" w:rsidRPr="00336370">
        <w:rPr>
          <w:rFonts w:cs="Arial"/>
          <w:color w:val="000000"/>
          <w:szCs w:val="20"/>
        </w:rPr>
        <w:t xml:space="preserve"> </w:t>
      </w:r>
      <w:r w:rsidR="00E424E7">
        <w:rPr>
          <w:rFonts w:cs="Arial"/>
          <w:color w:val="000000"/>
          <w:szCs w:val="20"/>
        </w:rPr>
        <w:t xml:space="preserve">to issue guidelines, with the approval of the Commissioner, </w:t>
      </w:r>
      <w:r w:rsidR="00E424E7" w:rsidRPr="00822581">
        <w:rPr>
          <w:rFonts w:cs="Arial"/>
          <w:color w:val="000000"/>
          <w:szCs w:val="20"/>
        </w:rPr>
        <w:t>for the protection of privacy by agencies in the conduct of medical research</w:t>
      </w:r>
      <w:r w:rsidR="00806D52" w:rsidRPr="00336370">
        <w:rPr>
          <w:rFonts w:cs="Arial"/>
          <w:color w:val="000000"/>
          <w:szCs w:val="20"/>
        </w:rPr>
        <w:t>.</w:t>
      </w:r>
    </w:p>
    <w:p w:rsidR="00806D52" w:rsidRPr="00806D52" w:rsidRDefault="00806D52" w:rsidP="00806D52">
      <w:pPr>
        <w:autoSpaceDE w:val="0"/>
        <w:autoSpaceDN w:val="0"/>
        <w:adjustRightInd w:val="0"/>
        <w:spacing w:after="0" w:line="240" w:lineRule="auto"/>
        <w:rPr>
          <w:rFonts w:cs="Arial"/>
          <w:color w:val="000000"/>
          <w:szCs w:val="20"/>
        </w:rPr>
      </w:pPr>
    </w:p>
    <w:p w:rsidR="00806D52" w:rsidRDefault="00806D52" w:rsidP="00806D52">
      <w:pPr>
        <w:autoSpaceDE w:val="0"/>
        <w:autoSpaceDN w:val="0"/>
        <w:adjustRightInd w:val="0"/>
        <w:spacing w:after="0" w:line="240" w:lineRule="auto"/>
        <w:rPr>
          <w:rFonts w:cs="Arial"/>
          <w:b/>
          <w:bCs/>
          <w:color w:val="365F91" w:themeColor="accent1" w:themeShade="BF"/>
          <w:szCs w:val="20"/>
        </w:rPr>
      </w:pPr>
      <w:r w:rsidRPr="00806D52">
        <w:rPr>
          <w:rFonts w:cs="Arial"/>
          <w:b/>
          <w:bCs/>
          <w:color w:val="365F91" w:themeColor="accent1" w:themeShade="BF"/>
          <w:szCs w:val="20"/>
        </w:rPr>
        <w:t>Authority for making the guidelines</w:t>
      </w:r>
    </w:p>
    <w:p w:rsidR="00806D52" w:rsidRPr="00806D52" w:rsidRDefault="00806D52" w:rsidP="00806D52">
      <w:pPr>
        <w:autoSpaceDE w:val="0"/>
        <w:autoSpaceDN w:val="0"/>
        <w:adjustRightInd w:val="0"/>
        <w:spacing w:after="0" w:line="240" w:lineRule="auto"/>
        <w:rPr>
          <w:rFonts w:cs="Arial"/>
          <w:b/>
          <w:bCs/>
          <w:color w:val="365F91" w:themeColor="accent1" w:themeShade="BF"/>
          <w:szCs w:val="20"/>
        </w:rPr>
      </w:pPr>
    </w:p>
    <w:p w:rsidR="004A41A8" w:rsidRDefault="004A41A8" w:rsidP="004A41A8">
      <w:pPr>
        <w:autoSpaceDE w:val="0"/>
        <w:autoSpaceDN w:val="0"/>
        <w:adjustRightInd w:val="0"/>
        <w:spacing w:after="0" w:line="240" w:lineRule="auto"/>
        <w:rPr>
          <w:rFonts w:cs="Arial"/>
          <w:color w:val="000000"/>
          <w:szCs w:val="20"/>
        </w:rPr>
      </w:pPr>
      <w:r>
        <w:rPr>
          <w:rFonts w:cs="Arial"/>
          <w:color w:val="000000"/>
          <w:szCs w:val="20"/>
        </w:rPr>
        <w:t>Section</w:t>
      </w:r>
      <w:r w:rsidR="00A10F23" w:rsidRPr="00336370">
        <w:rPr>
          <w:rFonts w:cs="Arial"/>
          <w:color w:val="000000"/>
          <w:szCs w:val="20"/>
        </w:rPr>
        <w:t xml:space="preserve"> 95</w:t>
      </w:r>
      <w:r w:rsidR="00806D52" w:rsidRPr="00336370">
        <w:rPr>
          <w:rFonts w:cs="Arial"/>
          <w:color w:val="000000"/>
          <w:szCs w:val="20"/>
        </w:rPr>
        <w:t xml:space="preserve">(1) </w:t>
      </w:r>
      <w:r>
        <w:rPr>
          <w:rFonts w:cs="Arial"/>
          <w:color w:val="000000"/>
          <w:szCs w:val="20"/>
        </w:rPr>
        <w:t xml:space="preserve">and (2) </w:t>
      </w:r>
      <w:r w:rsidR="00806D52" w:rsidRPr="00336370">
        <w:rPr>
          <w:rFonts w:cs="Arial"/>
          <w:color w:val="000000"/>
          <w:szCs w:val="20"/>
        </w:rPr>
        <w:t xml:space="preserve">of the Privacy Act set out the authority to approve the </w:t>
      </w:r>
      <w:r>
        <w:rPr>
          <w:rFonts w:cs="Arial"/>
          <w:color w:val="000000"/>
          <w:szCs w:val="20"/>
        </w:rPr>
        <w:t xml:space="preserve">making of the </w:t>
      </w:r>
      <w:r w:rsidR="00806D52" w:rsidRPr="00336370">
        <w:rPr>
          <w:rFonts w:cs="Arial"/>
          <w:color w:val="000000"/>
          <w:szCs w:val="20"/>
        </w:rPr>
        <w:t xml:space="preserve">guidelines. </w:t>
      </w:r>
      <w:r>
        <w:rPr>
          <w:rFonts w:cs="Arial"/>
          <w:color w:val="000000"/>
          <w:szCs w:val="20"/>
        </w:rPr>
        <w:t xml:space="preserve"> They state:</w:t>
      </w:r>
    </w:p>
    <w:p w:rsidR="004A41A8" w:rsidRPr="004A41A8" w:rsidRDefault="004A41A8" w:rsidP="004A41A8">
      <w:pPr>
        <w:pStyle w:val="ActHead5"/>
        <w:ind w:left="0" w:firstLine="0"/>
        <w:rPr>
          <w:rFonts w:ascii="Arial" w:hAnsi="Arial" w:cs="Arial"/>
          <w:b w:val="0"/>
          <w:sz w:val="20"/>
        </w:rPr>
      </w:pPr>
      <w:bookmarkStart w:id="0" w:name="_Toc359487246"/>
      <w:proofErr w:type="gramStart"/>
      <w:r w:rsidRPr="004A41A8">
        <w:rPr>
          <w:rStyle w:val="CharSectno"/>
          <w:rFonts w:ascii="Arial" w:hAnsi="Arial" w:cs="Arial"/>
          <w:b w:val="0"/>
          <w:sz w:val="20"/>
        </w:rPr>
        <w:t>95</w:t>
      </w:r>
      <w:r w:rsidRPr="004A41A8">
        <w:rPr>
          <w:rFonts w:ascii="Arial" w:hAnsi="Arial" w:cs="Arial"/>
          <w:b w:val="0"/>
          <w:sz w:val="20"/>
        </w:rPr>
        <w:t xml:space="preserve">  Medical</w:t>
      </w:r>
      <w:proofErr w:type="gramEnd"/>
      <w:r w:rsidRPr="004A41A8">
        <w:rPr>
          <w:rFonts w:ascii="Arial" w:hAnsi="Arial" w:cs="Arial"/>
          <w:b w:val="0"/>
          <w:sz w:val="20"/>
        </w:rPr>
        <w:t xml:space="preserve"> research guidelines</w:t>
      </w:r>
      <w:bookmarkEnd w:id="0"/>
    </w:p>
    <w:p w:rsidR="004A41A8" w:rsidRPr="004A41A8" w:rsidRDefault="004A41A8" w:rsidP="004A41A8">
      <w:pPr>
        <w:pStyle w:val="subsection"/>
        <w:rPr>
          <w:rFonts w:ascii="Arial" w:hAnsi="Arial" w:cs="Arial"/>
          <w:sz w:val="20"/>
        </w:rPr>
      </w:pPr>
      <w:r w:rsidRPr="004A41A8">
        <w:rPr>
          <w:rFonts w:ascii="Arial" w:hAnsi="Arial" w:cs="Arial"/>
          <w:sz w:val="20"/>
        </w:rPr>
        <w:tab/>
        <w:t>(1)</w:t>
      </w:r>
      <w:r w:rsidRPr="004A41A8">
        <w:rPr>
          <w:rFonts w:ascii="Arial" w:hAnsi="Arial" w:cs="Arial"/>
          <w:sz w:val="20"/>
        </w:rPr>
        <w:tab/>
        <w:t>The CEO of the National Health and Medical Research Council may, with the approval of the Commissioner, issue guidelines for the protection of privacy in the conduct of medical research.</w:t>
      </w:r>
    </w:p>
    <w:p w:rsidR="004A41A8" w:rsidRPr="004A41A8" w:rsidRDefault="004A41A8" w:rsidP="004A41A8">
      <w:pPr>
        <w:pStyle w:val="subsection"/>
        <w:rPr>
          <w:rFonts w:ascii="Arial" w:hAnsi="Arial" w:cs="Arial"/>
          <w:sz w:val="20"/>
        </w:rPr>
      </w:pPr>
      <w:r w:rsidRPr="004A41A8">
        <w:rPr>
          <w:rFonts w:ascii="Arial" w:hAnsi="Arial" w:cs="Arial"/>
          <w:sz w:val="20"/>
        </w:rPr>
        <w:tab/>
        <w:t>(2)</w:t>
      </w:r>
      <w:r w:rsidRPr="004A41A8">
        <w:rPr>
          <w:rFonts w:ascii="Arial" w:hAnsi="Arial" w:cs="Arial"/>
          <w:sz w:val="20"/>
        </w:rPr>
        <w:tab/>
        <w:t>The Commissioner shall not approve the issue of guidelines unless he or she is satisfied that the public interest in the promotion of research of the kind to which the guidelines relate outweighs to a substantial degree the public interest in maintaining adherence to the Information Privacy Principles.</w:t>
      </w:r>
    </w:p>
    <w:p w:rsidR="004A41A8" w:rsidRDefault="004A41A8" w:rsidP="004A41A8">
      <w:pPr>
        <w:autoSpaceDE w:val="0"/>
        <w:autoSpaceDN w:val="0"/>
        <w:adjustRightInd w:val="0"/>
        <w:spacing w:after="0" w:line="240" w:lineRule="auto"/>
        <w:rPr>
          <w:rFonts w:cs="Arial"/>
          <w:color w:val="000000"/>
          <w:szCs w:val="20"/>
        </w:rPr>
      </w:pPr>
    </w:p>
    <w:p w:rsidR="00F8389C" w:rsidRDefault="00F8389C" w:rsidP="00822581">
      <w:pPr>
        <w:autoSpaceDE w:val="0"/>
        <w:autoSpaceDN w:val="0"/>
        <w:adjustRightInd w:val="0"/>
        <w:spacing w:after="0" w:line="240" w:lineRule="auto"/>
        <w:ind w:left="567"/>
        <w:rPr>
          <w:rFonts w:cs="Arial"/>
          <w:color w:val="000000"/>
          <w:szCs w:val="20"/>
        </w:rPr>
      </w:pPr>
    </w:p>
    <w:p w:rsidR="00806D52" w:rsidRPr="00BB1669" w:rsidRDefault="00806D52" w:rsidP="00A4384A">
      <w:pPr>
        <w:tabs>
          <w:tab w:val="left" w:pos="5146"/>
        </w:tabs>
        <w:spacing w:after="0" w:line="240" w:lineRule="auto"/>
        <w:rPr>
          <w:rFonts w:cs="Arial"/>
          <w:b/>
          <w:bCs/>
          <w:color w:val="365F91" w:themeColor="accent1" w:themeShade="BF"/>
          <w:szCs w:val="20"/>
        </w:rPr>
      </w:pPr>
      <w:r w:rsidRPr="00BB1669">
        <w:rPr>
          <w:rFonts w:cs="Arial"/>
          <w:b/>
          <w:bCs/>
          <w:color w:val="365F91" w:themeColor="accent1" w:themeShade="BF"/>
          <w:szCs w:val="20"/>
        </w:rPr>
        <w:t>2. REASONS FOR MAKING THESE GUIDELINES</w:t>
      </w:r>
      <w:r w:rsidR="00A4384A">
        <w:rPr>
          <w:rFonts w:cs="Arial"/>
          <w:b/>
          <w:bCs/>
          <w:color w:val="365F91" w:themeColor="accent1" w:themeShade="BF"/>
          <w:szCs w:val="20"/>
        </w:rPr>
        <w:tab/>
      </w:r>
      <w:bookmarkStart w:id="1" w:name="_GoBack"/>
      <w:bookmarkEnd w:id="1"/>
    </w:p>
    <w:p w:rsidR="004A41A8" w:rsidRDefault="004A41A8" w:rsidP="00806D52">
      <w:pPr>
        <w:autoSpaceDE w:val="0"/>
        <w:autoSpaceDN w:val="0"/>
        <w:adjustRightInd w:val="0"/>
        <w:spacing w:after="0" w:line="240" w:lineRule="auto"/>
        <w:rPr>
          <w:rFonts w:cs="Arial"/>
          <w:b/>
          <w:bCs/>
          <w:color w:val="365F91" w:themeColor="accent1" w:themeShade="BF"/>
          <w:szCs w:val="20"/>
        </w:rPr>
      </w:pPr>
    </w:p>
    <w:p w:rsidR="00806D52" w:rsidRDefault="00806D52" w:rsidP="00806D52">
      <w:pPr>
        <w:autoSpaceDE w:val="0"/>
        <w:autoSpaceDN w:val="0"/>
        <w:adjustRightInd w:val="0"/>
        <w:spacing w:after="0" w:line="240" w:lineRule="auto"/>
        <w:rPr>
          <w:rFonts w:cs="Arial"/>
          <w:b/>
          <w:bCs/>
          <w:color w:val="365F91" w:themeColor="accent1" w:themeShade="BF"/>
          <w:szCs w:val="20"/>
        </w:rPr>
      </w:pPr>
      <w:r w:rsidRPr="00BB1669">
        <w:rPr>
          <w:rFonts w:cs="Arial"/>
          <w:b/>
          <w:bCs/>
          <w:color w:val="365F91" w:themeColor="accent1" w:themeShade="BF"/>
          <w:szCs w:val="20"/>
        </w:rPr>
        <w:t xml:space="preserve">Background to the </w:t>
      </w:r>
      <w:r w:rsidR="005308AA">
        <w:rPr>
          <w:rFonts w:cs="Arial"/>
          <w:b/>
          <w:bCs/>
          <w:color w:val="365F91" w:themeColor="accent1" w:themeShade="BF"/>
          <w:szCs w:val="20"/>
        </w:rPr>
        <w:t xml:space="preserve">s95 </w:t>
      </w:r>
      <w:r w:rsidRPr="00BB1669">
        <w:rPr>
          <w:rFonts w:cs="Arial"/>
          <w:b/>
          <w:bCs/>
          <w:color w:val="365F91" w:themeColor="accent1" w:themeShade="BF"/>
          <w:szCs w:val="20"/>
        </w:rPr>
        <w:t>Guidelines</w:t>
      </w:r>
    </w:p>
    <w:p w:rsidR="00FF5864" w:rsidRDefault="00FF5864" w:rsidP="00806D52">
      <w:pPr>
        <w:autoSpaceDE w:val="0"/>
        <w:autoSpaceDN w:val="0"/>
        <w:adjustRightInd w:val="0"/>
        <w:spacing w:after="0" w:line="240" w:lineRule="auto"/>
        <w:rPr>
          <w:rFonts w:cs="Arial"/>
          <w:b/>
          <w:bCs/>
          <w:color w:val="365F91" w:themeColor="accent1" w:themeShade="BF"/>
          <w:szCs w:val="20"/>
        </w:rPr>
      </w:pPr>
    </w:p>
    <w:p w:rsidR="00FF5864" w:rsidRPr="00F04FAB" w:rsidRDefault="005308AA" w:rsidP="00FF5864">
      <w:pPr>
        <w:widowControl w:val="0"/>
        <w:autoSpaceDE w:val="0"/>
        <w:autoSpaceDN w:val="0"/>
        <w:adjustRightInd w:val="0"/>
        <w:spacing w:after="0" w:line="240" w:lineRule="auto"/>
        <w:rPr>
          <w:rFonts w:cs="Arial"/>
          <w:szCs w:val="20"/>
        </w:rPr>
      </w:pPr>
      <w:r w:rsidRPr="005308AA">
        <w:rPr>
          <w:rFonts w:cs="Arial"/>
          <w:color w:val="000000"/>
          <w:szCs w:val="20"/>
        </w:rPr>
        <w:t xml:space="preserve">The </w:t>
      </w:r>
      <w:r>
        <w:rPr>
          <w:rFonts w:cs="Arial"/>
          <w:szCs w:val="20"/>
        </w:rPr>
        <w:t xml:space="preserve">s95 </w:t>
      </w:r>
      <w:r w:rsidR="00FF5864" w:rsidRPr="00F04FAB">
        <w:rPr>
          <w:rFonts w:cs="Arial"/>
          <w:szCs w:val="20"/>
        </w:rPr>
        <w:t>guidelines</w:t>
      </w:r>
      <w:r>
        <w:rPr>
          <w:rFonts w:cs="Arial"/>
          <w:szCs w:val="20"/>
        </w:rPr>
        <w:t xml:space="preserve"> </w:t>
      </w:r>
      <w:r w:rsidR="00FF5864" w:rsidRPr="00F04FAB">
        <w:rPr>
          <w:rFonts w:cs="Arial"/>
          <w:szCs w:val="20"/>
        </w:rPr>
        <w:t>have been issued to reflect amendments to the Privacy Act wh</w:t>
      </w:r>
      <w:r w:rsidR="00FF5864">
        <w:rPr>
          <w:rFonts w:cs="Arial"/>
          <w:szCs w:val="20"/>
        </w:rPr>
        <w:t>ich take effect on 12 March 2014</w:t>
      </w:r>
      <w:r w:rsidR="00FF5864" w:rsidRPr="00F04FAB">
        <w:rPr>
          <w:rFonts w:cs="Arial"/>
          <w:szCs w:val="20"/>
        </w:rPr>
        <w:t xml:space="preserve">. They replace the previous version dated </w:t>
      </w:r>
      <w:r w:rsidR="00FF5864">
        <w:rPr>
          <w:rFonts w:cs="Arial"/>
          <w:szCs w:val="20"/>
        </w:rPr>
        <w:t>March 2000</w:t>
      </w:r>
      <w:r w:rsidR="00FF5864" w:rsidRPr="00F04FAB">
        <w:rPr>
          <w:rFonts w:cs="Arial"/>
          <w:szCs w:val="20"/>
        </w:rPr>
        <w:t>.</w:t>
      </w:r>
    </w:p>
    <w:p w:rsidR="00FF5864" w:rsidRDefault="00FF5864" w:rsidP="00FF5864">
      <w:pPr>
        <w:shd w:val="clear" w:color="auto" w:fill="FFFFFF"/>
        <w:spacing w:after="45"/>
        <w:rPr>
          <w:rFonts w:cs="Arial"/>
          <w:color w:val="000000"/>
          <w:szCs w:val="20"/>
          <w:lang w:val="en"/>
        </w:rPr>
      </w:pPr>
    </w:p>
    <w:p w:rsidR="00ED2526" w:rsidRDefault="00FF5864" w:rsidP="00ED2526">
      <w:pPr>
        <w:shd w:val="clear" w:color="auto" w:fill="FFFFFF"/>
        <w:spacing w:after="45"/>
        <w:rPr>
          <w:rFonts w:cs="Arial"/>
          <w:color w:val="000000"/>
          <w:szCs w:val="20"/>
          <w:lang w:val="en"/>
        </w:rPr>
      </w:pPr>
      <w:r w:rsidRPr="005E034F">
        <w:rPr>
          <w:rFonts w:cs="Arial"/>
          <w:color w:val="000000"/>
          <w:szCs w:val="20"/>
          <w:lang w:val="en"/>
        </w:rPr>
        <w:t xml:space="preserve">In response to the Australian Law Reform Commission’s report in relation to Australian privacy law and practice, the </w:t>
      </w:r>
      <w:r w:rsidRPr="005E034F">
        <w:rPr>
          <w:rFonts w:cs="Arial"/>
          <w:i/>
          <w:iCs/>
          <w:color w:val="000000"/>
          <w:szCs w:val="20"/>
          <w:lang w:val="en-GB"/>
        </w:rPr>
        <w:t xml:space="preserve">Privacy Amendment (Enhancing Privacy Protection) Act 2012 </w:t>
      </w:r>
      <w:r w:rsidRPr="005E034F">
        <w:rPr>
          <w:rFonts w:cs="Arial"/>
          <w:color w:val="000000"/>
          <w:szCs w:val="20"/>
          <w:lang w:val="en"/>
        </w:rPr>
        <w:t xml:space="preserve"> amended the Privacy Act 1988 to replace the </w:t>
      </w:r>
      <w:r w:rsidR="0052088E">
        <w:rPr>
          <w:rFonts w:cs="Arial"/>
          <w:color w:val="000000"/>
          <w:szCs w:val="20"/>
          <w:lang w:val="en"/>
        </w:rPr>
        <w:t>Information Privacy P</w:t>
      </w:r>
      <w:r w:rsidRPr="005E034F">
        <w:rPr>
          <w:rFonts w:cs="Arial"/>
          <w:color w:val="000000"/>
          <w:szCs w:val="20"/>
          <w:lang w:val="en"/>
        </w:rPr>
        <w:t xml:space="preserve">rinciples </w:t>
      </w:r>
      <w:r w:rsidR="0052088E">
        <w:rPr>
          <w:rFonts w:cs="Arial"/>
          <w:color w:val="000000"/>
          <w:szCs w:val="20"/>
          <w:lang w:val="en"/>
        </w:rPr>
        <w:t xml:space="preserve">(IPPs) </w:t>
      </w:r>
      <w:r w:rsidRPr="005E034F">
        <w:rPr>
          <w:rFonts w:cs="Arial"/>
          <w:color w:val="000000"/>
          <w:szCs w:val="20"/>
          <w:lang w:val="en"/>
        </w:rPr>
        <w:t>for the public and private sectors</w:t>
      </w:r>
      <w:r w:rsidR="0052088E">
        <w:rPr>
          <w:rFonts w:cs="Arial"/>
          <w:color w:val="000000"/>
          <w:szCs w:val="20"/>
          <w:lang w:val="en"/>
        </w:rPr>
        <w:t xml:space="preserve"> respectively</w:t>
      </w:r>
      <w:r w:rsidRPr="005E034F">
        <w:rPr>
          <w:rFonts w:cs="Arial"/>
          <w:color w:val="000000"/>
          <w:szCs w:val="20"/>
          <w:lang w:val="en"/>
        </w:rPr>
        <w:t xml:space="preserve"> with a single set of privacy principles (the Australian Privacy Principles (APPs)). The </w:t>
      </w:r>
      <w:r w:rsidR="005308AA">
        <w:rPr>
          <w:rFonts w:cs="Arial"/>
          <w:color w:val="000000"/>
          <w:szCs w:val="20"/>
          <w:lang w:val="en"/>
        </w:rPr>
        <w:t xml:space="preserve">s95 </w:t>
      </w:r>
      <w:r w:rsidRPr="005E034F">
        <w:rPr>
          <w:rFonts w:cs="Arial"/>
          <w:color w:val="000000"/>
          <w:szCs w:val="20"/>
          <w:lang w:val="en"/>
        </w:rPr>
        <w:t>guidelines were updated in accordance with the amende</w:t>
      </w:r>
      <w:r w:rsidR="00ED2526">
        <w:rPr>
          <w:rFonts w:cs="Arial"/>
          <w:color w:val="000000"/>
          <w:szCs w:val="20"/>
          <w:lang w:val="en"/>
        </w:rPr>
        <w:t>d Act, to replace references to t</w:t>
      </w:r>
      <w:r w:rsidR="0052088E">
        <w:rPr>
          <w:rFonts w:cs="Arial"/>
          <w:color w:val="000000"/>
          <w:szCs w:val="20"/>
          <w:lang w:val="en"/>
        </w:rPr>
        <w:t>he IPPs with the APPs.</w:t>
      </w:r>
    </w:p>
    <w:p w:rsidR="00ED2526" w:rsidRDefault="00ED2526" w:rsidP="00ED2526">
      <w:pPr>
        <w:shd w:val="clear" w:color="auto" w:fill="FFFFFF"/>
        <w:spacing w:after="45"/>
        <w:rPr>
          <w:rFonts w:cs="Arial"/>
          <w:color w:val="000000"/>
          <w:szCs w:val="20"/>
          <w:lang w:val="en"/>
        </w:rPr>
      </w:pPr>
    </w:p>
    <w:p w:rsidR="00ED2526" w:rsidRDefault="0052088E" w:rsidP="00ED2526">
      <w:pPr>
        <w:shd w:val="clear" w:color="auto" w:fill="FFFFFF"/>
        <w:spacing w:after="45"/>
        <w:rPr>
          <w:rFonts w:cs="Arial"/>
          <w:color w:val="000000"/>
          <w:szCs w:val="20"/>
          <w:lang w:val="en"/>
        </w:rPr>
      </w:pPr>
      <w:r>
        <w:rPr>
          <w:rFonts w:cs="Arial"/>
          <w:color w:val="000000"/>
          <w:szCs w:val="20"/>
          <w:lang w:val="en"/>
        </w:rPr>
        <w:t>In addition, references to t</w:t>
      </w:r>
      <w:r w:rsidR="00FF5864" w:rsidRPr="0052088E">
        <w:rPr>
          <w:rFonts w:cs="Arial"/>
          <w:color w:val="000000"/>
          <w:szCs w:val="20"/>
          <w:lang w:val="en"/>
        </w:rPr>
        <w:t>he</w:t>
      </w:r>
      <w:r w:rsidR="00FF5864" w:rsidRPr="005E034F">
        <w:rPr>
          <w:rFonts w:cs="Arial"/>
          <w:i/>
          <w:color w:val="000000"/>
          <w:szCs w:val="20"/>
          <w:lang w:val="en"/>
        </w:rPr>
        <w:t xml:space="preserve"> National Statement on Research Involving Humans, 1999 </w:t>
      </w:r>
      <w:r w:rsidR="00ED2526" w:rsidRPr="00ED2526">
        <w:rPr>
          <w:rFonts w:cs="Arial"/>
          <w:color w:val="000000"/>
          <w:szCs w:val="20"/>
          <w:lang w:val="en"/>
        </w:rPr>
        <w:t>was updated</w:t>
      </w:r>
      <w:r w:rsidR="00ED2526">
        <w:rPr>
          <w:rFonts w:cs="Arial"/>
          <w:i/>
          <w:color w:val="000000"/>
          <w:szCs w:val="20"/>
          <w:lang w:val="en"/>
        </w:rPr>
        <w:t xml:space="preserve"> </w:t>
      </w:r>
      <w:r>
        <w:rPr>
          <w:rFonts w:cs="Arial"/>
          <w:color w:val="000000"/>
          <w:szCs w:val="20"/>
          <w:lang w:val="en"/>
        </w:rPr>
        <w:t>with references to</w:t>
      </w:r>
      <w:r w:rsidR="00FF5864" w:rsidRPr="005E034F">
        <w:rPr>
          <w:rFonts w:cs="Arial"/>
          <w:color w:val="000000"/>
          <w:szCs w:val="20"/>
          <w:lang w:val="en"/>
        </w:rPr>
        <w:t xml:space="preserve"> the </w:t>
      </w:r>
      <w:r w:rsidR="00FF5864" w:rsidRPr="005E034F">
        <w:rPr>
          <w:rFonts w:cs="Arial"/>
          <w:i/>
          <w:color w:val="000000"/>
          <w:szCs w:val="20"/>
          <w:lang w:val="en"/>
        </w:rPr>
        <w:t>National Statement on Ethical Conduct in Human Research, 2007</w:t>
      </w:r>
      <w:r w:rsidR="00FF5864" w:rsidRPr="005E034F">
        <w:rPr>
          <w:rFonts w:cs="Arial"/>
          <w:color w:val="000000"/>
          <w:szCs w:val="20"/>
          <w:lang w:val="en"/>
        </w:rPr>
        <w:t xml:space="preserve">. This human research guideline promotes ethically good human research by providing ethical guidance for researchers, ethical review bodies, those involved in research governance and research participants. </w:t>
      </w:r>
    </w:p>
    <w:p w:rsidR="00ED2526" w:rsidRDefault="00ED2526" w:rsidP="00ED2526">
      <w:pPr>
        <w:shd w:val="clear" w:color="auto" w:fill="FFFFFF"/>
        <w:spacing w:after="45"/>
        <w:rPr>
          <w:rFonts w:cs="Arial"/>
          <w:color w:val="000000"/>
          <w:szCs w:val="20"/>
          <w:lang w:val="en"/>
        </w:rPr>
      </w:pPr>
    </w:p>
    <w:p w:rsidR="00FF5864" w:rsidRPr="005E034F" w:rsidRDefault="00FF5864" w:rsidP="00ED2526">
      <w:pPr>
        <w:shd w:val="clear" w:color="auto" w:fill="FFFFFF"/>
        <w:spacing w:after="45"/>
        <w:rPr>
          <w:rFonts w:cs="Arial"/>
          <w:color w:val="000000"/>
          <w:szCs w:val="20"/>
          <w:lang w:val="en"/>
        </w:rPr>
      </w:pPr>
      <w:r w:rsidRPr="0052088E">
        <w:rPr>
          <w:rFonts w:cs="Arial"/>
          <w:color w:val="000000"/>
          <w:szCs w:val="20"/>
          <w:lang w:val="en"/>
        </w:rPr>
        <w:t>The</w:t>
      </w:r>
      <w:r w:rsidRPr="005E034F">
        <w:rPr>
          <w:rFonts w:cs="Arial"/>
          <w:i/>
          <w:color w:val="000000"/>
          <w:szCs w:val="20"/>
          <w:lang w:val="en"/>
        </w:rPr>
        <w:t xml:space="preserve"> Joint NHMRC/AVCC Statement and Guidelines on Research Practice </w:t>
      </w:r>
      <w:r w:rsidRPr="005E034F">
        <w:rPr>
          <w:rFonts w:cs="Arial"/>
          <w:color w:val="000000"/>
          <w:szCs w:val="20"/>
          <w:lang w:val="en"/>
        </w:rPr>
        <w:t>has been replaced by</w:t>
      </w:r>
      <w:r w:rsidRPr="005E034F">
        <w:rPr>
          <w:rFonts w:cs="Arial"/>
          <w:i/>
          <w:color w:val="000000"/>
          <w:szCs w:val="20"/>
          <w:lang w:val="en"/>
        </w:rPr>
        <w:t xml:space="preserve"> </w:t>
      </w:r>
      <w:r w:rsidRPr="0052088E">
        <w:rPr>
          <w:rFonts w:cs="Arial"/>
          <w:color w:val="000000"/>
          <w:szCs w:val="20"/>
          <w:lang w:val="en"/>
        </w:rPr>
        <w:t xml:space="preserve">the </w:t>
      </w:r>
      <w:r w:rsidRPr="005E034F">
        <w:rPr>
          <w:rFonts w:cs="Arial"/>
          <w:i/>
          <w:color w:val="000000"/>
          <w:szCs w:val="20"/>
          <w:lang w:val="en"/>
        </w:rPr>
        <w:t>Australian Code for the Respon</w:t>
      </w:r>
      <w:r w:rsidR="00ED2526">
        <w:rPr>
          <w:rFonts w:cs="Arial"/>
          <w:i/>
          <w:color w:val="000000"/>
          <w:szCs w:val="20"/>
          <w:lang w:val="en"/>
        </w:rPr>
        <w:t xml:space="preserve">sible Conduct of Research, 2007 </w:t>
      </w:r>
      <w:r w:rsidR="00ED2526" w:rsidRPr="00ED2526">
        <w:rPr>
          <w:rFonts w:cs="Arial"/>
          <w:color w:val="000000"/>
          <w:szCs w:val="20"/>
          <w:lang w:val="en"/>
        </w:rPr>
        <w:t>and th</w:t>
      </w:r>
      <w:r w:rsidR="00ED2526">
        <w:rPr>
          <w:rFonts w:cs="Arial"/>
          <w:color w:val="000000"/>
          <w:szCs w:val="20"/>
          <w:lang w:val="en"/>
        </w:rPr>
        <w:t>ese references have also been u</w:t>
      </w:r>
      <w:r w:rsidR="00ED2526" w:rsidRPr="00ED2526">
        <w:rPr>
          <w:rFonts w:cs="Arial"/>
          <w:color w:val="000000"/>
          <w:szCs w:val="20"/>
          <w:lang w:val="en"/>
        </w:rPr>
        <w:t>pdated.</w:t>
      </w:r>
      <w:r w:rsidRPr="005E034F">
        <w:rPr>
          <w:rFonts w:cs="Arial"/>
          <w:i/>
          <w:color w:val="000000"/>
          <w:szCs w:val="20"/>
          <w:lang w:val="en"/>
        </w:rPr>
        <w:t xml:space="preserve"> </w:t>
      </w:r>
      <w:r w:rsidRPr="005E034F">
        <w:rPr>
          <w:rFonts w:cs="Arial"/>
          <w:color w:val="000000"/>
          <w:szCs w:val="20"/>
          <w:lang w:val="en"/>
        </w:rPr>
        <w:t xml:space="preserve">This document is a guide to institutions and researchers in responsible research practices. </w:t>
      </w:r>
    </w:p>
    <w:p w:rsidR="00665C8B" w:rsidRPr="00901BB3" w:rsidRDefault="00665C8B" w:rsidP="00806D52">
      <w:pPr>
        <w:autoSpaceDE w:val="0"/>
        <w:autoSpaceDN w:val="0"/>
        <w:adjustRightInd w:val="0"/>
        <w:spacing w:after="0" w:line="240" w:lineRule="auto"/>
        <w:rPr>
          <w:rFonts w:cs="Arial"/>
          <w:color w:val="000000"/>
          <w:szCs w:val="20"/>
        </w:rPr>
      </w:pPr>
    </w:p>
    <w:p w:rsidR="00806D52" w:rsidRPr="00901BB3" w:rsidRDefault="00806D52" w:rsidP="00806D52">
      <w:pPr>
        <w:autoSpaceDE w:val="0"/>
        <w:autoSpaceDN w:val="0"/>
        <w:adjustRightInd w:val="0"/>
        <w:spacing w:after="0" w:line="240" w:lineRule="auto"/>
        <w:rPr>
          <w:rFonts w:cs="Arial"/>
          <w:b/>
          <w:bCs/>
          <w:color w:val="365F91" w:themeColor="accent1" w:themeShade="BF"/>
          <w:szCs w:val="20"/>
        </w:rPr>
      </w:pPr>
      <w:r w:rsidRPr="00901BB3">
        <w:rPr>
          <w:rFonts w:cs="Arial"/>
          <w:b/>
          <w:bCs/>
          <w:color w:val="365F91" w:themeColor="accent1" w:themeShade="BF"/>
          <w:szCs w:val="20"/>
        </w:rPr>
        <w:t>Information regulated by the</w:t>
      </w:r>
      <w:r w:rsidR="005308AA">
        <w:rPr>
          <w:rFonts w:cs="Arial"/>
          <w:b/>
          <w:bCs/>
          <w:color w:val="365F91" w:themeColor="accent1" w:themeShade="BF"/>
          <w:szCs w:val="20"/>
        </w:rPr>
        <w:t xml:space="preserve"> s95</w:t>
      </w:r>
      <w:r w:rsidRPr="00901BB3">
        <w:rPr>
          <w:rFonts w:cs="Arial"/>
          <w:b/>
          <w:bCs/>
          <w:color w:val="365F91" w:themeColor="accent1" w:themeShade="BF"/>
          <w:szCs w:val="20"/>
        </w:rPr>
        <w:t xml:space="preserve"> guidelines</w:t>
      </w:r>
    </w:p>
    <w:p w:rsidR="004A41A8" w:rsidRDefault="004A41A8" w:rsidP="00665C8B">
      <w:pPr>
        <w:autoSpaceDE w:val="0"/>
        <w:autoSpaceDN w:val="0"/>
        <w:adjustRightInd w:val="0"/>
        <w:spacing w:after="0" w:line="240" w:lineRule="auto"/>
        <w:rPr>
          <w:rFonts w:cs="Arial"/>
          <w:color w:val="000000"/>
          <w:szCs w:val="20"/>
        </w:rPr>
      </w:pPr>
    </w:p>
    <w:p w:rsidR="00D418B5" w:rsidRDefault="00BA2902" w:rsidP="00665C8B">
      <w:pPr>
        <w:autoSpaceDE w:val="0"/>
        <w:autoSpaceDN w:val="0"/>
        <w:adjustRightInd w:val="0"/>
        <w:spacing w:after="0" w:line="240" w:lineRule="auto"/>
        <w:rPr>
          <w:rFonts w:cs="Arial"/>
          <w:b/>
          <w:bCs/>
          <w:color w:val="365F91" w:themeColor="accent1" w:themeShade="BF"/>
          <w:szCs w:val="20"/>
        </w:rPr>
      </w:pPr>
      <w:r>
        <w:rPr>
          <w:rFonts w:cs="Arial"/>
          <w:color w:val="000000"/>
          <w:szCs w:val="20"/>
        </w:rPr>
        <w:t>T</w:t>
      </w:r>
      <w:r w:rsidR="00665C8B" w:rsidRPr="00665C8B">
        <w:rPr>
          <w:rFonts w:cs="Arial"/>
          <w:color w:val="000000"/>
          <w:szCs w:val="20"/>
        </w:rPr>
        <w:t xml:space="preserve">he </w:t>
      </w:r>
      <w:r w:rsidR="005308AA">
        <w:rPr>
          <w:rFonts w:cs="Arial"/>
          <w:color w:val="000000"/>
          <w:szCs w:val="20"/>
        </w:rPr>
        <w:t xml:space="preserve">s95 </w:t>
      </w:r>
      <w:r w:rsidR="00665C8B" w:rsidRPr="00665C8B">
        <w:rPr>
          <w:rFonts w:cs="Arial"/>
          <w:color w:val="000000"/>
          <w:szCs w:val="20"/>
        </w:rPr>
        <w:t>guidelines apply where medical research involves the use of personal information held by a</w:t>
      </w:r>
      <w:r w:rsidR="00633ADB">
        <w:rPr>
          <w:rFonts w:cs="Arial"/>
          <w:color w:val="000000"/>
          <w:szCs w:val="20"/>
        </w:rPr>
        <w:t>n</w:t>
      </w:r>
      <w:r w:rsidR="00665C8B" w:rsidRPr="00665C8B">
        <w:rPr>
          <w:rFonts w:cs="Arial"/>
          <w:color w:val="000000"/>
          <w:szCs w:val="20"/>
        </w:rPr>
        <w:t xml:space="preserve"> agency, the processes that are set o</w:t>
      </w:r>
      <w:r w:rsidR="00665C8B">
        <w:rPr>
          <w:rFonts w:cs="Arial"/>
          <w:color w:val="000000"/>
          <w:szCs w:val="20"/>
        </w:rPr>
        <w:t>ut in the</w:t>
      </w:r>
      <w:r w:rsidR="00665C8B" w:rsidRPr="00665C8B">
        <w:rPr>
          <w:rFonts w:cs="Arial"/>
          <w:color w:val="000000"/>
          <w:szCs w:val="20"/>
        </w:rPr>
        <w:t xml:space="preserve"> </w:t>
      </w:r>
      <w:r w:rsidR="005308AA">
        <w:rPr>
          <w:rFonts w:cs="Arial"/>
          <w:color w:val="000000"/>
          <w:szCs w:val="20"/>
        </w:rPr>
        <w:t xml:space="preserve">s95 </w:t>
      </w:r>
      <w:r w:rsidR="00C8312F" w:rsidRPr="005308AA">
        <w:rPr>
          <w:rFonts w:cs="Arial"/>
          <w:color w:val="000000"/>
          <w:szCs w:val="20"/>
        </w:rPr>
        <w:t>guidelines</w:t>
      </w:r>
      <w:r w:rsidR="00665C8B" w:rsidRPr="00665C8B">
        <w:rPr>
          <w:rFonts w:cs="Arial"/>
          <w:i/>
          <w:color w:val="000000"/>
          <w:szCs w:val="20"/>
        </w:rPr>
        <w:t xml:space="preserve"> </w:t>
      </w:r>
      <w:r w:rsidR="00665C8B" w:rsidRPr="00665C8B">
        <w:rPr>
          <w:rFonts w:cs="Arial"/>
          <w:color w:val="000000"/>
          <w:szCs w:val="20"/>
        </w:rPr>
        <w:t>must be followed, in order for the information to be lawfully used or</w:t>
      </w:r>
      <w:r w:rsidR="00665C8B">
        <w:rPr>
          <w:rFonts w:cs="Arial"/>
          <w:color w:val="000000"/>
          <w:szCs w:val="20"/>
        </w:rPr>
        <w:t xml:space="preserve"> </w:t>
      </w:r>
      <w:r w:rsidR="00665C8B" w:rsidRPr="00665C8B">
        <w:rPr>
          <w:rFonts w:cs="Arial"/>
          <w:color w:val="000000"/>
          <w:szCs w:val="20"/>
        </w:rPr>
        <w:t>disclosed.</w:t>
      </w:r>
    </w:p>
    <w:p w:rsidR="00131BB3" w:rsidRDefault="00131BB3" w:rsidP="00806D52">
      <w:pPr>
        <w:autoSpaceDE w:val="0"/>
        <w:autoSpaceDN w:val="0"/>
        <w:adjustRightInd w:val="0"/>
        <w:spacing w:after="0" w:line="240" w:lineRule="auto"/>
        <w:rPr>
          <w:rFonts w:cs="Arial"/>
          <w:b/>
          <w:bCs/>
          <w:color w:val="365F91" w:themeColor="accent1" w:themeShade="BF"/>
          <w:szCs w:val="20"/>
        </w:rPr>
      </w:pPr>
    </w:p>
    <w:p w:rsidR="00633ADB" w:rsidRDefault="00633ADB" w:rsidP="00633ADB">
      <w:pPr>
        <w:spacing w:after="0" w:line="240" w:lineRule="auto"/>
        <w:rPr>
          <w:rFonts w:cs="Arial"/>
          <w:color w:val="000000"/>
          <w:szCs w:val="20"/>
        </w:rPr>
      </w:pPr>
    </w:p>
    <w:p w:rsidR="00806D52" w:rsidRPr="00D418B5" w:rsidRDefault="00806D52" w:rsidP="00633ADB">
      <w:pPr>
        <w:spacing w:after="0" w:line="240" w:lineRule="auto"/>
        <w:rPr>
          <w:rFonts w:cs="Arial"/>
          <w:b/>
          <w:bCs/>
          <w:color w:val="365F91" w:themeColor="accent1" w:themeShade="BF"/>
          <w:szCs w:val="20"/>
        </w:rPr>
      </w:pPr>
      <w:r w:rsidRPr="00D418B5">
        <w:rPr>
          <w:rFonts w:cs="Arial"/>
          <w:b/>
          <w:bCs/>
          <w:color w:val="365F91" w:themeColor="accent1" w:themeShade="BF"/>
          <w:szCs w:val="20"/>
        </w:rPr>
        <w:t>3. CONSULATION</w:t>
      </w:r>
    </w:p>
    <w:p w:rsidR="00633ADB" w:rsidRDefault="004A41A8" w:rsidP="00633ADB">
      <w:pPr>
        <w:autoSpaceDE w:val="0"/>
        <w:autoSpaceDN w:val="0"/>
        <w:adjustRightInd w:val="0"/>
        <w:spacing w:after="0" w:line="240" w:lineRule="auto"/>
        <w:rPr>
          <w:rFonts w:cs="Arial"/>
          <w:color w:val="000000"/>
          <w:szCs w:val="20"/>
        </w:rPr>
      </w:pPr>
      <w:r>
        <w:rPr>
          <w:rFonts w:cs="Arial"/>
          <w:color w:val="000000"/>
          <w:szCs w:val="20"/>
        </w:rPr>
        <w:t>P</w:t>
      </w:r>
      <w:r w:rsidR="00ED2526">
        <w:rPr>
          <w:rFonts w:cs="Arial"/>
          <w:color w:val="000000"/>
          <w:szCs w:val="20"/>
        </w:rPr>
        <w:t>ublic</w:t>
      </w:r>
      <w:r w:rsidR="00633ADB" w:rsidRPr="003A1234">
        <w:rPr>
          <w:rFonts w:cs="Arial"/>
          <w:color w:val="000000"/>
          <w:szCs w:val="20"/>
        </w:rPr>
        <w:t xml:space="preserve"> consultation </w:t>
      </w:r>
      <w:r w:rsidR="00ED2526">
        <w:rPr>
          <w:rFonts w:cs="Arial"/>
          <w:color w:val="000000"/>
          <w:szCs w:val="20"/>
        </w:rPr>
        <w:t xml:space="preserve">was </w:t>
      </w:r>
      <w:r>
        <w:rPr>
          <w:rFonts w:cs="Arial"/>
          <w:color w:val="000000"/>
          <w:szCs w:val="20"/>
        </w:rPr>
        <w:t xml:space="preserve">not </w:t>
      </w:r>
      <w:r w:rsidR="00ED2526">
        <w:rPr>
          <w:rFonts w:cs="Arial"/>
          <w:color w:val="000000"/>
          <w:szCs w:val="20"/>
        </w:rPr>
        <w:t>undertaken</w:t>
      </w:r>
      <w:r w:rsidR="00E424E7">
        <w:rPr>
          <w:rFonts w:cs="Arial"/>
          <w:color w:val="000000"/>
          <w:szCs w:val="20"/>
        </w:rPr>
        <w:t xml:space="preserve"> </w:t>
      </w:r>
      <w:r w:rsidR="00ED2526">
        <w:rPr>
          <w:rFonts w:cs="Arial"/>
          <w:color w:val="000000"/>
          <w:szCs w:val="20"/>
        </w:rPr>
        <w:t>due to the</w:t>
      </w:r>
      <w:r w:rsidR="00633ADB" w:rsidRPr="003A1234">
        <w:rPr>
          <w:rFonts w:cs="Arial"/>
          <w:color w:val="000000"/>
          <w:szCs w:val="20"/>
        </w:rPr>
        <w:t xml:space="preserve"> minor</w:t>
      </w:r>
      <w:r w:rsidR="00ED2526">
        <w:rPr>
          <w:rFonts w:cs="Arial"/>
          <w:color w:val="000000"/>
          <w:szCs w:val="20"/>
        </w:rPr>
        <w:t>/</w:t>
      </w:r>
      <w:r w:rsidR="00633ADB" w:rsidRPr="003A1234">
        <w:rPr>
          <w:rFonts w:cs="Arial"/>
          <w:color w:val="000000"/>
          <w:szCs w:val="20"/>
        </w:rPr>
        <w:t xml:space="preserve"> machinery nature</w:t>
      </w:r>
      <w:r w:rsidR="00ED2526">
        <w:rPr>
          <w:rFonts w:cs="Arial"/>
          <w:color w:val="000000"/>
          <w:szCs w:val="20"/>
        </w:rPr>
        <w:t xml:space="preserve"> of the changes</w:t>
      </w:r>
      <w:r w:rsidR="00B448DB">
        <w:rPr>
          <w:rFonts w:cs="Arial"/>
          <w:color w:val="000000"/>
          <w:szCs w:val="20"/>
        </w:rPr>
        <w:t xml:space="preserve"> which give effect to a legislative change</w:t>
      </w:r>
      <w:r w:rsidR="00A4384A">
        <w:rPr>
          <w:rFonts w:cs="Arial"/>
          <w:color w:val="000000"/>
          <w:szCs w:val="20"/>
        </w:rPr>
        <w:t>, which has been debated in Parliament</w:t>
      </w:r>
      <w:r w:rsidR="00633ADB" w:rsidRPr="003A1234">
        <w:rPr>
          <w:rFonts w:cs="Arial"/>
          <w:color w:val="000000"/>
          <w:szCs w:val="20"/>
        </w:rPr>
        <w:t>.</w:t>
      </w:r>
    </w:p>
    <w:p w:rsidR="004A41A8" w:rsidRDefault="004A41A8" w:rsidP="00633ADB">
      <w:pPr>
        <w:autoSpaceDE w:val="0"/>
        <w:autoSpaceDN w:val="0"/>
        <w:adjustRightInd w:val="0"/>
        <w:spacing w:after="0" w:line="240" w:lineRule="auto"/>
        <w:rPr>
          <w:rFonts w:cs="Arial"/>
          <w:color w:val="000000"/>
          <w:szCs w:val="20"/>
        </w:rPr>
      </w:pPr>
    </w:p>
    <w:p w:rsidR="004A41A8" w:rsidRDefault="004A41A8" w:rsidP="00633ADB">
      <w:pPr>
        <w:autoSpaceDE w:val="0"/>
        <w:autoSpaceDN w:val="0"/>
        <w:adjustRightInd w:val="0"/>
        <w:spacing w:after="0" w:line="240" w:lineRule="auto"/>
        <w:rPr>
          <w:rFonts w:cs="Arial"/>
          <w:color w:val="000000"/>
          <w:szCs w:val="20"/>
        </w:rPr>
      </w:pPr>
      <w:r>
        <w:rPr>
          <w:rFonts w:cs="Arial"/>
          <w:color w:val="000000"/>
          <w:szCs w:val="20"/>
        </w:rPr>
        <w:t xml:space="preserve">The NHMRC worked closely with the Office of the Australian Information Commissioner in making the updates to the guideline. </w:t>
      </w:r>
    </w:p>
    <w:p w:rsidR="004A41A8" w:rsidRDefault="004A41A8" w:rsidP="00633ADB">
      <w:pPr>
        <w:autoSpaceDE w:val="0"/>
        <w:autoSpaceDN w:val="0"/>
        <w:adjustRightInd w:val="0"/>
        <w:spacing w:after="0" w:line="240" w:lineRule="auto"/>
        <w:rPr>
          <w:rFonts w:cs="Arial"/>
          <w:color w:val="000000"/>
          <w:szCs w:val="20"/>
        </w:rPr>
      </w:pPr>
    </w:p>
    <w:p w:rsidR="004A41A8" w:rsidRPr="00D418B5" w:rsidRDefault="004A41A8" w:rsidP="00633ADB">
      <w:pPr>
        <w:autoSpaceDE w:val="0"/>
        <w:autoSpaceDN w:val="0"/>
        <w:adjustRightInd w:val="0"/>
        <w:spacing w:after="0" w:line="240" w:lineRule="auto"/>
        <w:rPr>
          <w:rFonts w:cs="Arial"/>
          <w:color w:val="000000"/>
          <w:szCs w:val="20"/>
        </w:rPr>
      </w:pPr>
    </w:p>
    <w:p w:rsidR="00D418B5" w:rsidRPr="00D418B5" w:rsidRDefault="00D418B5" w:rsidP="00806D52">
      <w:pPr>
        <w:autoSpaceDE w:val="0"/>
        <w:autoSpaceDN w:val="0"/>
        <w:adjustRightInd w:val="0"/>
        <w:spacing w:after="0" w:line="240" w:lineRule="auto"/>
        <w:rPr>
          <w:rFonts w:cs="Arial"/>
          <w:color w:val="000000"/>
          <w:szCs w:val="20"/>
        </w:rPr>
      </w:pPr>
    </w:p>
    <w:p w:rsidR="00806D52" w:rsidRPr="00D418B5" w:rsidRDefault="00806D52" w:rsidP="00806D52">
      <w:pPr>
        <w:autoSpaceDE w:val="0"/>
        <w:autoSpaceDN w:val="0"/>
        <w:adjustRightInd w:val="0"/>
        <w:spacing w:after="0" w:line="240" w:lineRule="auto"/>
        <w:rPr>
          <w:rFonts w:cs="Arial"/>
          <w:b/>
          <w:bCs/>
          <w:color w:val="365F91" w:themeColor="accent1" w:themeShade="BF"/>
          <w:szCs w:val="20"/>
        </w:rPr>
      </w:pPr>
      <w:r w:rsidRPr="00D418B5">
        <w:rPr>
          <w:rFonts w:cs="Arial"/>
          <w:b/>
          <w:bCs/>
          <w:color w:val="365F91" w:themeColor="accent1" w:themeShade="BF"/>
          <w:szCs w:val="20"/>
        </w:rPr>
        <w:t>4. LEGAL STATUS OF THE GUIDELINES</w:t>
      </w:r>
    </w:p>
    <w:p w:rsidR="004A41A8" w:rsidRDefault="004A41A8" w:rsidP="00633ADB">
      <w:pPr>
        <w:autoSpaceDE w:val="0"/>
        <w:autoSpaceDN w:val="0"/>
        <w:adjustRightInd w:val="0"/>
        <w:spacing w:after="0" w:line="240" w:lineRule="auto"/>
        <w:rPr>
          <w:rFonts w:cs="Arial"/>
          <w:color w:val="000000"/>
          <w:szCs w:val="20"/>
        </w:rPr>
      </w:pPr>
    </w:p>
    <w:p w:rsidR="00633ADB" w:rsidRDefault="005308AA" w:rsidP="00633ADB">
      <w:pPr>
        <w:autoSpaceDE w:val="0"/>
        <w:autoSpaceDN w:val="0"/>
        <w:adjustRightInd w:val="0"/>
        <w:spacing w:after="0" w:line="240" w:lineRule="auto"/>
      </w:pPr>
      <w:r>
        <w:rPr>
          <w:rFonts w:cs="Arial"/>
          <w:color w:val="000000"/>
          <w:szCs w:val="20"/>
        </w:rPr>
        <w:t>The</w:t>
      </w:r>
      <w:r w:rsidRPr="00665C8B">
        <w:rPr>
          <w:rFonts w:cs="Arial"/>
          <w:color w:val="000000"/>
          <w:szCs w:val="20"/>
        </w:rPr>
        <w:t xml:space="preserve"> </w:t>
      </w:r>
      <w:r>
        <w:rPr>
          <w:rFonts w:cs="Arial"/>
          <w:color w:val="000000"/>
          <w:szCs w:val="20"/>
        </w:rPr>
        <w:t xml:space="preserve">s95 </w:t>
      </w:r>
      <w:r w:rsidRPr="005308AA">
        <w:rPr>
          <w:rFonts w:cs="Arial"/>
          <w:color w:val="000000"/>
          <w:szCs w:val="20"/>
        </w:rPr>
        <w:t>guidelines</w:t>
      </w:r>
      <w:r w:rsidRPr="00665C8B">
        <w:rPr>
          <w:rFonts w:cs="Arial"/>
          <w:i/>
          <w:color w:val="000000"/>
          <w:szCs w:val="20"/>
        </w:rPr>
        <w:t xml:space="preserve"> </w:t>
      </w:r>
      <w:r w:rsidR="00633ADB" w:rsidRPr="00275FDD">
        <w:t xml:space="preserve">form part of </w:t>
      </w:r>
      <w:r w:rsidR="00ED2526">
        <w:t xml:space="preserve">the </w:t>
      </w:r>
      <w:r w:rsidR="00633ADB" w:rsidRPr="00275FDD">
        <w:t>legal requirements for compliance with federal legislation, namely the Privacy Act.</w:t>
      </w:r>
    </w:p>
    <w:p w:rsidR="00633ADB" w:rsidRDefault="00633ADB" w:rsidP="00633ADB">
      <w:pPr>
        <w:autoSpaceDE w:val="0"/>
        <w:autoSpaceDN w:val="0"/>
        <w:adjustRightInd w:val="0"/>
        <w:spacing w:after="0" w:line="240" w:lineRule="auto"/>
        <w:rPr>
          <w:rFonts w:cs="Arial"/>
          <w:color w:val="000000"/>
          <w:szCs w:val="20"/>
        </w:rPr>
      </w:pPr>
    </w:p>
    <w:p w:rsidR="00633ADB" w:rsidRDefault="00633ADB" w:rsidP="00633ADB">
      <w:pPr>
        <w:autoSpaceDE w:val="0"/>
        <w:autoSpaceDN w:val="0"/>
        <w:adjustRightInd w:val="0"/>
        <w:spacing w:after="0" w:line="240" w:lineRule="auto"/>
        <w:rPr>
          <w:rFonts w:cs="Arial"/>
          <w:b/>
          <w:bCs/>
          <w:color w:val="365F91" w:themeColor="accent1" w:themeShade="BF"/>
          <w:szCs w:val="20"/>
        </w:rPr>
      </w:pPr>
      <w:r w:rsidRPr="00D418B5">
        <w:rPr>
          <w:rFonts w:cs="Arial"/>
          <w:color w:val="000000"/>
          <w:szCs w:val="20"/>
        </w:rPr>
        <w:t xml:space="preserve">The </w:t>
      </w:r>
      <w:r w:rsidR="005308AA">
        <w:rPr>
          <w:rFonts w:cs="Arial"/>
          <w:color w:val="000000"/>
          <w:szCs w:val="20"/>
        </w:rPr>
        <w:t xml:space="preserve">s95 </w:t>
      </w:r>
      <w:r w:rsidRPr="00D418B5">
        <w:rPr>
          <w:rFonts w:cs="Arial"/>
          <w:color w:val="000000"/>
          <w:szCs w:val="20"/>
        </w:rPr>
        <w:t xml:space="preserve">guidelines </w:t>
      </w:r>
      <w:r w:rsidRPr="00665C8B">
        <w:rPr>
          <w:rFonts w:cs="Arial"/>
          <w:color w:val="000000"/>
          <w:szCs w:val="20"/>
        </w:rPr>
        <w:t>apply where medical research involves the use of personal information held by a</w:t>
      </w:r>
      <w:r>
        <w:rPr>
          <w:rFonts w:cs="Arial"/>
          <w:color w:val="000000"/>
          <w:szCs w:val="20"/>
        </w:rPr>
        <w:t>n</w:t>
      </w:r>
      <w:r w:rsidRPr="00665C8B">
        <w:rPr>
          <w:rFonts w:cs="Arial"/>
          <w:color w:val="000000"/>
          <w:szCs w:val="20"/>
        </w:rPr>
        <w:t xml:space="preserve"> agency, the processes that are set o</w:t>
      </w:r>
      <w:r>
        <w:rPr>
          <w:rFonts w:cs="Arial"/>
          <w:color w:val="000000"/>
          <w:szCs w:val="20"/>
        </w:rPr>
        <w:t>ut in the</w:t>
      </w:r>
      <w:r w:rsidRPr="005308AA">
        <w:rPr>
          <w:rFonts w:cs="Arial"/>
          <w:color w:val="000000"/>
          <w:szCs w:val="20"/>
        </w:rPr>
        <w:t xml:space="preserve"> </w:t>
      </w:r>
      <w:r w:rsidR="005308AA">
        <w:rPr>
          <w:rFonts w:cs="Arial"/>
          <w:color w:val="000000"/>
          <w:szCs w:val="20"/>
        </w:rPr>
        <w:t xml:space="preserve">s95 </w:t>
      </w:r>
      <w:r w:rsidR="00C8312F" w:rsidRPr="005308AA">
        <w:rPr>
          <w:rFonts w:cs="Arial"/>
          <w:color w:val="000000"/>
          <w:szCs w:val="20"/>
        </w:rPr>
        <w:t>guidelines</w:t>
      </w:r>
      <w:r w:rsidR="00C8312F">
        <w:rPr>
          <w:rFonts w:cs="Arial"/>
          <w:i/>
          <w:color w:val="000000"/>
          <w:szCs w:val="20"/>
        </w:rPr>
        <w:t xml:space="preserve"> </w:t>
      </w:r>
      <w:r w:rsidRPr="00665C8B">
        <w:rPr>
          <w:rFonts w:cs="Arial"/>
          <w:color w:val="000000"/>
          <w:szCs w:val="20"/>
        </w:rPr>
        <w:t>must be followed, in order for the information to be lawfully used or disclosed.</w:t>
      </w:r>
    </w:p>
    <w:p w:rsidR="00633ADB" w:rsidRDefault="00633ADB" w:rsidP="00633ADB">
      <w:pPr>
        <w:autoSpaceDE w:val="0"/>
        <w:autoSpaceDN w:val="0"/>
        <w:adjustRightInd w:val="0"/>
        <w:spacing w:after="0" w:line="240" w:lineRule="auto"/>
      </w:pPr>
    </w:p>
    <w:p w:rsidR="00633ADB" w:rsidRPr="00D418B5" w:rsidRDefault="00633ADB" w:rsidP="00633ADB">
      <w:pPr>
        <w:autoSpaceDE w:val="0"/>
        <w:autoSpaceDN w:val="0"/>
        <w:adjustRightInd w:val="0"/>
        <w:spacing w:after="0" w:line="240" w:lineRule="auto"/>
        <w:rPr>
          <w:rFonts w:cs="Arial"/>
          <w:color w:val="000000"/>
          <w:szCs w:val="20"/>
        </w:rPr>
      </w:pPr>
      <w:r w:rsidRPr="00D418B5">
        <w:rPr>
          <w:rFonts w:cs="Arial"/>
          <w:color w:val="000000"/>
          <w:szCs w:val="20"/>
        </w:rPr>
        <w:t xml:space="preserve">A breach of the </w:t>
      </w:r>
      <w:r w:rsidR="005308AA">
        <w:rPr>
          <w:rFonts w:cs="Arial"/>
          <w:color w:val="000000"/>
          <w:szCs w:val="20"/>
        </w:rPr>
        <w:t xml:space="preserve">s95 </w:t>
      </w:r>
      <w:r w:rsidRPr="00D418B5">
        <w:rPr>
          <w:rFonts w:cs="Arial"/>
          <w:color w:val="000000"/>
          <w:szCs w:val="20"/>
        </w:rPr>
        <w:t xml:space="preserve">guidelines constitutes an </w:t>
      </w:r>
      <w:r>
        <w:rPr>
          <w:rFonts w:cs="Arial"/>
          <w:color w:val="000000"/>
          <w:szCs w:val="20"/>
        </w:rPr>
        <w:t xml:space="preserve">interference with privacy under </w:t>
      </w:r>
      <w:r w:rsidRPr="00D418B5">
        <w:rPr>
          <w:rFonts w:cs="Arial"/>
          <w:color w:val="000000"/>
          <w:szCs w:val="20"/>
        </w:rPr>
        <w:t>section 13A of the Privacy Act</w:t>
      </w:r>
      <w:r>
        <w:rPr>
          <w:rFonts w:cs="Arial"/>
          <w:color w:val="000000"/>
          <w:szCs w:val="20"/>
        </w:rPr>
        <w:t>.</w:t>
      </w:r>
    </w:p>
    <w:p w:rsidR="00633ADB" w:rsidRDefault="00633ADB" w:rsidP="00633ADB">
      <w:pPr>
        <w:autoSpaceDE w:val="0"/>
        <w:autoSpaceDN w:val="0"/>
        <w:adjustRightInd w:val="0"/>
        <w:spacing w:after="0" w:line="240" w:lineRule="auto"/>
        <w:rPr>
          <w:rFonts w:cs="Arial"/>
          <w:color w:val="000000"/>
          <w:szCs w:val="20"/>
        </w:rPr>
      </w:pPr>
    </w:p>
    <w:p w:rsidR="00633ADB" w:rsidRPr="00D418B5" w:rsidRDefault="00633ADB" w:rsidP="00633ADB">
      <w:pPr>
        <w:autoSpaceDE w:val="0"/>
        <w:autoSpaceDN w:val="0"/>
        <w:adjustRightInd w:val="0"/>
        <w:spacing w:after="0" w:line="240" w:lineRule="auto"/>
        <w:rPr>
          <w:rFonts w:cs="Arial"/>
          <w:color w:val="000000"/>
          <w:szCs w:val="20"/>
        </w:rPr>
      </w:pPr>
      <w:r w:rsidRPr="00D418B5">
        <w:rPr>
          <w:rFonts w:cs="Arial"/>
          <w:color w:val="000000"/>
          <w:szCs w:val="20"/>
        </w:rPr>
        <w:t>An individual may complain to the Privacy Commis</w:t>
      </w:r>
      <w:r>
        <w:rPr>
          <w:rFonts w:cs="Arial"/>
          <w:color w:val="000000"/>
          <w:szCs w:val="20"/>
        </w:rPr>
        <w:t xml:space="preserve">sioner about an act or practice </w:t>
      </w:r>
      <w:r w:rsidRPr="00D418B5">
        <w:rPr>
          <w:rFonts w:cs="Arial"/>
          <w:color w:val="000000"/>
          <w:szCs w:val="20"/>
        </w:rPr>
        <w:t xml:space="preserve">they believe has not been done in accordance with the </w:t>
      </w:r>
      <w:r w:rsidR="005308AA">
        <w:rPr>
          <w:rFonts w:cs="Arial"/>
          <w:color w:val="000000"/>
          <w:szCs w:val="20"/>
        </w:rPr>
        <w:t xml:space="preserve">s95 </w:t>
      </w:r>
      <w:r w:rsidRPr="00D418B5">
        <w:rPr>
          <w:rFonts w:cs="Arial"/>
          <w:color w:val="000000"/>
          <w:szCs w:val="20"/>
        </w:rPr>
        <w:t>guidelines.</w:t>
      </w:r>
    </w:p>
    <w:p w:rsidR="00633ADB" w:rsidRDefault="00633ADB" w:rsidP="00633ADB">
      <w:pPr>
        <w:autoSpaceDE w:val="0"/>
        <w:autoSpaceDN w:val="0"/>
        <w:adjustRightInd w:val="0"/>
        <w:spacing w:after="0" w:line="240" w:lineRule="auto"/>
        <w:rPr>
          <w:rFonts w:cs="Arial"/>
          <w:color w:val="000000"/>
          <w:szCs w:val="20"/>
        </w:rPr>
      </w:pPr>
    </w:p>
    <w:p w:rsidR="00633ADB" w:rsidRPr="00D418B5" w:rsidRDefault="00633ADB" w:rsidP="00633ADB">
      <w:pPr>
        <w:rPr>
          <w:rFonts w:cs="Arial"/>
          <w:szCs w:val="20"/>
        </w:rPr>
      </w:pPr>
      <w:r w:rsidRPr="004439FA">
        <w:rPr>
          <w:rFonts w:cs="Arial"/>
          <w:szCs w:val="20"/>
        </w:rPr>
        <w:t xml:space="preserve">The </w:t>
      </w:r>
      <w:r w:rsidR="005308AA">
        <w:rPr>
          <w:rFonts w:cs="Arial"/>
          <w:szCs w:val="20"/>
        </w:rPr>
        <w:t xml:space="preserve">s95 </w:t>
      </w:r>
      <w:r w:rsidR="000A464B">
        <w:rPr>
          <w:rFonts w:cs="Arial"/>
          <w:szCs w:val="20"/>
        </w:rPr>
        <w:t>guidelines take effect from 12 March 2014.</w:t>
      </w:r>
    </w:p>
    <w:p w:rsidR="00DD2886" w:rsidRPr="00D418B5" w:rsidRDefault="00DD2886" w:rsidP="00633ADB">
      <w:pPr>
        <w:autoSpaceDE w:val="0"/>
        <w:autoSpaceDN w:val="0"/>
        <w:adjustRightInd w:val="0"/>
        <w:spacing w:after="0" w:line="240" w:lineRule="auto"/>
        <w:rPr>
          <w:rFonts w:cs="Arial"/>
          <w:szCs w:val="20"/>
        </w:rPr>
      </w:pPr>
    </w:p>
    <w:sectPr w:rsidR="00DD2886" w:rsidRPr="00D418B5" w:rsidSect="00633ADB">
      <w:headerReference w:type="default" r:id="rId9"/>
      <w:footerReference w:type="default" r:id="rId10"/>
      <w:headerReference w:type="first" r:id="rId11"/>
      <w:footerReference w:type="first" r:id="rId12"/>
      <w:pgSz w:w="11906" w:h="16838" w:code="9"/>
      <w:pgMar w:top="993" w:right="851" w:bottom="1985" w:left="85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52" w:rsidRDefault="00806D52" w:rsidP="007A386A">
      <w:pPr>
        <w:spacing w:after="0" w:line="240" w:lineRule="auto"/>
      </w:pPr>
      <w:r>
        <w:separator/>
      </w:r>
    </w:p>
  </w:endnote>
  <w:endnote w:type="continuationSeparator" w:id="0">
    <w:p w:rsidR="00806D52" w:rsidRDefault="00806D52" w:rsidP="007A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Ligh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C5" w:rsidRPr="003A5C3C" w:rsidRDefault="003A5C3C" w:rsidP="003A5C3C">
    <w:pPr>
      <w:pStyle w:val="Footer"/>
      <w:rPr>
        <w:i/>
      </w:rPr>
    </w:pPr>
    <w:r w:rsidRPr="003A5C3C">
      <w:rPr>
        <w:i/>
      </w:rPr>
      <w:t xml:space="preserve">Explanatory Statement: Approval of guidelines </w:t>
    </w:r>
    <w:r w:rsidR="006A7349">
      <w:rPr>
        <w:i/>
      </w:rPr>
      <w:t>under section 95</w:t>
    </w:r>
    <w:r w:rsidRPr="003A5C3C">
      <w:rPr>
        <w:i/>
      </w:rPr>
      <w:t xml:space="preserve"> </w:t>
    </w:r>
    <w:r w:rsidR="00A4384A">
      <w:rPr>
        <w:i/>
      </w:rPr>
      <w:t>of the Privacy Act 1988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9E" w:rsidRDefault="0021619E" w:rsidP="00FA7891">
    <w:pPr>
      <w:pStyle w:val="Footer"/>
      <w:tabs>
        <w:tab w:val="clear" w:pos="4513"/>
        <w:tab w:val="clear" w:pos="9026"/>
      </w:tabs>
      <w:jc w:val="right"/>
    </w:pPr>
  </w:p>
  <w:tbl>
    <w:tblPr>
      <w:tblW w:w="10206" w:type="dxa"/>
      <w:tblLayout w:type="fixed"/>
      <w:tblCellMar>
        <w:left w:w="0" w:type="dxa"/>
        <w:right w:w="0" w:type="dxa"/>
      </w:tblCellMar>
      <w:tblLook w:val="04A0" w:firstRow="1" w:lastRow="0" w:firstColumn="1" w:lastColumn="0" w:noHBand="0" w:noVBand="1"/>
      <w:tblCaption w:val="Classification and page number"/>
      <w:tblDescription w:val="Footer information"/>
    </w:tblPr>
    <w:tblGrid>
      <w:gridCol w:w="4395"/>
      <w:gridCol w:w="5811"/>
    </w:tblGrid>
    <w:tr w:rsidR="0021619E" w:rsidTr="00E42D46">
      <w:trPr>
        <w:tblHeader/>
      </w:trPr>
      <w:tc>
        <w:tcPr>
          <w:tcW w:w="4395" w:type="dxa"/>
          <w:vAlign w:val="bottom"/>
        </w:tcPr>
        <w:p w:rsidR="0021619E" w:rsidRDefault="0021619E" w:rsidP="00E944BA">
          <w:pPr>
            <w:pStyle w:val="Classification"/>
          </w:pPr>
          <w:bookmarkStart w:id="2" w:name="Classification"/>
          <w:bookmarkEnd w:id="2"/>
        </w:p>
      </w:tc>
      <w:tc>
        <w:tcPr>
          <w:tcW w:w="5811" w:type="dxa"/>
          <w:vAlign w:val="bottom"/>
        </w:tcPr>
        <w:p w:rsidR="0021619E" w:rsidRDefault="0021619E" w:rsidP="00E944BA">
          <w:pPr>
            <w:pStyle w:val="Footer"/>
            <w:jc w:val="right"/>
          </w:pPr>
          <w:r>
            <w:t xml:space="preserve">Page </w:t>
          </w:r>
          <w:r w:rsidR="00BE1B80">
            <w:fldChar w:fldCharType="begin"/>
          </w:r>
          <w:r>
            <w:instrText xml:space="preserve"> PAGE   \* MERGEFORMAT </w:instrText>
          </w:r>
          <w:r w:rsidR="00BE1B80">
            <w:fldChar w:fldCharType="separate"/>
          </w:r>
          <w:r w:rsidR="00A4384A">
            <w:rPr>
              <w:noProof/>
            </w:rPr>
            <w:t>1</w:t>
          </w:r>
          <w:r w:rsidR="00BE1B80">
            <w:rPr>
              <w:noProof/>
            </w:rPr>
            <w:fldChar w:fldCharType="end"/>
          </w:r>
        </w:p>
      </w:tc>
    </w:tr>
  </w:tbl>
  <w:p w:rsidR="0021619E" w:rsidRDefault="0021619E" w:rsidP="00FA7891">
    <w:pPr>
      <w:pStyle w:val="Footer"/>
      <w:tabs>
        <w:tab w:val="clear" w:pos="4513"/>
        <w:tab w:val="clear" w:pos="902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52" w:rsidRDefault="00806D52" w:rsidP="007A386A">
      <w:pPr>
        <w:spacing w:after="0" w:line="240" w:lineRule="auto"/>
      </w:pPr>
      <w:r>
        <w:separator/>
      </w:r>
    </w:p>
  </w:footnote>
  <w:footnote w:type="continuationSeparator" w:id="0">
    <w:p w:rsidR="00806D52" w:rsidRDefault="00806D52" w:rsidP="007A3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49" w:rsidRDefault="006A73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0" w:type="dxa"/>
      <w:tblLayout w:type="fixed"/>
      <w:tblCellMar>
        <w:left w:w="0" w:type="dxa"/>
        <w:right w:w="0" w:type="dxa"/>
      </w:tblCellMar>
      <w:tblLook w:val="04A0" w:firstRow="1" w:lastRow="0" w:firstColumn="1" w:lastColumn="0" w:noHBand="0" w:noVBand="1"/>
      <w:tblCaption w:val="NHMRC logo"/>
      <w:tblDescription w:val="Header logo"/>
    </w:tblPr>
    <w:tblGrid>
      <w:gridCol w:w="10420"/>
    </w:tblGrid>
    <w:tr w:rsidR="0021619E" w:rsidRPr="00347D38" w:rsidTr="003D7ABC">
      <w:trPr>
        <w:trHeight w:val="2268"/>
        <w:tblHeader/>
      </w:trPr>
      <w:tc>
        <w:tcPr>
          <w:tcW w:w="10420" w:type="dxa"/>
          <w:tcMar>
            <w:top w:w="851" w:type="dxa"/>
          </w:tcMar>
        </w:tcPr>
        <w:p w:rsidR="0021619E" w:rsidRPr="00347D38" w:rsidRDefault="00531D03" w:rsidP="001A6273">
          <w:pPr>
            <w:tabs>
              <w:tab w:val="center" w:pos="4513"/>
              <w:tab w:val="right" w:pos="9026"/>
            </w:tabs>
            <w:spacing w:after="120"/>
            <w:jc w:val="center"/>
            <w:rPr>
              <w:rFonts w:ascii="Times New Roman" w:hAnsi="Times New Roman"/>
              <w:sz w:val="14"/>
            </w:rPr>
          </w:pPr>
          <w:r>
            <w:rPr>
              <w:rFonts w:ascii="Times New Roman" w:hAnsi="Times New Roman"/>
              <w:noProof/>
              <w:sz w:val="14"/>
            </w:rPr>
            <w:drawing>
              <wp:inline distT="0" distB="0" distL="0" distR="0" wp14:anchorId="17C74C10" wp14:editId="53BDC76C">
                <wp:extent cx="2494800" cy="928800"/>
                <wp:effectExtent l="0" t="0" r="1270" b="5080"/>
                <wp:docPr id="2" name="Picture 2" descr="NHMRC logo in header" title="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4800" cy="928800"/>
                        </a:xfrm>
                        <a:prstGeom prst="rect">
                          <a:avLst/>
                        </a:prstGeom>
                      </pic:spPr>
                    </pic:pic>
                  </a:graphicData>
                </a:graphic>
              </wp:inline>
            </w:drawing>
          </w:r>
        </w:p>
      </w:tc>
    </w:tr>
  </w:tbl>
  <w:p w:rsidR="0021619E" w:rsidRPr="00A7117A" w:rsidRDefault="0021619E" w:rsidP="00B243FF">
    <w:pPr>
      <w:pStyle w:val="Header"/>
      <w:tabs>
        <w:tab w:val="clear" w:pos="4513"/>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36F1D2"/>
    <w:lvl w:ilvl="0">
      <w:start w:val="1"/>
      <w:numFmt w:val="decimal"/>
      <w:lvlText w:val="%1."/>
      <w:lvlJc w:val="left"/>
      <w:pPr>
        <w:tabs>
          <w:tab w:val="num" w:pos="1492"/>
        </w:tabs>
        <w:ind w:left="1492" w:hanging="360"/>
      </w:pPr>
    </w:lvl>
  </w:abstractNum>
  <w:abstractNum w:abstractNumId="1">
    <w:nsid w:val="FFFFFF7D"/>
    <w:multiLevelType w:val="singleLevel"/>
    <w:tmpl w:val="651ECA06"/>
    <w:lvl w:ilvl="0">
      <w:start w:val="1"/>
      <w:numFmt w:val="decimal"/>
      <w:lvlText w:val="%1."/>
      <w:lvlJc w:val="left"/>
      <w:pPr>
        <w:tabs>
          <w:tab w:val="num" w:pos="1209"/>
        </w:tabs>
        <w:ind w:left="1209" w:hanging="360"/>
      </w:pPr>
    </w:lvl>
  </w:abstractNum>
  <w:abstractNum w:abstractNumId="2">
    <w:nsid w:val="FFFFFF7E"/>
    <w:multiLevelType w:val="singleLevel"/>
    <w:tmpl w:val="113A3DBA"/>
    <w:lvl w:ilvl="0">
      <w:start w:val="1"/>
      <w:numFmt w:val="decimal"/>
      <w:lvlText w:val="%1."/>
      <w:lvlJc w:val="left"/>
      <w:pPr>
        <w:tabs>
          <w:tab w:val="num" w:pos="926"/>
        </w:tabs>
        <w:ind w:left="926" w:hanging="360"/>
      </w:pPr>
    </w:lvl>
  </w:abstractNum>
  <w:abstractNum w:abstractNumId="3">
    <w:nsid w:val="FFFFFF7F"/>
    <w:multiLevelType w:val="singleLevel"/>
    <w:tmpl w:val="F6B667B6"/>
    <w:lvl w:ilvl="0">
      <w:start w:val="1"/>
      <w:numFmt w:val="decimal"/>
      <w:lvlText w:val="%1."/>
      <w:lvlJc w:val="left"/>
      <w:pPr>
        <w:tabs>
          <w:tab w:val="num" w:pos="643"/>
        </w:tabs>
        <w:ind w:left="643" w:hanging="360"/>
      </w:pPr>
    </w:lvl>
  </w:abstractNum>
  <w:abstractNum w:abstractNumId="4">
    <w:nsid w:val="FFFFFF80"/>
    <w:multiLevelType w:val="singleLevel"/>
    <w:tmpl w:val="A3100C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D692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3695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CE9BC6"/>
    <w:lvl w:ilvl="0">
      <w:start w:val="1"/>
      <w:numFmt w:val="bullet"/>
      <w:pStyle w:val="ListBullet2"/>
      <w:lvlText w:val="–"/>
      <w:lvlJc w:val="left"/>
      <w:pPr>
        <w:ind w:left="643" w:hanging="360"/>
      </w:pPr>
      <w:rPr>
        <w:rFonts w:ascii="Arial" w:hAnsi="Arial" w:hint="default"/>
        <w:sz w:val="20"/>
      </w:rPr>
    </w:lvl>
  </w:abstractNum>
  <w:abstractNum w:abstractNumId="8">
    <w:nsid w:val="FFFFFF88"/>
    <w:multiLevelType w:val="singleLevel"/>
    <w:tmpl w:val="7284D252"/>
    <w:lvl w:ilvl="0">
      <w:start w:val="1"/>
      <w:numFmt w:val="decimal"/>
      <w:pStyle w:val="ListNumber"/>
      <w:lvlText w:val="%1."/>
      <w:lvlJc w:val="left"/>
      <w:pPr>
        <w:tabs>
          <w:tab w:val="num" w:pos="360"/>
        </w:tabs>
        <w:ind w:left="360" w:hanging="360"/>
      </w:pPr>
    </w:lvl>
  </w:abstractNum>
  <w:abstractNum w:abstractNumId="9">
    <w:nsid w:val="FFFFFF89"/>
    <w:multiLevelType w:val="singleLevel"/>
    <w:tmpl w:val="4CEA106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EEE2E93"/>
    <w:multiLevelType w:val="hybridMultilevel"/>
    <w:tmpl w:val="FEB02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586566"/>
    <w:multiLevelType w:val="multilevel"/>
    <w:tmpl w:val="AA40D79E"/>
    <w:lvl w:ilvl="0">
      <w:start w:val="1"/>
      <w:numFmt w:val="decimal"/>
      <w:lvlText w:val="%1"/>
      <w:lvlJc w:val="left"/>
      <w:pPr>
        <w:ind w:left="570" w:hanging="570"/>
      </w:pPr>
      <w:rPr>
        <w:rFonts w:ascii="Garamond-Light" w:hAnsi="Garamond-Light" w:cs="Garamond-Light" w:hint="default"/>
        <w:color w:val="000000"/>
      </w:rPr>
    </w:lvl>
    <w:lvl w:ilvl="1">
      <w:start w:val="1"/>
      <w:numFmt w:val="decimal"/>
      <w:lvlText w:val="%1.%2"/>
      <w:lvlJc w:val="left"/>
      <w:pPr>
        <w:ind w:left="570" w:hanging="570"/>
      </w:pPr>
      <w:rPr>
        <w:rFonts w:ascii="Garamond-Light" w:hAnsi="Garamond-Light" w:cs="Garamond-Light" w:hint="default"/>
        <w:color w:val="000000"/>
      </w:rPr>
    </w:lvl>
    <w:lvl w:ilvl="2">
      <w:start w:val="1"/>
      <w:numFmt w:val="decimal"/>
      <w:lvlText w:val="%1.%2.%3"/>
      <w:lvlJc w:val="left"/>
      <w:pPr>
        <w:ind w:left="720" w:hanging="720"/>
      </w:pPr>
      <w:rPr>
        <w:rFonts w:ascii="Garamond-Light" w:hAnsi="Garamond-Light" w:cs="Garamond-Light" w:hint="default"/>
        <w:color w:val="000000"/>
      </w:rPr>
    </w:lvl>
    <w:lvl w:ilvl="3">
      <w:start w:val="1"/>
      <w:numFmt w:val="decimal"/>
      <w:lvlText w:val="%1.%2.%3.%4"/>
      <w:lvlJc w:val="left"/>
      <w:pPr>
        <w:ind w:left="720" w:hanging="720"/>
      </w:pPr>
      <w:rPr>
        <w:rFonts w:ascii="Garamond-Light" w:hAnsi="Garamond-Light" w:cs="Garamond-Light" w:hint="default"/>
        <w:color w:val="000000"/>
      </w:rPr>
    </w:lvl>
    <w:lvl w:ilvl="4">
      <w:start w:val="1"/>
      <w:numFmt w:val="decimal"/>
      <w:lvlText w:val="%1.%2.%3.%4.%5"/>
      <w:lvlJc w:val="left"/>
      <w:pPr>
        <w:ind w:left="720" w:hanging="720"/>
      </w:pPr>
      <w:rPr>
        <w:rFonts w:ascii="Garamond-Light" w:hAnsi="Garamond-Light" w:cs="Garamond-Light" w:hint="default"/>
        <w:color w:val="000000"/>
      </w:rPr>
    </w:lvl>
    <w:lvl w:ilvl="5">
      <w:start w:val="1"/>
      <w:numFmt w:val="decimal"/>
      <w:lvlText w:val="%1.%2.%3.%4.%5.%6"/>
      <w:lvlJc w:val="left"/>
      <w:pPr>
        <w:ind w:left="1080" w:hanging="1080"/>
      </w:pPr>
      <w:rPr>
        <w:rFonts w:ascii="Garamond-Light" w:hAnsi="Garamond-Light" w:cs="Garamond-Light" w:hint="default"/>
        <w:color w:val="000000"/>
      </w:rPr>
    </w:lvl>
    <w:lvl w:ilvl="6">
      <w:start w:val="1"/>
      <w:numFmt w:val="decimal"/>
      <w:lvlText w:val="%1.%2.%3.%4.%5.%6.%7"/>
      <w:lvlJc w:val="left"/>
      <w:pPr>
        <w:ind w:left="1080" w:hanging="1080"/>
      </w:pPr>
      <w:rPr>
        <w:rFonts w:ascii="Garamond-Light" w:hAnsi="Garamond-Light" w:cs="Garamond-Light" w:hint="default"/>
        <w:color w:val="000000"/>
      </w:rPr>
    </w:lvl>
    <w:lvl w:ilvl="7">
      <w:start w:val="1"/>
      <w:numFmt w:val="decimal"/>
      <w:lvlText w:val="%1.%2.%3.%4.%5.%6.%7.%8"/>
      <w:lvlJc w:val="left"/>
      <w:pPr>
        <w:ind w:left="1440" w:hanging="1440"/>
      </w:pPr>
      <w:rPr>
        <w:rFonts w:ascii="Garamond-Light" w:hAnsi="Garamond-Light" w:cs="Garamond-Light" w:hint="default"/>
        <w:color w:val="000000"/>
      </w:rPr>
    </w:lvl>
    <w:lvl w:ilvl="8">
      <w:start w:val="1"/>
      <w:numFmt w:val="decimal"/>
      <w:lvlText w:val="%1.%2.%3.%4.%5.%6.%7.%8.%9"/>
      <w:lvlJc w:val="left"/>
      <w:pPr>
        <w:ind w:left="1440" w:hanging="1440"/>
      </w:pPr>
      <w:rPr>
        <w:rFonts w:ascii="Garamond-Light" w:hAnsi="Garamond-Light" w:cs="Garamond-Light" w:hint="default"/>
        <w:color w:val="000000"/>
      </w:rPr>
    </w:lvl>
  </w:abstractNum>
  <w:abstractNum w:abstractNumId="12">
    <w:nsid w:val="4B5830BC"/>
    <w:multiLevelType w:val="hybridMultilevel"/>
    <w:tmpl w:val="D09C9F42"/>
    <w:lvl w:ilvl="0" w:tplc="7B3AF0B0">
      <w:start w:val="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D52"/>
    <w:rsid w:val="00006CD0"/>
    <w:rsid w:val="00014A11"/>
    <w:rsid w:val="00043B67"/>
    <w:rsid w:val="00055119"/>
    <w:rsid w:val="00055DEB"/>
    <w:rsid w:val="000644EF"/>
    <w:rsid w:val="0007569E"/>
    <w:rsid w:val="0008622C"/>
    <w:rsid w:val="0008653B"/>
    <w:rsid w:val="000875B5"/>
    <w:rsid w:val="000A464B"/>
    <w:rsid w:val="000A5D8A"/>
    <w:rsid w:val="000D120A"/>
    <w:rsid w:val="000D1F5D"/>
    <w:rsid w:val="000D586A"/>
    <w:rsid w:val="000D78D9"/>
    <w:rsid w:val="000E7FE6"/>
    <w:rsid w:val="000F14FC"/>
    <w:rsid w:val="00105918"/>
    <w:rsid w:val="00113F17"/>
    <w:rsid w:val="0012720F"/>
    <w:rsid w:val="00131BB3"/>
    <w:rsid w:val="00145B87"/>
    <w:rsid w:val="00151FA9"/>
    <w:rsid w:val="00152054"/>
    <w:rsid w:val="001600D8"/>
    <w:rsid w:val="0016200A"/>
    <w:rsid w:val="00162057"/>
    <w:rsid w:val="00165C1E"/>
    <w:rsid w:val="001720A9"/>
    <w:rsid w:val="00174DB3"/>
    <w:rsid w:val="001A360F"/>
    <w:rsid w:val="001A6273"/>
    <w:rsid w:val="001B04D1"/>
    <w:rsid w:val="001E04F2"/>
    <w:rsid w:val="001E1010"/>
    <w:rsid w:val="001E5A75"/>
    <w:rsid w:val="001F0F10"/>
    <w:rsid w:val="00201B68"/>
    <w:rsid w:val="00204292"/>
    <w:rsid w:val="0020432F"/>
    <w:rsid w:val="0021619E"/>
    <w:rsid w:val="0021777D"/>
    <w:rsid w:val="00225464"/>
    <w:rsid w:val="00241537"/>
    <w:rsid w:val="0024221E"/>
    <w:rsid w:val="0024464E"/>
    <w:rsid w:val="00255DBD"/>
    <w:rsid w:val="00257B65"/>
    <w:rsid w:val="002852AD"/>
    <w:rsid w:val="0029195D"/>
    <w:rsid w:val="00294E97"/>
    <w:rsid w:val="0029712E"/>
    <w:rsid w:val="002A6795"/>
    <w:rsid w:val="002C2175"/>
    <w:rsid w:val="002C7D11"/>
    <w:rsid w:val="002E1269"/>
    <w:rsid w:val="002E20EB"/>
    <w:rsid w:val="002E25C2"/>
    <w:rsid w:val="002E3139"/>
    <w:rsid w:val="002F12FA"/>
    <w:rsid w:val="00307CC5"/>
    <w:rsid w:val="00312493"/>
    <w:rsid w:val="00332790"/>
    <w:rsid w:val="00336370"/>
    <w:rsid w:val="00347D38"/>
    <w:rsid w:val="003524D0"/>
    <w:rsid w:val="00356440"/>
    <w:rsid w:val="00356C35"/>
    <w:rsid w:val="00362BA7"/>
    <w:rsid w:val="00364D23"/>
    <w:rsid w:val="0036615A"/>
    <w:rsid w:val="003700BD"/>
    <w:rsid w:val="00371F4C"/>
    <w:rsid w:val="003771AB"/>
    <w:rsid w:val="00396739"/>
    <w:rsid w:val="003A5C3C"/>
    <w:rsid w:val="003A7CB0"/>
    <w:rsid w:val="003C34A6"/>
    <w:rsid w:val="003C3635"/>
    <w:rsid w:val="003D12CA"/>
    <w:rsid w:val="003D7ABC"/>
    <w:rsid w:val="003E18A9"/>
    <w:rsid w:val="003E532C"/>
    <w:rsid w:val="003F0DB1"/>
    <w:rsid w:val="003F7061"/>
    <w:rsid w:val="003F759C"/>
    <w:rsid w:val="004043A6"/>
    <w:rsid w:val="00404DF1"/>
    <w:rsid w:val="00414A80"/>
    <w:rsid w:val="00420203"/>
    <w:rsid w:val="00426F95"/>
    <w:rsid w:val="00427AEE"/>
    <w:rsid w:val="0043551D"/>
    <w:rsid w:val="00454324"/>
    <w:rsid w:val="00492F54"/>
    <w:rsid w:val="004A41A8"/>
    <w:rsid w:val="004D2B04"/>
    <w:rsid w:val="004D2BBB"/>
    <w:rsid w:val="004D4E1B"/>
    <w:rsid w:val="004D76BE"/>
    <w:rsid w:val="004E0E42"/>
    <w:rsid w:val="004F56F2"/>
    <w:rsid w:val="005162E3"/>
    <w:rsid w:val="0052088E"/>
    <w:rsid w:val="00525034"/>
    <w:rsid w:val="00527D8E"/>
    <w:rsid w:val="005308AA"/>
    <w:rsid w:val="00531D03"/>
    <w:rsid w:val="005408D2"/>
    <w:rsid w:val="00543361"/>
    <w:rsid w:val="00547DAE"/>
    <w:rsid w:val="005554BA"/>
    <w:rsid w:val="00567F17"/>
    <w:rsid w:val="00576109"/>
    <w:rsid w:val="00577DCE"/>
    <w:rsid w:val="00580F98"/>
    <w:rsid w:val="00581FFE"/>
    <w:rsid w:val="00583EF8"/>
    <w:rsid w:val="005A1B00"/>
    <w:rsid w:val="005D2660"/>
    <w:rsid w:val="005D3213"/>
    <w:rsid w:val="005D3E1E"/>
    <w:rsid w:val="005F4738"/>
    <w:rsid w:val="0060244C"/>
    <w:rsid w:val="006039A4"/>
    <w:rsid w:val="00615AF0"/>
    <w:rsid w:val="00630453"/>
    <w:rsid w:val="00633ADB"/>
    <w:rsid w:val="00665C8B"/>
    <w:rsid w:val="00670983"/>
    <w:rsid w:val="00673332"/>
    <w:rsid w:val="006A23BE"/>
    <w:rsid w:val="006A7349"/>
    <w:rsid w:val="006C6B7A"/>
    <w:rsid w:val="006D16DC"/>
    <w:rsid w:val="006D3878"/>
    <w:rsid w:val="006E4A9D"/>
    <w:rsid w:val="006F73E8"/>
    <w:rsid w:val="00700308"/>
    <w:rsid w:val="0070647B"/>
    <w:rsid w:val="007173AA"/>
    <w:rsid w:val="00720D62"/>
    <w:rsid w:val="00721AE8"/>
    <w:rsid w:val="007266B0"/>
    <w:rsid w:val="00726A4A"/>
    <w:rsid w:val="00730033"/>
    <w:rsid w:val="00731858"/>
    <w:rsid w:val="007334BF"/>
    <w:rsid w:val="007503E5"/>
    <w:rsid w:val="007508F6"/>
    <w:rsid w:val="00755E8B"/>
    <w:rsid w:val="0076016A"/>
    <w:rsid w:val="007859EC"/>
    <w:rsid w:val="007865E9"/>
    <w:rsid w:val="00792E9E"/>
    <w:rsid w:val="007A386A"/>
    <w:rsid w:val="007A43BE"/>
    <w:rsid w:val="007D1926"/>
    <w:rsid w:val="007E10CA"/>
    <w:rsid w:val="007E430C"/>
    <w:rsid w:val="007E4D3A"/>
    <w:rsid w:val="007F35BC"/>
    <w:rsid w:val="007F3B58"/>
    <w:rsid w:val="007F43D6"/>
    <w:rsid w:val="007F62E2"/>
    <w:rsid w:val="00806D52"/>
    <w:rsid w:val="00812D89"/>
    <w:rsid w:val="0081613D"/>
    <w:rsid w:val="008167C6"/>
    <w:rsid w:val="00822581"/>
    <w:rsid w:val="00825A12"/>
    <w:rsid w:val="00831801"/>
    <w:rsid w:val="008318F1"/>
    <w:rsid w:val="00842A6C"/>
    <w:rsid w:val="0086149A"/>
    <w:rsid w:val="00886E8E"/>
    <w:rsid w:val="0089064D"/>
    <w:rsid w:val="008931ED"/>
    <w:rsid w:val="00897000"/>
    <w:rsid w:val="008D2630"/>
    <w:rsid w:val="008E0094"/>
    <w:rsid w:val="008E0290"/>
    <w:rsid w:val="008F5C36"/>
    <w:rsid w:val="00901BB3"/>
    <w:rsid w:val="009039A4"/>
    <w:rsid w:val="009139AE"/>
    <w:rsid w:val="0092176E"/>
    <w:rsid w:val="009253AA"/>
    <w:rsid w:val="00962CFC"/>
    <w:rsid w:val="00964C64"/>
    <w:rsid w:val="009672DA"/>
    <w:rsid w:val="00990A10"/>
    <w:rsid w:val="009943A3"/>
    <w:rsid w:val="00995AB1"/>
    <w:rsid w:val="009A1DBB"/>
    <w:rsid w:val="009B4073"/>
    <w:rsid w:val="009B53CB"/>
    <w:rsid w:val="009B7983"/>
    <w:rsid w:val="009F041D"/>
    <w:rsid w:val="009F233E"/>
    <w:rsid w:val="009F358B"/>
    <w:rsid w:val="00A10F23"/>
    <w:rsid w:val="00A14D17"/>
    <w:rsid w:val="00A242EF"/>
    <w:rsid w:val="00A3225A"/>
    <w:rsid w:val="00A4384A"/>
    <w:rsid w:val="00A63C6A"/>
    <w:rsid w:val="00A6518C"/>
    <w:rsid w:val="00A7117A"/>
    <w:rsid w:val="00A724FB"/>
    <w:rsid w:val="00A75AC7"/>
    <w:rsid w:val="00A849D4"/>
    <w:rsid w:val="00AA1AD5"/>
    <w:rsid w:val="00AA33B7"/>
    <w:rsid w:val="00AB1FCF"/>
    <w:rsid w:val="00AB50E9"/>
    <w:rsid w:val="00AB758E"/>
    <w:rsid w:val="00AC0864"/>
    <w:rsid w:val="00AC0C5A"/>
    <w:rsid w:val="00AC2435"/>
    <w:rsid w:val="00AC54D6"/>
    <w:rsid w:val="00AD5594"/>
    <w:rsid w:val="00AE5972"/>
    <w:rsid w:val="00AF12A0"/>
    <w:rsid w:val="00B00B99"/>
    <w:rsid w:val="00B243FF"/>
    <w:rsid w:val="00B361FA"/>
    <w:rsid w:val="00B40AC1"/>
    <w:rsid w:val="00B448DB"/>
    <w:rsid w:val="00B62F77"/>
    <w:rsid w:val="00B747F9"/>
    <w:rsid w:val="00B80F4D"/>
    <w:rsid w:val="00B8281D"/>
    <w:rsid w:val="00B82F9A"/>
    <w:rsid w:val="00B83416"/>
    <w:rsid w:val="00B95EBD"/>
    <w:rsid w:val="00BA2902"/>
    <w:rsid w:val="00BA7AF4"/>
    <w:rsid w:val="00BB1669"/>
    <w:rsid w:val="00BC75EB"/>
    <w:rsid w:val="00BD1CAA"/>
    <w:rsid w:val="00BD36EB"/>
    <w:rsid w:val="00BD52DD"/>
    <w:rsid w:val="00BE1B80"/>
    <w:rsid w:val="00BE1E89"/>
    <w:rsid w:val="00BE413A"/>
    <w:rsid w:val="00C06B69"/>
    <w:rsid w:val="00C2784B"/>
    <w:rsid w:val="00C325B7"/>
    <w:rsid w:val="00C37950"/>
    <w:rsid w:val="00C40241"/>
    <w:rsid w:val="00C55E6B"/>
    <w:rsid w:val="00C827E5"/>
    <w:rsid w:val="00C8312F"/>
    <w:rsid w:val="00C85F40"/>
    <w:rsid w:val="00C90FEF"/>
    <w:rsid w:val="00C93189"/>
    <w:rsid w:val="00C931ED"/>
    <w:rsid w:val="00C95F9B"/>
    <w:rsid w:val="00CA0CC2"/>
    <w:rsid w:val="00CC39DC"/>
    <w:rsid w:val="00CC577C"/>
    <w:rsid w:val="00CD5DEA"/>
    <w:rsid w:val="00CD6A5C"/>
    <w:rsid w:val="00D001B1"/>
    <w:rsid w:val="00D10D0D"/>
    <w:rsid w:val="00D30FA1"/>
    <w:rsid w:val="00D35C15"/>
    <w:rsid w:val="00D418B5"/>
    <w:rsid w:val="00D443ED"/>
    <w:rsid w:val="00D50064"/>
    <w:rsid w:val="00D52EF0"/>
    <w:rsid w:val="00D56E96"/>
    <w:rsid w:val="00D60A8D"/>
    <w:rsid w:val="00D6523F"/>
    <w:rsid w:val="00D72047"/>
    <w:rsid w:val="00D728C4"/>
    <w:rsid w:val="00D837F9"/>
    <w:rsid w:val="00D86BB1"/>
    <w:rsid w:val="00D920F2"/>
    <w:rsid w:val="00D962BC"/>
    <w:rsid w:val="00DA1D7B"/>
    <w:rsid w:val="00DB1FE3"/>
    <w:rsid w:val="00DB2028"/>
    <w:rsid w:val="00DD2886"/>
    <w:rsid w:val="00DD3070"/>
    <w:rsid w:val="00DD394C"/>
    <w:rsid w:val="00DD7C70"/>
    <w:rsid w:val="00DF1F46"/>
    <w:rsid w:val="00E20C50"/>
    <w:rsid w:val="00E21A98"/>
    <w:rsid w:val="00E424E7"/>
    <w:rsid w:val="00E42562"/>
    <w:rsid w:val="00E42D46"/>
    <w:rsid w:val="00E4444A"/>
    <w:rsid w:val="00E456B0"/>
    <w:rsid w:val="00E52948"/>
    <w:rsid w:val="00E563A1"/>
    <w:rsid w:val="00E56493"/>
    <w:rsid w:val="00E944BA"/>
    <w:rsid w:val="00E952C6"/>
    <w:rsid w:val="00E9691D"/>
    <w:rsid w:val="00EC0723"/>
    <w:rsid w:val="00EC3BD1"/>
    <w:rsid w:val="00EC40E3"/>
    <w:rsid w:val="00EC459E"/>
    <w:rsid w:val="00ED0478"/>
    <w:rsid w:val="00ED2134"/>
    <w:rsid w:val="00ED2526"/>
    <w:rsid w:val="00EE73C4"/>
    <w:rsid w:val="00EF5A6C"/>
    <w:rsid w:val="00F13E61"/>
    <w:rsid w:val="00F264C4"/>
    <w:rsid w:val="00F27BBF"/>
    <w:rsid w:val="00F31AB8"/>
    <w:rsid w:val="00F34E0E"/>
    <w:rsid w:val="00F4770D"/>
    <w:rsid w:val="00F55A67"/>
    <w:rsid w:val="00F70835"/>
    <w:rsid w:val="00F77527"/>
    <w:rsid w:val="00F8389C"/>
    <w:rsid w:val="00F947A6"/>
    <w:rsid w:val="00F94F7F"/>
    <w:rsid w:val="00FA0597"/>
    <w:rsid w:val="00FA35A4"/>
    <w:rsid w:val="00FA3CDB"/>
    <w:rsid w:val="00FA61E1"/>
    <w:rsid w:val="00FA7891"/>
    <w:rsid w:val="00FB0531"/>
    <w:rsid w:val="00FB19B2"/>
    <w:rsid w:val="00FC1644"/>
    <w:rsid w:val="00FD1B7B"/>
    <w:rsid w:val="00FD2722"/>
    <w:rsid w:val="00FD5951"/>
    <w:rsid w:val="00FE07AF"/>
    <w:rsid w:val="00FE25FE"/>
    <w:rsid w:val="00FF5822"/>
    <w:rsid w:val="00FF5864"/>
    <w:rsid w:val="00FF6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List Bullet 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E532C"/>
    <w:pPr>
      <w:spacing w:after="200" w:line="180" w:lineRule="atLeast"/>
    </w:pPr>
    <w:rPr>
      <w:rFonts w:ascii="Arial" w:hAnsi="Arial"/>
      <w:szCs w:val="24"/>
    </w:rPr>
  </w:style>
  <w:style w:type="paragraph" w:styleId="Heading1">
    <w:name w:val="heading 1"/>
    <w:basedOn w:val="Normal"/>
    <w:next w:val="Normal"/>
    <w:link w:val="Heading1Char"/>
    <w:qFormat/>
    <w:rsid w:val="0012720F"/>
    <w:pPr>
      <w:keepNext/>
      <w:spacing w:after="160"/>
      <w:outlineLvl w:val="0"/>
    </w:pPr>
    <w:rPr>
      <w:rFonts w:cs="Arial"/>
      <w:bCs/>
      <w:color w:val="165788"/>
      <w:sz w:val="40"/>
      <w:szCs w:val="32"/>
    </w:rPr>
  </w:style>
  <w:style w:type="paragraph" w:styleId="Heading2">
    <w:name w:val="heading 2"/>
    <w:basedOn w:val="Normal"/>
    <w:next w:val="Normal"/>
    <w:qFormat/>
    <w:rsid w:val="00E56493"/>
    <w:pPr>
      <w:keepNext/>
      <w:spacing w:after="160"/>
      <w:outlineLvl w:val="1"/>
    </w:pPr>
    <w:rPr>
      <w:rFonts w:cs="Arial"/>
      <w:bCs/>
      <w:iCs/>
      <w:color w:val="165788"/>
      <w:sz w:val="32"/>
      <w:szCs w:val="28"/>
    </w:rPr>
  </w:style>
  <w:style w:type="paragraph" w:styleId="Heading3">
    <w:name w:val="heading 3"/>
    <w:basedOn w:val="Normal"/>
    <w:next w:val="Normal"/>
    <w:qFormat/>
    <w:rsid w:val="0012720F"/>
    <w:pPr>
      <w:keepNext/>
      <w:spacing w:before="60" w:after="160"/>
      <w:outlineLvl w:val="2"/>
    </w:pPr>
    <w:rPr>
      <w:rFonts w:cs="Arial"/>
      <w:b/>
      <w:bCs/>
      <w:color w:val="16578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20F"/>
    <w:rPr>
      <w:rFonts w:ascii="Arial" w:hAnsi="Arial" w:cs="Arial"/>
      <w:bCs/>
      <w:color w:val="165788"/>
      <w:sz w:val="40"/>
      <w:szCs w:val="32"/>
    </w:rPr>
  </w:style>
  <w:style w:type="paragraph" w:styleId="ListBullet">
    <w:name w:val="List Bullet"/>
    <w:basedOn w:val="Normal"/>
    <w:qFormat/>
    <w:rsid w:val="00E52948"/>
    <w:pPr>
      <w:numPr>
        <w:numId w:val="1"/>
      </w:numPr>
      <w:ind w:left="357" w:hanging="357"/>
    </w:pPr>
  </w:style>
  <w:style w:type="paragraph" w:styleId="Footer">
    <w:name w:val="footer"/>
    <w:basedOn w:val="Normal"/>
    <w:link w:val="FooterChar"/>
    <w:uiPriority w:val="99"/>
    <w:rsid w:val="00332790"/>
    <w:pPr>
      <w:tabs>
        <w:tab w:val="center" w:pos="4513"/>
        <w:tab w:val="right" w:pos="9026"/>
      </w:tabs>
      <w:spacing w:after="0"/>
    </w:pPr>
    <w:rPr>
      <w:sz w:val="16"/>
    </w:rPr>
  </w:style>
  <w:style w:type="character" w:customStyle="1" w:styleId="FooterChar">
    <w:name w:val="Footer Char"/>
    <w:basedOn w:val="DefaultParagraphFont"/>
    <w:link w:val="Footer"/>
    <w:uiPriority w:val="99"/>
    <w:rsid w:val="003E532C"/>
    <w:rPr>
      <w:rFonts w:ascii="Arial" w:hAnsi="Arial"/>
      <w:sz w:val="16"/>
      <w:szCs w:val="24"/>
    </w:rPr>
  </w:style>
  <w:style w:type="paragraph" w:styleId="Header">
    <w:name w:val="header"/>
    <w:basedOn w:val="Normal"/>
    <w:link w:val="HeaderChar"/>
    <w:semiHidden/>
    <w:rsid w:val="009B53CB"/>
    <w:pPr>
      <w:tabs>
        <w:tab w:val="center" w:pos="4513"/>
        <w:tab w:val="right" w:pos="9026"/>
      </w:tabs>
    </w:pPr>
    <w:rPr>
      <w:sz w:val="16"/>
    </w:rPr>
  </w:style>
  <w:style w:type="character" w:customStyle="1" w:styleId="HeaderChar">
    <w:name w:val="Header Char"/>
    <w:basedOn w:val="DefaultParagraphFont"/>
    <w:link w:val="Header"/>
    <w:semiHidden/>
    <w:rsid w:val="003E532C"/>
    <w:rPr>
      <w:rFonts w:ascii="Arial" w:hAnsi="Arial"/>
      <w:sz w:val="16"/>
      <w:szCs w:val="24"/>
    </w:rPr>
  </w:style>
  <w:style w:type="paragraph" w:styleId="ListNumber">
    <w:name w:val="List Number"/>
    <w:basedOn w:val="Normal"/>
    <w:qFormat/>
    <w:rsid w:val="0024221E"/>
    <w:pPr>
      <w:numPr>
        <w:numId w:val="6"/>
      </w:numPr>
      <w:ind w:left="357" w:hanging="357"/>
      <w:contextualSpacing/>
    </w:pPr>
  </w:style>
  <w:style w:type="character" w:styleId="PageNumber">
    <w:name w:val="page number"/>
    <w:basedOn w:val="DefaultParagraphFont"/>
    <w:semiHidden/>
    <w:rsid w:val="00ED2134"/>
    <w:rPr>
      <w:rFonts w:ascii="Arial" w:hAnsi="Arial"/>
    </w:rPr>
  </w:style>
  <w:style w:type="table" w:styleId="TableGrid">
    <w:name w:val="Table Grid"/>
    <w:basedOn w:val="TableNormal"/>
    <w:rsid w:val="007A38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7A386A"/>
    <w:rPr>
      <w:rFonts w:ascii="Tahoma" w:hAnsi="Tahoma" w:cs="Tahoma"/>
      <w:sz w:val="16"/>
      <w:szCs w:val="16"/>
    </w:rPr>
  </w:style>
  <w:style w:type="character" w:customStyle="1" w:styleId="BalloonTextChar">
    <w:name w:val="Balloon Text Char"/>
    <w:basedOn w:val="DefaultParagraphFont"/>
    <w:link w:val="BalloonText"/>
    <w:semiHidden/>
    <w:rsid w:val="003E532C"/>
    <w:rPr>
      <w:rFonts w:ascii="Tahoma" w:hAnsi="Tahoma" w:cs="Tahoma"/>
      <w:sz w:val="16"/>
      <w:szCs w:val="16"/>
    </w:rPr>
  </w:style>
  <w:style w:type="paragraph" w:customStyle="1" w:styleId="Classification">
    <w:name w:val="Classification"/>
    <w:basedOn w:val="Normal"/>
    <w:rsid w:val="00D50064"/>
    <w:pPr>
      <w:spacing w:after="0" w:line="240" w:lineRule="auto"/>
    </w:pPr>
    <w:rPr>
      <w:caps/>
      <w:sz w:val="16"/>
    </w:rPr>
  </w:style>
  <w:style w:type="paragraph" w:customStyle="1" w:styleId="NormalItalic">
    <w:name w:val="Normal_Italic"/>
    <w:basedOn w:val="Normal"/>
    <w:next w:val="Normal"/>
    <w:qFormat/>
    <w:rsid w:val="00FD1B7B"/>
    <w:rPr>
      <w:i/>
    </w:rPr>
  </w:style>
  <w:style w:type="paragraph" w:styleId="ListBullet2">
    <w:name w:val="List Bullet 2"/>
    <w:basedOn w:val="Normal"/>
    <w:qFormat/>
    <w:rsid w:val="00E52948"/>
    <w:pPr>
      <w:numPr>
        <w:numId w:val="2"/>
      </w:numPr>
      <w:ind w:left="714" w:hanging="357"/>
    </w:pPr>
  </w:style>
  <w:style w:type="paragraph" w:styleId="FootnoteText">
    <w:name w:val="footnote text"/>
    <w:basedOn w:val="Normal"/>
    <w:link w:val="FootnoteTextChar"/>
    <w:rsid w:val="00BB1669"/>
    <w:pPr>
      <w:spacing w:after="0" w:line="240" w:lineRule="auto"/>
    </w:pPr>
    <w:rPr>
      <w:szCs w:val="20"/>
    </w:rPr>
  </w:style>
  <w:style w:type="character" w:customStyle="1" w:styleId="FootnoteTextChar">
    <w:name w:val="Footnote Text Char"/>
    <w:basedOn w:val="DefaultParagraphFont"/>
    <w:link w:val="FootnoteText"/>
    <w:rsid w:val="00BB1669"/>
    <w:rPr>
      <w:rFonts w:ascii="Arial" w:hAnsi="Arial"/>
    </w:rPr>
  </w:style>
  <w:style w:type="character" w:styleId="FootnoteReference">
    <w:name w:val="footnote reference"/>
    <w:basedOn w:val="DefaultParagraphFont"/>
    <w:rsid w:val="00BB1669"/>
    <w:rPr>
      <w:vertAlign w:val="superscript"/>
    </w:rPr>
  </w:style>
  <w:style w:type="character" w:styleId="Hyperlink">
    <w:name w:val="Hyperlink"/>
    <w:basedOn w:val="DefaultParagraphFont"/>
    <w:rsid w:val="00A3225A"/>
    <w:rPr>
      <w:color w:val="0000FF" w:themeColor="hyperlink"/>
      <w:u w:val="single"/>
    </w:rPr>
  </w:style>
  <w:style w:type="character" w:styleId="CommentReference">
    <w:name w:val="annotation reference"/>
    <w:basedOn w:val="DefaultParagraphFont"/>
    <w:rsid w:val="00C55E6B"/>
    <w:rPr>
      <w:sz w:val="16"/>
      <w:szCs w:val="16"/>
    </w:rPr>
  </w:style>
  <w:style w:type="paragraph" w:styleId="CommentText">
    <w:name w:val="annotation text"/>
    <w:basedOn w:val="Normal"/>
    <w:link w:val="CommentTextChar"/>
    <w:rsid w:val="00C55E6B"/>
    <w:pPr>
      <w:spacing w:line="240" w:lineRule="auto"/>
    </w:pPr>
    <w:rPr>
      <w:szCs w:val="20"/>
    </w:rPr>
  </w:style>
  <w:style w:type="character" w:customStyle="1" w:styleId="CommentTextChar">
    <w:name w:val="Comment Text Char"/>
    <w:basedOn w:val="DefaultParagraphFont"/>
    <w:link w:val="CommentText"/>
    <w:rsid w:val="00C55E6B"/>
    <w:rPr>
      <w:rFonts w:ascii="Arial" w:hAnsi="Arial"/>
    </w:rPr>
  </w:style>
  <w:style w:type="paragraph" w:styleId="CommentSubject">
    <w:name w:val="annotation subject"/>
    <w:basedOn w:val="CommentText"/>
    <w:next w:val="CommentText"/>
    <w:link w:val="CommentSubjectChar"/>
    <w:rsid w:val="00C55E6B"/>
    <w:rPr>
      <w:b/>
      <w:bCs/>
    </w:rPr>
  </w:style>
  <w:style w:type="character" w:customStyle="1" w:styleId="CommentSubjectChar">
    <w:name w:val="Comment Subject Char"/>
    <w:basedOn w:val="CommentTextChar"/>
    <w:link w:val="CommentSubject"/>
    <w:rsid w:val="00C55E6B"/>
    <w:rPr>
      <w:rFonts w:ascii="Arial" w:hAnsi="Arial"/>
      <w:b/>
      <w:bCs/>
    </w:rPr>
  </w:style>
  <w:style w:type="paragraph" w:styleId="ListParagraph">
    <w:name w:val="List Paragraph"/>
    <w:basedOn w:val="Normal"/>
    <w:uiPriority w:val="34"/>
    <w:qFormat/>
    <w:rsid w:val="00FF5864"/>
    <w:pPr>
      <w:spacing w:after="0" w:line="240" w:lineRule="auto"/>
      <w:ind w:left="720"/>
      <w:contextualSpacing/>
    </w:pPr>
    <w:rPr>
      <w:rFonts w:ascii="Times New Roman" w:hAnsi="Times New Roman"/>
      <w:sz w:val="24"/>
      <w:lang w:eastAsia="en-US"/>
    </w:rPr>
  </w:style>
  <w:style w:type="paragraph" w:customStyle="1" w:styleId="ActHead5">
    <w:name w:val="ActHead 5"/>
    <w:aliases w:val="s"/>
    <w:basedOn w:val="Normal"/>
    <w:next w:val="subsection"/>
    <w:qFormat/>
    <w:rsid w:val="004A41A8"/>
    <w:pPr>
      <w:keepNext/>
      <w:keepLines/>
      <w:spacing w:before="280" w:after="0" w:line="240" w:lineRule="auto"/>
      <w:ind w:left="1134" w:hanging="1134"/>
      <w:outlineLvl w:val="4"/>
    </w:pPr>
    <w:rPr>
      <w:rFonts w:ascii="Times New Roman" w:hAnsi="Times New Roman"/>
      <w:b/>
      <w:kern w:val="28"/>
      <w:sz w:val="24"/>
      <w:szCs w:val="20"/>
    </w:rPr>
  </w:style>
  <w:style w:type="character" w:customStyle="1" w:styleId="CharSectno">
    <w:name w:val="CharSectno"/>
    <w:basedOn w:val="DefaultParagraphFont"/>
    <w:qFormat/>
    <w:rsid w:val="004A41A8"/>
  </w:style>
  <w:style w:type="paragraph" w:customStyle="1" w:styleId="subsection">
    <w:name w:val="subsection"/>
    <w:aliases w:val="ss"/>
    <w:basedOn w:val="Normal"/>
    <w:link w:val="subsectionChar"/>
    <w:rsid w:val="004A41A8"/>
    <w:pPr>
      <w:tabs>
        <w:tab w:val="right" w:pos="1021"/>
      </w:tabs>
      <w:spacing w:before="180" w:after="0" w:line="240" w:lineRule="auto"/>
      <w:ind w:left="1134" w:hanging="1134"/>
    </w:pPr>
    <w:rPr>
      <w:rFonts w:ascii="Times New Roman" w:hAnsi="Times New Roman"/>
      <w:sz w:val="22"/>
      <w:szCs w:val="20"/>
    </w:rPr>
  </w:style>
  <w:style w:type="character" w:customStyle="1" w:styleId="subsectionChar">
    <w:name w:val="subsection Char"/>
    <w:aliases w:val="ss Char"/>
    <w:basedOn w:val="DefaultParagraphFont"/>
    <w:link w:val="subsection"/>
    <w:rsid w:val="004A41A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List Bullet 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E532C"/>
    <w:pPr>
      <w:spacing w:after="200" w:line="180" w:lineRule="atLeast"/>
    </w:pPr>
    <w:rPr>
      <w:rFonts w:ascii="Arial" w:hAnsi="Arial"/>
      <w:szCs w:val="24"/>
    </w:rPr>
  </w:style>
  <w:style w:type="paragraph" w:styleId="Heading1">
    <w:name w:val="heading 1"/>
    <w:basedOn w:val="Normal"/>
    <w:next w:val="Normal"/>
    <w:link w:val="Heading1Char"/>
    <w:qFormat/>
    <w:rsid w:val="0012720F"/>
    <w:pPr>
      <w:keepNext/>
      <w:spacing w:after="160"/>
      <w:outlineLvl w:val="0"/>
    </w:pPr>
    <w:rPr>
      <w:rFonts w:cs="Arial"/>
      <w:bCs/>
      <w:color w:val="165788"/>
      <w:sz w:val="40"/>
      <w:szCs w:val="32"/>
    </w:rPr>
  </w:style>
  <w:style w:type="paragraph" w:styleId="Heading2">
    <w:name w:val="heading 2"/>
    <w:basedOn w:val="Normal"/>
    <w:next w:val="Normal"/>
    <w:qFormat/>
    <w:rsid w:val="00E56493"/>
    <w:pPr>
      <w:keepNext/>
      <w:spacing w:after="160"/>
      <w:outlineLvl w:val="1"/>
    </w:pPr>
    <w:rPr>
      <w:rFonts w:cs="Arial"/>
      <w:bCs/>
      <w:iCs/>
      <w:color w:val="165788"/>
      <w:sz w:val="32"/>
      <w:szCs w:val="28"/>
    </w:rPr>
  </w:style>
  <w:style w:type="paragraph" w:styleId="Heading3">
    <w:name w:val="heading 3"/>
    <w:basedOn w:val="Normal"/>
    <w:next w:val="Normal"/>
    <w:qFormat/>
    <w:rsid w:val="0012720F"/>
    <w:pPr>
      <w:keepNext/>
      <w:spacing w:before="60" w:after="160"/>
      <w:outlineLvl w:val="2"/>
    </w:pPr>
    <w:rPr>
      <w:rFonts w:cs="Arial"/>
      <w:b/>
      <w:bCs/>
      <w:color w:val="16578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20F"/>
    <w:rPr>
      <w:rFonts w:ascii="Arial" w:hAnsi="Arial" w:cs="Arial"/>
      <w:bCs/>
      <w:color w:val="165788"/>
      <w:sz w:val="40"/>
      <w:szCs w:val="32"/>
    </w:rPr>
  </w:style>
  <w:style w:type="paragraph" w:styleId="ListBullet">
    <w:name w:val="List Bullet"/>
    <w:basedOn w:val="Normal"/>
    <w:qFormat/>
    <w:rsid w:val="00E52948"/>
    <w:pPr>
      <w:numPr>
        <w:numId w:val="1"/>
      </w:numPr>
      <w:ind w:left="357" w:hanging="357"/>
    </w:pPr>
  </w:style>
  <w:style w:type="paragraph" w:styleId="Footer">
    <w:name w:val="footer"/>
    <w:basedOn w:val="Normal"/>
    <w:link w:val="FooterChar"/>
    <w:uiPriority w:val="99"/>
    <w:rsid w:val="00332790"/>
    <w:pPr>
      <w:tabs>
        <w:tab w:val="center" w:pos="4513"/>
        <w:tab w:val="right" w:pos="9026"/>
      </w:tabs>
      <w:spacing w:after="0"/>
    </w:pPr>
    <w:rPr>
      <w:sz w:val="16"/>
    </w:rPr>
  </w:style>
  <w:style w:type="character" w:customStyle="1" w:styleId="FooterChar">
    <w:name w:val="Footer Char"/>
    <w:basedOn w:val="DefaultParagraphFont"/>
    <w:link w:val="Footer"/>
    <w:uiPriority w:val="99"/>
    <w:rsid w:val="003E532C"/>
    <w:rPr>
      <w:rFonts w:ascii="Arial" w:hAnsi="Arial"/>
      <w:sz w:val="16"/>
      <w:szCs w:val="24"/>
    </w:rPr>
  </w:style>
  <w:style w:type="paragraph" w:styleId="Header">
    <w:name w:val="header"/>
    <w:basedOn w:val="Normal"/>
    <w:link w:val="HeaderChar"/>
    <w:semiHidden/>
    <w:rsid w:val="009B53CB"/>
    <w:pPr>
      <w:tabs>
        <w:tab w:val="center" w:pos="4513"/>
        <w:tab w:val="right" w:pos="9026"/>
      </w:tabs>
    </w:pPr>
    <w:rPr>
      <w:sz w:val="16"/>
    </w:rPr>
  </w:style>
  <w:style w:type="character" w:customStyle="1" w:styleId="HeaderChar">
    <w:name w:val="Header Char"/>
    <w:basedOn w:val="DefaultParagraphFont"/>
    <w:link w:val="Header"/>
    <w:semiHidden/>
    <w:rsid w:val="003E532C"/>
    <w:rPr>
      <w:rFonts w:ascii="Arial" w:hAnsi="Arial"/>
      <w:sz w:val="16"/>
      <w:szCs w:val="24"/>
    </w:rPr>
  </w:style>
  <w:style w:type="paragraph" w:styleId="ListNumber">
    <w:name w:val="List Number"/>
    <w:basedOn w:val="Normal"/>
    <w:qFormat/>
    <w:rsid w:val="0024221E"/>
    <w:pPr>
      <w:numPr>
        <w:numId w:val="6"/>
      </w:numPr>
      <w:ind w:left="357" w:hanging="357"/>
      <w:contextualSpacing/>
    </w:pPr>
  </w:style>
  <w:style w:type="character" w:styleId="PageNumber">
    <w:name w:val="page number"/>
    <w:basedOn w:val="DefaultParagraphFont"/>
    <w:semiHidden/>
    <w:rsid w:val="00ED2134"/>
    <w:rPr>
      <w:rFonts w:ascii="Arial" w:hAnsi="Arial"/>
    </w:rPr>
  </w:style>
  <w:style w:type="table" w:styleId="TableGrid">
    <w:name w:val="Table Grid"/>
    <w:basedOn w:val="TableNormal"/>
    <w:rsid w:val="007A38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7A386A"/>
    <w:rPr>
      <w:rFonts w:ascii="Tahoma" w:hAnsi="Tahoma" w:cs="Tahoma"/>
      <w:sz w:val="16"/>
      <w:szCs w:val="16"/>
    </w:rPr>
  </w:style>
  <w:style w:type="character" w:customStyle="1" w:styleId="BalloonTextChar">
    <w:name w:val="Balloon Text Char"/>
    <w:basedOn w:val="DefaultParagraphFont"/>
    <w:link w:val="BalloonText"/>
    <w:semiHidden/>
    <w:rsid w:val="003E532C"/>
    <w:rPr>
      <w:rFonts w:ascii="Tahoma" w:hAnsi="Tahoma" w:cs="Tahoma"/>
      <w:sz w:val="16"/>
      <w:szCs w:val="16"/>
    </w:rPr>
  </w:style>
  <w:style w:type="paragraph" w:customStyle="1" w:styleId="Classification">
    <w:name w:val="Classification"/>
    <w:basedOn w:val="Normal"/>
    <w:rsid w:val="00D50064"/>
    <w:pPr>
      <w:spacing w:after="0" w:line="240" w:lineRule="auto"/>
    </w:pPr>
    <w:rPr>
      <w:caps/>
      <w:sz w:val="16"/>
    </w:rPr>
  </w:style>
  <w:style w:type="paragraph" w:customStyle="1" w:styleId="NormalItalic">
    <w:name w:val="Normal_Italic"/>
    <w:basedOn w:val="Normal"/>
    <w:next w:val="Normal"/>
    <w:qFormat/>
    <w:rsid w:val="00FD1B7B"/>
    <w:rPr>
      <w:i/>
    </w:rPr>
  </w:style>
  <w:style w:type="paragraph" w:styleId="ListBullet2">
    <w:name w:val="List Bullet 2"/>
    <w:basedOn w:val="Normal"/>
    <w:qFormat/>
    <w:rsid w:val="00E52948"/>
    <w:pPr>
      <w:numPr>
        <w:numId w:val="2"/>
      </w:numPr>
      <w:ind w:left="714" w:hanging="357"/>
    </w:pPr>
  </w:style>
  <w:style w:type="paragraph" w:styleId="FootnoteText">
    <w:name w:val="footnote text"/>
    <w:basedOn w:val="Normal"/>
    <w:link w:val="FootnoteTextChar"/>
    <w:rsid w:val="00BB1669"/>
    <w:pPr>
      <w:spacing w:after="0" w:line="240" w:lineRule="auto"/>
    </w:pPr>
    <w:rPr>
      <w:szCs w:val="20"/>
    </w:rPr>
  </w:style>
  <w:style w:type="character" w:customStyle="1" w:styleId="FootnoteTextChar">
    <w:name w:val="Footnote Text Char"/>
    <w:basedOn w:val="DefaultParagraphFont"/>
    <w:link w:val="FootnoteText"/>
    <w:rsid w:val="00BB1669"/>
    <w:rPr>
      <w:rFonts w:ascii="Arial" w:hAnsi="Arial"/>
    </w:rPr>
  </w:style>
  <w:style w:type="character" w:styleId="FootnoteReference">
    <w:name w:val="footnote reference"/>
    <w:basedOn w:val="DefaultParagraphFont"/>
    <w:rsid w:val="00BB1669"/>
    <w:rPr>
      <w:vertAlign w:val="superscript"/>
    </w:rPr>
  </w:style>
  <w:style w:type="character" w:styleId="Hyperlink">
    <w:name w:val="Hyperlink"/>
    <w:basedOn w:val="DefaultParagraphFont"/>
    <w:rsid w:val="00A3225A"/>
    <w:rPr>
      <w:color w:val="0000FF" w:themeColor="hyperlink"/>
      <w:u w:val="single"/>
    </w:rPr>
  </w:style>
  <w:style w:type="character" w:styleId="CommentReference">
    <w:name w:val="annotation reference"/>
    <w:basedOn w:val="DefaultParagraphFont"/>
    <w:rsid w:val="00C55E6B"/>
    <w:rPr>
      <w:sz w:val="16"/>
      <w:szCs w:val="16"/>
    </w:rPr>
  </w:style>
  <w:style w:type="paragraph" w:styleId="CommentText">
    <w:name w:val="annotation text"/>
    <w:basedOn w:val="Normal"/>
    <w:link w:val="CommentTextChar"/>
    <w:rsid w:val="00C55E6B"/>
    <w:pPr>
      <w:spacing w:line="240" w:lineRule="auto"/>
    </w:pPr>
    <w:rPr>
      <w:szCs w:val="20"/>
    </w:rPr>
  </w:style>
  <w:style w:type="character" w:customStyle="1" w:styleId="CommentTextChar">
    <w:name w:val="Comment Text Char"/>
    <w:basedOn w:val="DefaultParagraphFont"/>
    <w:link w:val="CommentText"/>
    <w:rsid w:val="00C55E6B"/>
    <w:rPr>
      <w:rFonts w:ascii="Arial" w:hAnsi="Arial"/>
    </w:rPr>
  </w:style>
  <w:style w:type="paragraph" w:styleId="CommentSubject">
    <w:name w:val="annotation subject"/>
    <w:basedOn w:val="CommentText"/>
    <w:next w:val="CommentText"/>
    <w:link w:val="CommentSubjectChar"/>
    <w:rsid w:val="00C55E6B"/>
    <w:rPr>
      <w:b/>
      <w:bCs/>
    </w:rPr>
  </w:style>
  <w:style w:type="character" w:customStyle="1" w:styleId="CommentSubjectChar">
    <w:name w:val="Comment Subject Char"/>
    <w:basedOn w:val="CommentTextChar"/>
    <w:link w:val="CommentSubject"/>
    <w:rsid w:val="00C55E6B"/>
    <w:rPr>
      <w:rFonts w:ascii="Arial" w:hAnsi="Arial"/>
      <w:b/>
      <w:bCs/>
    </w:rPr>
  </w:style>
  <w:style w:type="paragraph" w:styleId="ListParagraph">
    <w:name w:val="List Paragraph"/>
    <w:basedOn w:val="Normal"/>
    <w:uiPriority w:val="34"/>
    <w:qFormat/>
    <w:rsid w:val="00FF5864"/>
    <w:pPr>
      <w:spacing w:after="0" w:line="240" w:lineRule="auto"/>
      <w:ind w:left="720"/>
      <w:contextualSpacing/>
    </w:pPr>
    <w:rPr>
      <w:rFonts w:ascii="Times New Roman" w:hAnsi="Times New Roman"/>
      <w:sz w:val="24"/>
      <w:lang w:eastAsia="en-US"/>
    </w:rPr>
  </w:style>
  <w:style w:type="paragraph" w:customStyle="1" w:styleId="ActHead5">
    <w:name w:val="ActHead 5"/>
    <w:aliases w:val="s"/>
    <w:basedOn w:val="Normal"/>
    <w:next w:val="subsection"/>
    <w:qFormat/>
    <w:rsid w:val="004A41A8"/>
    <w:pPr>
      <w:keepNext/>
      <w:keepLines/>
      <w:spacing w:before="280" w:after="0" w:line="240" w:lineRule="auto"/>
      <w:ind w:left="1134" w:hanging="1134"/>
      <w:outlineLvl w:val="4"/>
    </w:pPr>
    <w:rPr>
      <w:rFonts w:ascii="Times New Roman" w:hAnsi="Times New Roman"/>
      <w:b/>
      <w:kern w:val="28"/>
      <w:sz w:val="24"/>
      <w:szCs w:val="20"/>
    </w:rPr>
  </w:style>
  <w:style w:type="character" w:customStyle="1" w:styleId="CharSectno">
    <w:name w:val="CharSectno"/>
    <w:basedOn w:val="DefaultParagraphFont"/>
    <w:qFormat/>
    <w:rsid w:val="004A41A8"/>
  </w:style>
  <w:style w:type="paragraph" w:customStyle="1" w:styleId="subsection">
    <w:name w:val="subsection"/>
    <w:aliases w:val="ss"/>
    <w:basedOn w:val="Normal"/>
    <w:link w:val="subsectionChar"/>
    <w:rsid w:val="004A41A8"/>
    <w:pPr>
      <w:tabs>
        <w:tab w:val="right" w:pos="1021"/>
      </w:tabs>
      <w:spacing w:before="180" w:after="0" w:line="240" w:lineRule="auto"/>
      <w:ind w:left="1134" w:hanging="1134"/>
    </w:pPr>
    <w:rPr>
      <w:rFonts w:ascii="Times New Roman" w:hAnsi="Times New Roman"/>
      <w:sz w:val="22"/>
      <w:szCs w:val="20"/>
    </w:rPr>
  </w:style>
  <w:style w:type="character" w:customStyle="1" w:styleId="subsectionChar">
    <w:name w:val="subsection Char"/>
    <w:aliases w:val="ss Char"/>
    <w:basedOn w:val="DefaultParagraphFont"/>
    <w:link w:val="subsection"/>
    <w:rsid w:val="004A41A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gfilp04\NHMRC_New\Common\Departmental%20Templates\NHMRC\03.%20NHMRC%20Standard%20Documen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8B8F-01D7-4CB1-A1B3-DF4D3970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NHMRC Standard Document Template.dotm</Template>
  <TotalTime>113</TotalTime>
  <Pages>3</Pages>
  <Words>593</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National Health and Mental Research Council</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Griggs</dc:creator>
  <cp:lastModifiedBy>Jillian Barr</cp:lastModifiedBy>
  <cp:revision>40</cp:revision>
  <cp:lastPrinted>2014-02-28T01:30:00Z</cp:lastPrinted>
  <dcterms:created xsi:type="dcterms:W3CDTF">2013-10-29T00:37:00Z</dcterms:created>
  <dcterms:modified xsi:type="dcterms:W3CDTF">2014-03-04T05:18:00Z</dcterms:modified>
  <cp:category>Standard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Version">
    <vt:lpwstr>UDP Version</vt:lpwstr>
  </property>
</Properties>
</file>