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CC" w:rsidRDefault="00EA55CC" w:rsidP="00EA55CC">
      <w:pPr>
        <w:autoSpaceDE w:val="0"/>
        <w:autoSpaceDN w:val="0"/>
        <w:adjustRightInd w:val="0"/>
        <w:jc w:val="center"/>
        <w:outlineLvl w:val="0"/>
        <w:rPr>
          <w:b/>
          <w:iCs/>
          <w:u w:val="single"/>
        </w:rPr>
      </w:pPr>
      <w:r>
        <w:rPr>
          <w:b/>
          <w:iCs/>
          <w:u w:val="single"/>
        </w:rPr>
        <w:t>EXPLANATORY STATEMENT</w:t>
      </w:r>
    </w:p>
    <w:p w:rsidR="00EA55CC" w:rsidRDefault="00EA55CC" w:rsidP="00EA55CC">
      <w:pPr>
        <w:autoSpaceDE w:val="0"/>
        <w:autoSpaceDN w:val="0"/>
        <w:adjustRightInd w:val="0"/>
        <w:jc w:val="center"/>
        <w:rPr>
          <w:i/>
          <w:iCs/>
        </w:rPr>
      </w:pPr>
    </w:p>
    <w:p w:rsidR="00EA55CC" w:rsidRDefault="00EA55CC" w:rsidP="00EA55CC">
      <w:pPr>
        <w:autoSpaceDE w:val="0"/>
        <w:autoSpaceDN w:val="0"/>
        <w:adjustRightInd w:val="0"/>
        <w:jc w:val="center"/>
        <w:outlineLvl w:val="0"/>
        <w:rPr>
          <w:i/>
          <w:iCs/>
        </w:rPr>
      </w:pPr>
      <w:r>
        <w:rPr>
          <w:i/>
          <w:iCs/>
        </w:rPr>
        <w:t>Migration Act 1958</w:t>
      </w:r>
    </w:p>
    <w:p w:rsidR="00EA55CC" w:rsidRDefault="00EA55CC" w:rsidP="00EA55CC">
      <w:pPr>
        <w:tabs>
          <w:tab w:val="left" w:pos="567"/>
          <w:tab w:val="left" w:pos="1287"/>
        </w:tabs>
        <w:autoSpaceDE w:val="0"/>
        <w:autoSpaceDN w:val="0"/>
        <w:adjustRightInd w:val="0"/>
        <w:ind w:left="567" w:hanging="567"/>
        <w:jc w:val="both"/>
      </w:pPr>
    </w:p>
    <w:p w:rsidR="00EA55CC" w:rsidRDefault="00EA55CC" w:rsidP="00EA55CC">
      <w:pPr>
        <w:widowControl w:val="0"/>
        <w:ind w:left="-360" w:right="-334"/>
        <w:jc w:val="center"/>
        <w:rPr>
          <w:b/>
          <w:snapToGrid w:val="0"/>
          <w:szCs w:val="20"/>
          <w:lang w:eastAsia="en-US"/>
        </w:rPr>
      </w:pPr>
      <w:r>
        <w:rPr>
          <w:b/>
          <w:snapToGrid w:val="0"/>
          <w:szCs w:val="20"/>
          <w:lang w:eastAsia="en-US"/>
        </w:rPr>
        <w:t>GRANTING OF PROTECTION CLASS XA VISAS IN 2013/2014 FINANCIAL YEAR</w:t>
      </w:r>
    </w:p>
    <w:p w:rsidR="00EA55CC" w:rsidRDefault="00EA55CC" w:rsidP="00EA55CC">
      <w:pPr>
        <w:jc w:val="center"/>
      </w:pPr>
      <w:r>
        <w:t xml:space="preserve"> (Section 85)</w:t>
      </w:r>
    </w:p>
    <w:p w:rsidR="00EA55CC" w:rsidRDefault="00EA55CC" w:rsidP="00EA55CC">
      <w:pPr>
        <w:autoSpaceDE w:val="0"/>
        <w:autoSpaceDN w:val="0"/>
        <w:adjustRightInd w:val="0"/>
        <w:ind w:left="360" w:hanging="360"/>
        <w:jc w:val="both"/>
      </w:pP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  <w:r>
        <w:t>1.</w:t>
      </w:r>
      <w:r>
        <w:tab/>
        <w:t>Section 85 of the Act provides that the Minister may determine by instrument in writing the maximum number of the visas of a specified class or the visas of specified classes that may be granted in a specified financial year.</w:t>
      </w: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</w:p>
    <w:p w:rsidR="00103186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  <w:r>
        <w:t>2.</w:t>
      </w:r>
      <w:r>
        <w:tab/>
      </w:r>
      <w:r w:rsidR="00103186">
        <w:t>The purpose of this Legislative Instrument is to support the Government</w:t>
      </w:r>
      <w:r w:rsidR="00411E23">
        <w:t>’s</w:t>
      </w:r>
      <w:r w:rsidR="00103186">
        <w:t xml:space="preserve"> determination that </w:t>
      </w:r>
      <w:r w:rsidR="00411E23">
        <w:t xml:space="preserve">no more than </w:t>
      </w:r>
      <w:r w:rsidR="00103186">
        <w:t xml:space="preserve">2750 permanent Protection visas </w:t>
      </w:r>
      <w:r w:rsidR="00411E23">
        <w:t xml:space="preserve">be </w:t>
      </w:r>
      <w:r w:rsidR="00103186">
        <w:t>granted to applicants who lawfully applied onshore under the</w:t>
      </w:r>
      <w:r w:rsidR="00411E23">
        <w:t xml:space="preserve"> onshore component of the 2013/2014</w:t>
      </w:r>
      <w:r w:rsidR="00103186">
        <w:t xml:space="preserve"> Humanitarian Program</w:t>
      </w:r>
      <w:r w:rsidR="00411E23">
        <w:t>me</w:t>
      </w:r>
      <w:r w:rsidR="00103186">
        <w:t>. The figure of 2773 takes into account the temporary protection visas that were granted in 2013/2014.</w:t>
      </w: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  <w:rPr>
          <w:highlight w:val="yellow"/>
        </w:rPr>
      </w:pP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  <w:r>
        <w:t>3.</w:t>
      </w:r>
      <w:r>
        <w:tab/>
        <w:t>Section 86 of the Act provides that if there is a determination of the maximum number of visas of a class or classes that may be granted in a financial year; and the number of visas of the class or classes granted in the year reaches that maximum number; no more visas of the class or classes may be granted in the year.</w:t>
      </w: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4.</w:t>
      </w:r>
      <w:r>
        <w:rPr>
          <w:snapToGrid w:val="0"/>
          <w:lang w:eastAsia="en-US"/>
        </w:rPr>
        <w:tab/>
        <w:t>Section 87 and section 87A of the Act provide for the circumstances where the limit made under section 85 does not prevent the grant of a visa.</w:t>
      </w: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  <w:rPr>
          <w:highlight w:val="yellow"/>
        </w:rPr>
      </w:pP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  <w:r>
        <w:t>5.</w:t>
      </w:r>
      <w:r>
        <w:tab/>
        <w:t>This Instrument applies to all applicants who have applied for a Protection (Class XA) visa. This includes applicants who have applied before the implementation of this cap.</w:t>
      </w: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  <w:rPr>
          <w:highlight w:val="yellow"/>
        </w:rPr>
      </w:pP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  <w:r>
        <w:t>6.</w:t>
      </w:r>
      <w:r>
        <w:tab/>
        <w:t xml:space="preserve">The purpose of the instrument is to set the cap for the Protection (Class XA) visa at 2773. </w:t>
      </w: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  <w:r>
        <w:t>7.</w:t>
      </w:r>
      <w:r>
        <w:tab/>
        <w:t xml:space="preserve">Under section 44 of the </w:t>
      </w:r>
      <w:r>
        <w:rPr>
          <w:i/>
        </w:rPr>
        <w:t>Legislative Instruments Act 2003</w:t>
      </w:r>
      <w:r>
        <w:t xml:space="preserve"> the Instrument is exempt from disallowance and therefore a Human Rights Statement of Compatibility is not required.</w:t>
      </w:r>
    </w:p>
    <w:p w:rsidR="00EA55CC" w:rsidRDefault="00EA55CC" w:rsidP="00EA55CC">
      <w:pPr>
        <w:autoSpaceDE w:val="0"/>
        <w:autoSpaceDN w:val="0"/>
        <w:adjustRightInd w:val="0"/>
        <w:spacing w:line="360" w:lineRule="auto"/>
        <w:jc w:val="both"/>
      </w:pPr>
    </w:p>
    <w:p w:rsidR="00EA55CC" w:rsidRDefault="00C52F4B" w:rsidP="00EA55CC">
      <w:pPr>
        <w:autoSpaceDE w:val="0"/>
        <w:autoSpaceDN w:val="0"/>
        <w:adjustRightInd w:val="0"/>
        <w:spacing w:line="360" w:lineRule="auto"/>
        <w:ind w:left="660" w:hanging="66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EA55CC">
        <w:rPr>
          <w:color w:val="000000"/>
        </w:rPr>
        <w:t>.</w:t>
      </w:r>
      <w:r w:rsidR="00EA55CC">
        <w:rPr>
          <w:color w:val="000000"/>
        </w:rPr>
        <w:tab/>
        <w:t xml:space="preserve">The Office of Best Practice Regulation has been consulted and has advised that a Regulatory Impact Statement is not required </w:t>
      </w:r>
      <w:r w:rsidR="00EA55CC" w:rsidRPr="009D5CB8">
        <w:rPr>
          <w:color w:val="000000"/>
        </w:rPr>
        <w:t>(OBPR reference</w:t>
      </w:r>
      <w:r w:rsidR="009D5CB8">
        <w:rPr>
          <w:color w:val="000000"/>
        </w:rPr>
        <w:t xml:space="preserve"> 16700</w:t>
      </w:r>
      <w:r w:rsidR="00EA55CC" w:rsidRPr="009D5CB8">
        <w:rPr>
          <w:color w:val="000000"/>
        </w:rPr>
        <w:t>).</w:t>
      </w: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</w:p>
    <w:p w:rsidR="00EA55CC" w:rsidRDefault="00C52F4B" w:rsidP="00EA55CC">
      <w:pPr>
        <w:autoSpaceDE w:val="0"/>
        <w:autoSpaceDN w:val="0"/>
        <w:adjustRightInd w:val="0"/>
        <w:spacing w:line="360" w:lineRule="auto"/>
        <w:ind w:left="660" w:hanging="660"/>
        <w:jc w:val="both"/>
        <w:rPr>
          <w:sz w:val="23"/>
          <w:szCs w:val="23"/>
        </w:rPr>
      </w:pPr>
      <w:r>
        <w:t>9</w:t>
      </w:r>
      <w:r w:rsidR="00EA55CC">
        <w:t>.</w:t>
      </w:r>
      <w:r w:rsidR="00EA55CC">
        <w:tab/>
        <w:t>Consu</w:t>
      </w:r>
      <w:bookmarkStart w:id="0" w:name="_GoBack"/>
      <w:bookmarkEnd w:id="0"/>
      <w:r w:rsidR="00EA55CC">
        <w:t xml:space="preserve">ltation about the size and composition of the Protection, Humanitarian and Refugee Program is undertaken each year by the Department of Immigration and Border Protection. </w:t>
      </w: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  <w:rPr>
          <w:sz w:val="23"/>
          <w:szCs w:val="23"/>
        </w:rPr>
      </w:pPr>
    </w:p>
    <w:p w:rsidR="00EA55CC" w:rsidRDefault="00EA55CC" w:rsidP="00EA55CC">
      <w:pPr>
        <w:autoSpaceDE w:val="0"/>
        <w:autoSpaceDN w:val="0"/>
        <w:adjustRightInd w:val="0"/>
        <w:spacing w:line="360" w:lineRule="auto"/>
        <w:ind w:left="660" w:hanging="660"/>
        <w:jc w:val="both"/>
      </w:pPr>
      <w:r>
        <w:t>1</w:t>
      </w:r>
      <w:r w:rsidR="00C52F4B">
        <w:t>0</w:t>
      </w:r>
      <w:r>
        <w:t>.</w:t>
      </w:r>
      <w:r>
        <w:tab/>
        <w:t>The Instrument, IMMI 14/026, commences on the day after registration on the Federal Register of Legislative Instruments.</w:t>
      </w:r>
    </w:p>
    <w:p w:rsidR="00EA55CC" w:rsidRDefault="00EA55CC" w:rsidP="00EA55CC">
      <w:pPr>
        <w:spacing w:line="360" w:lineRule="auto"/>
      </w:pPr>
    </w:p>
    <w:p w:rsidR="00EA55CC" w:rsidRDefault="00EA55CC" w:rsidP="00EA55CC">
      <w:pPr>
        <w:spacing w:line="360" w:lineRule="auto"/>
      </w:pPr>
    </w:p>
    <w:p w:rsidR="00EA55CC" w:rsidRDefault="00EA55CC" w:rsidP="00EA55CC"/>
    <w:p w:rsidR="00D67623" w:rsidRDefault="00D67623"/>
    <w:sectPr w:rsidR="00D67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CC" w:rsidRDefault="00EA55CC" w:rsidP="00EA55CC">
      <w:r>
        <w:separator/>
      </w:r>
    </w:p>
  </w:endnote>
  <w:endnote w:type="continuationSeparator" w:id="0">
    <w:p w:rsidR="00EA55CC" w:rsidRDefault="00EA55CC" w:rsidP="00EA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C" w:rsidRDefault="00EA5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C" w:rsidRDefault="00EA5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C" w:rsidRDefault="00EA5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CC" w:rsidRDefault="00EA55CC" w:rsidP="00EA55CC">
      <w:r>
        <w:separator/>
      </w:r>
    </w:p>
  </w:footnote>
  <w:footnote w:type="continuationSeparator" w:id="0">
    <w:p w:rsidR="00EA55CC" w:rsidRDefault="00EA55CC" w:rsidP="00EA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C" w:rsidRDefault="00EA5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C" w:rsidRPr="00EA55CC" w:rsidRDefault="00EA55CC">
    <w:pPr>
      <w:pStyle w:val="Header"/>
      <w:rPr>
        <w:i/>
        <w:sz w:val="20"/>
        <w:szCs w:val="20"/>
      </w:rPr>
    </w:pPr>
    <w:r w:rsidRPr="00EA55CC">
      <w:rPr>
        <w:i/>
        <w:sz w:val="20"/>
        <w:szCs w:val="20"/>
      </w:rPr>
      <w:t>IMMI 14/026</w:t>
    </w:r>
  </w:p>
  <w:p w:rsidR="00EA55CC" w:rsidRDefault="00EA55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C" w:rsidRDefault="00EA5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CC"/>
    <w:rsid w:val="00103186"/>
    <w:rsid w:val="00411E23"/>
    <w:rsid w:val="009D5CB8"/>
    <w:rsid w:val="00AB7208"/>
    <w:rsid w:val="00C52F4B"/>
    <w:rsid w:val="00D67623"/>
    <w:rsid w:val="00E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C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5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C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CC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C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5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C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C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ORR</dc:creator>
  <cp:keywords/>
  <dc:description/>
  <cp:lastModifiedBy>Deborah COATES</cp:lastModifiedBy>
  <cp:revision>4</cp:revision>
  <dcterms:created xsi:type="dcterms:W3CDTF">2014-03-03T23:34:00Z</dcterms:created>
  <dcterms:modified xsi:type="dcterms:W3CDTF">2014-03-04T22:36:00Z</dcterms:modified>
</cp:coreProperties>
</file>