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BD1" w:rsidRDefault="00F26F1B" w:rsidP="005B0D80">
      <w:pPr>
        <w:pStyle w:val="Heading1"/>
      </w:pPr>
      <w:bookmarkStart w:id="0" w:name="_GoBack"/>
      <w:bookmarkEnd w:id="0"/>
      <w:r w:rsidRPr="005B0D80">
        <w:t>Explanatory Statement</w:t>
      </w:r>
    </w:p>
    <w:p w:rsidR="000E2609" w:rsidRDefault="000E2609" w:rsidP="00776B1D">
      <w:r>
        <w:t>Issued by the Authority of the Information Commissioner</w:t>
      </w:r>
    </w:p>
    <w:p w:rsidR="00F26F1B" w:rsidRPr="00776B1D" w:rsidRDefault="005E071B" w:rsidP="001C5BD2">
      <w:pPr>
        <w:pStyle w:val="Heading2"/>
      </w:pPr>
      <w:r>
        <w:t>CR code</w:t>
      </w:r>
    </w:p>
    <w:p w:rsidR="00F26F1B" w:rsidRDefault="005B0D80" w:rsidP="005B0D80">
      <w:r>
        <w:t xml:space="preserve">This explanatory statement fulfils the Information Commissioner’s obligations under s 26(1) of the </w:t>
      </w:r>
      <w:r>
        <w:rPr>
          <w:i/>
        </w:rPr>
        <w:t>Legislative Instruments Act 2003</w:t>
      </w:r>
      <w:r w:rsidR="002E49D5">
        <w:t xml:space="preserve"> (the Legislative Instruments Act).</w:t>
      </w:r>
    </w:p>
    <w:p w:rsidR="005B0D80" w:rsidRPr="00796BF8" w:rsidRDefault="005B0D80" w:rsidP="005B0D80">
      <w:r>
        <w:t xml:space="preserve">This explanatory statement relates to the </w:t>
      </w:r>
      <w:r w:rsidR="005E5F79" w:rsidRPr="005E5F79">
        <w:rPr>
          <w:i/>
        </w:rPr>
        <w:t xml:space="preserve">Credit Reporting </w:t>
      </w:r>
      <w:r w:rsidR="002E6D84">
        <w:rPr>
          <w:i/>
        </w:rPr>
        <w:t>Privacy Code</w:t>
      </w:r>
      <w:r w:rsidR="005E5F79" w:rsidRPr="005E5F79">
        <w:rPr>
          <w:i/>
        </w:rPr>
        <w:t xml:space="preserve"> (</w:t>
      </w:r>
      <w:r w:rsidR="002E6D84" w:rsidRPr="005E5F79">
        <w:rPr>
          <w:i/>
        </w:rPr>
        <w:t>CR</w:t>
      </w:r>
      <w:r w:rsidR="002E6D84">
        <w:rPr>
          <w:i/>
        </w:rPr>
        <w:t> </w:t>
      </w:r>
      <w:r w:rsidR="005E071B" w:rsidRPr="005E5F79">
        <w:rPr>
          <w:i/>
        </w:rPr>
        <w:t>code</w:t>
      </w:r>
      <w:r w:rsidR="005E5F79">
        <w:rPr>
          <w:i/>
        </w:rPr>
        <w:t>)</w:t>
      </w:r>
      <w:r>
        <w:t xml:space="preserve"> </w:t>
      </w:r>
      <w:r w:rsidR="005E071B" w:rsidRPr="00DA45B9">
        <w:t>registered</w:t>
      </w:r>
      <w:r w:rsidRPr="00DA45B9">
        <w:t xml:space="preserve"> under </w:t>
      </w:r>
      <w:r w:rsidR="00485AF3" w:rsidRPr="00DA45B9">
        <w:t>s </w:t>
      </w:r>
      <w:r w:rsidR="005E071B" w:rsidRPr="00DA45B9">
        <w:t>26(1)</w:t>
      </w:r>
      <w:r w:rsidR="00485AF3" w:rsidRPr="00DA45B9">
        <w:t xml:space="preserve"> </w:t>
      </w:r>
      <w:r w:rsidRPr="00DA45B9">
        <w:t xml:space="preserve">of the </w:t>
      </w:r>
      <w:r w:rsidRPr="00DA45B9">
        <w:rPr>
          <w:i/>
        </w:rPr>
        <w:t>Privacy Act 1988</w:t>
      </w:r>
      <w:r w:rsidR="005E071B" w:rsidRPr="00DA45B9">
        <w:t xml:space="preserve"> as amended by the </w:t>
      </w:r>
      <w:r w:rsidR="005E071B" w:rsidRPr="00DA45B9">
        <w:rPr>
          <w:i/>
        </w:rPr>
        <w:t xml:space="preserve">Privacy Amendment (Enhancing Privacy Protection) Act </w:t>
      </w:r>
      <w:r w:rsidR="005E071B" w:rsidRPr="00796BF8">
        <w:rPr>
          <w:i/>
        </w:rPr>
        <w:t>2012</w:t>
      </w:r>
      <w:r w:rsidR="005E071B" w:rsidRPr="00796BF8">
        <w:t xml:space="preserve"> (the Privacy Act)</w:t>
      </w:r>
      <w:r w:rsidRPr="00796BF8">
        <w:t>.</w:t>
      </w:r>
    </w:p>
    <w:p w:rsidR="00F26F1B" w:rsidRPr="00796BF8" w:rsidRDefault="005B0D80" w:rsidP="005B0D80">
      <w:pPr>
        <w:pStyle w:val="Heading2"/>
      </w:pPr>
      <w:r w:rsidRPr="00796BF8">
        <w:t xml:space="preserve">Authority for </w:t>
      </w:r>
      <w:r w:rsidR="000E2609" w:rsidRPr="00796BF8">
        <w:t xml:space="preserve">the </w:t>
      </w:r>
      <w:r w:rsidR="00E6675C" w:rsidRPr="00796BF8">
        <w:t>registration of the CR code</w:t>
      </w:r>
    </w:p>
    <w:p w:rsidR="005E071B" w:rsidRDefault="00220AD7" w:rsidP="00721355">
      <w:r w:rsidRPr="00796BF8">
        <w:t xml:space="preserve">The Information Commissioner is </w:t>
      </w:r>
      <w:r w:rsidR="005E071B" w:rsidRPr="00796BF8">
        <w:t>required by s 26S(4) of the</w:t>
      </w:r>
      <w:r w:rsidR="00E6675C" w:rsidRPr="00796BF8">
        <w:t xml:space="preserve"> Privacy Act to ensure that there</w:t>
      </w:r>
      <w:r w:rsidR="005E071B" w:rsidRPr="00796BF8">
        <w:t xml:space="preserve"> is one, and only one, registered CR code at all times after Part IIIB of the Privacy Act commences.</w:t>
      </w:r>
      <w:r w:rsidR="005E071B">
        <w:t xml:space="preserve"> </w:t>
      </w:r>
    </w:p>
    <w:p w:rsidR="00220AD7" w:rsidRPr="00047B8C" w:rsidRDefault="005E071B" w:rsidP="00721355">
      <w:r>
        <w:t>If a</w:t>
      </w:r>
      <w:r w:rsidRPr="005E071B">
        <w:t>n application for registration of a CR code is made</w:t>
      </w:r>
      <w:r>
        <w:t xml:space="preserve"> by a code developer</w:t>
      </w:r>
      <w:r w:rsidRPr="005E071B">
        <w:t xml:space="preserve"> under s</w:t>
      </w:r>
      <w:r>
        <w:t> </w:t>
      </w:r>
      <w:r w:rsidRPr="005E071B">
        <w:t xml:space="preserve">26Q </w:t>
      </w:r>
      <w:r>
        <w:t xml:space="preserve">of the Privacy Act, the Information Commissioner </w:t>
      </w:r>
      <w:r w:rsidR="005E5F79">
        <w:t xml:space="preserve">is </w:t>
      </w:r>
      <w:r w:rsidR="00220AD7" w:rsidRPr="00047B8C">
        <w:t xml:space="preserve">empowered by s </w:t>
      </w:r>
      <w:r w:rsidR="00485AF3" w:rsidRPr="00047B8C">
        <w:t>2</w:t>
      </w:r>
      <w:r>
        <w:t>6S</w:t>
      </w:r>
      <w:r w:rsidR="00485AF3" w:rsidRPr="00047B8C">
        <w:t xml:space="preserve">(1) </w:t>
      </w:r>
      <w:r w:rsidR="00220AD7" w:rsidRPr="00047B8C">
        <w:t xml:space="preserve">of the Privacy Act to </w:t>
      </w:r>
      <w:r>
        <w:t>register that CR code</w:t>
      </w:r>
      <w:r w:rsidR="00220AD7" w:rsidRPr="00047B8C">
        <w:t xml:space="preserve">.  </w:t>
      </w:r>
    </w:p>
    <w:p w:rsidR="00537B95" w:rsidRDefault="007F28C8" w:rsidP="00E6675C">
      <w:r w:rsidRPr="007F28C8">
        <w:t>On 20 December 2012, pursuant to s</w:t>
      </w:r>
      <w:r w:rsidR="005E5F79">
        <w:t> </w:t>
      </w:r>
      <w:r w:rsidRPr="007F28C8">
        <w:t xml:space="preserve">26P, the Privacy </w:t>
      </w:r>
      <w:r w:rsidRPr="00124C7C">
        <w:t>Commissioner</w:t>
      </w:r>
      <w:r w:rsidR="00C47E2E" w:rsidRPr="00124C7C">
        <w:t>, consistent with s 12(5) of</w:t>
      </w:r>
      <w:r w:rsidR="00C47E2E">
        <w:t xml:space="preserve"> the </w:t>
      </w:r>
      <w:r w:rsidR="00C47E2E" w:rsidRPr="00C47E2E">
        <w:rPr>
          <w:i/>
        </w:rPr>
        <w:t>Australian Information Commissioner Act 2010</w:t>
      </w:r>
      <w:r w:rsidR="00124C7C">
        <w:t>,</w:t>
      </w:r>
      <w:r w:rsidRPr="009E0FBF">
        <w:t xml:space="preserve"> </w:t>
      </w:r>
      <w:r w:rsidRPr="007F28C8">
        <w:t>requested the Austral</w:t>
      </w:r>
      <w:r w:rsidR="005E5F79">
        <w:t>i</w:t>
      </w:r>
      <w:r w:rsidRPr="007F28C8">
        <w:t>an Retail Credit Association (ARCA) to develop a CR code and apply for its registration.</w:t>
      </w:r>
    </w:p>
    <w:p w:rsidR="00C41D87" w:rsidRDefault="00537B95" w:rsidP="00E6675C">
      <w:r>
        <w:t xml:space="preserve">On 19 December 2013 ARCA submitted a final version of the CR code for registration. </w:t>
      </w:r>
    </w:p>
    <w:p w:rsidR="007F28C8" w:rsidRPr="00E6675C" w:rsidRDefault="00537B95" w:rsidP="00E6675C">
      <w:r>
        <w:t xml:space="preserve">Under s 4 of the </w:t>
      </w:r>
      <w:r w:rsidRPr="00537B95">
        <w:rPr>
          <w:i/>
        </w:rPr>
        <w:t>Acts Interpretation Act 1901</w:t>
      </w:r>
      <w:r>
        <w:rPr>
          <w:i/>
        </w:rPr>
        <w:t xml:space="preserve"> </w:t>
      </w:r>
      <w:r>
        <w:t>the Information Commissioner has the power to make the decision</w:t>
      </w:r>
      <w:r w:rsidR="00C41D87">
        <w:t xml:space="preserve"> to register the CR code under s 26S(1) of the Privacy Act before that section commences, where the legal obligations that the CR code imposes do not take effect before the commencement date.</w:t>
      </w:r>
      <w:r w:rsidR="007F28C8" w:rsidRPr="007F28C8">
        <w:t xml:space="preserve"> </w:t>
      </w:r>
    </w:p>
    <w:p w:rsidR="00AC7FE8" w:rsidRPr="00047B8C" w:rsidRDefault="00AC7FE8" w:rsidP="00047B8C">
      <w:pPr>
        <w:pStyle w:val="Heading2"/>
      </w:pPr>
      <w:r w:rsidRPr="00047B8C">
        <w:t xml:space="preserve">Purpose </w:t>
      </w:r>
      <w:r w:rsidR="00826FF3">
        <w:t xml:space="preserve">and </w:t>
      </w:r>
      <w:r w:rsidR="00E20967">
        <w:t>o</w:t>
      </w:r>
      <w:r w:rsidR="00826FF3">
        <w:t>peration of the CR code</w:t>
      </w:r>
    </w:p>
    <w:p w:rsidR="00FC1F4B" w:rsidRDefault="00FC1F4B" w:rsidP="00DF713B">
      <w:r>
        <w:t>The CR code is a written code of practice about credit reporting (s </w:t>
      </w:r>
      <w:proofErr w:type="gramStart"/>
      <w:r>
        <w:t>26N(</w:t>
      </w:r>
      <w:proofErr w:type="gramEnd"/>
      <w:r>
        <w:t>1)).</w:t>
      </w:r>
      <w:r w:rsidR="00A466A3">
        <w:t xml:space="preserve"> </w:t>
      </w:r>
    </w:p>
    <w:p w:rsidR="00FC1F4B" w:rsidRDefault="00FC1F4B" w:rsidP="00FC1F4B">
      <w:pPr>
        <w:pStyle w:val="Bulletlist"/>
        <w:numPr>
          <w:ilvl w:val="0"/>
          <w:numId w:val="0"/>
        </w:numPr>
      </w:pPr>
      <w:r w:rsidRPr="00047B8C">
        <w:t xml:space="preserve">The purpose of </w:t>
      </w:r>
      <w:r>
        <w:t>the CR code</w:t>
      </w:r>
      <w:r w:rsidRPr="00047B8C">
        <w:t xml:space="preserve"> is to</w:t>
      </w:r>
      <w:r>
        <w:t xml:space="preserve"> supplement the provisions of Part IIIA of the Privacy Act and the </w:t>
      </w:r>
      <w:r w:rsidR="00516541">
        <w:rPr>
          <w:i/>
        </w:rPr>
        <w:t>Privacy Regulation</w:t>
      </w:r>
      <w:r w:rsidRPr="00DF713B">
        <w:rPr>
          <w:i/>
        </w:rPr>
        <w:t xml:space="preserve"> 201</w:t>
      </w:r>
      <w:r w:rsidR="00D9545B">
        <w:rPr>
          <w:i/>
        </w:rPr>
        <w:t>3</w:t>
      </w:r>
      <w:r>
        <w:t xml:space="preserve">. </w:t>
      </w:r>
      <w:r w:rsidR="00A466A3">
        <w:t>The CR code will</w:t>
      </w:r>
      <w:r w:rsidR="00C41D87">
        <w:t>, on its commencement,</w:t>
      </w:r>
      <w:r w:rsidR="00A466A3">
        <w:t xml:space="preserve"> replace the current </w:t>
      </w:r>
      <w:r w:rsidR="00A466A3" w:rsidRPr="00A466A3">
        <w:rPr>
          <w:i/>
        </w:rPr>
        <w:t>Credit Reporting Code of Conduct</w:t>
      </w:r>
      <w:r w:rsidR="00A466A3">
        <w:t xml:space="preserve">, issued under s 18A of the </w:t>
      </w:r>
      <w:r w:rsidR="00A466A3" w:rsidRPr="00A466A3">
        <w:rPr>
          <w:i/>
        </w:rPr>
        <w:t>Privacy Act 1988</w:t>
      </w:r>
      <w:r w:rsidR="00A466A3">
        <w:t xml:space="preserve"> before it was amendment by the </w:t>
      </w:r>
      <w:r w:rsidR="00A466A3" w:rsidRPr="00A466A3">
        <w:rPr>
          <w:i/>
        </w:rPr>
        <w:t>Privacy Amendment (Enhancing Privacy Protection) Act 2012</w:t>
      </w:r>
      <w:r w:rsidR="00A466A3">
        <w:t>.</w:t>
      </w:r>
    </w:p>
    <w:p w:rsidR="00FC1F4B" w:rsidRDefault="00FC1F4B" w:rsidP="00FC1F4B">
      <w:pPr>
        <w:pStyle w:val="Bulletlist"/>
        <w:numPr>
          <w:ilvl w:val="0"/>
          <w:numId w:val="0"/>
        </w:numPr>
      </w:pPr>
      <w:r>
        <w:t>In accordance with s 26N of the Privacy</w:t>
      </w:r>
      <w:r w:rsidR="005E5F79">
        <w:t xml:space="preserve"> Act</w:t>
      </w:r>
      <w:r>
        <w:t>, the CR code performs the following functions:</w:t>
      </w:r>
    </w:p>
    <w:p w:rsidR="00FC1F4B" w:rsidRDefault="00FC1F4B" w:rsidP="00FC1F4B">
      <w:pPr>
        <w:pStyle w:val="Bulletlist"/>
        <w:numPr>
          <w:ilvl w:val="0"/>
          <w:numId w:val="20"/>
        </w:numPr>
      </w:pPr>
      <w:r w:rsidRPr="00DF713B">
        <w:t>set</w:t>
      </w:r>
      <w:r>
        <w:t>s</w:t>
      </w:r>
      <w:r w:rsidRPr="00DF713B">
        <w:t xml:space="preserve"> out how one or more of the credit reporting provisions </w:t>
      </w:r>
      <w:r>
        <w:t xml:space="preserve">in Part IIIA of the Privacy Act </w:t>
      </w:r>
      <w:r w:rsidRPr="00DF713B">
        <w:t>are to be applied or complied with</w:t>
      </w:r>
      <w:r>
        <w:t xml:space="preserve"> (s 26N(2)(a))</w:t>
      </w:r>
    </w:p>
    <w:p w:rsidR="00FC1F4B" w:rsidRDefault="00FC1F4B" w:rsidP="00FC1F4B">
      <w:pPr>
        <w:pStyle w:val="Bulletlist"/>
        <w:numPr>
          <w:ilvl w:val="0"/>
          <w:numId w:val="20"/>
        </w:numPr>
      </w:pPr>
      <w:r w:rsidRPr="00DF713B">
        <w:t>make</w:t>
      </w:r>
      <w:r>
        <w:t>s</w:t>
      </w:r>
      <w:r w:rsidRPr="00DF713B">
        <w:t xml:space="preserve"> provision for, or in relation to, matters required or permitted by Part IIIA to be provided for by the registered CR code</w:t>
      </w:r>
      <w:r>
        <w:t xml:space="preserve"> (s 26N(2)(b))</w:t>
      </w:r>
    </w:p>
    <w:p w:rsidR="00FC1F4B" w:rsidRDefault="00FC1F4B" w:rsidP="00FC1F4B">
      <w:pPr>
        <w:pStyle w:val="Bulletlist"/>
        <w:numPr>
          <w:ilvl w:val="0"/>
          <w:numId w:val="20"/>
        </w:numPr>
      </w:pPr>
      <w:r>
        <w:lastRenderedPageBreak/>
        <w:t>binds all credit reporting bodies (s 26N(2)(c))</w:t>
      </w:r>
    </w:p>
    <w:p w:rsidR="00FC1F4B" w:rsidRDefault="00FC1F4B" w:rsidP="00FC1F4B">
      <w:pPr>
        <w:pStyle w:val="Bulletlist"/>
        <w:numPr>
          <w:ilvl w:val="0"/>
          <w:numId w:val="20"/>
        </w:numPr>
      </w:pPr>
      <w:r>
        <w:t>specifies the credit providers that are bound by the CR code, or a way of determining which credit providers are bound (s 26N(2)(d)), and</w:t>
      </w:r>
    </w:p>
    <w:p w:rsidR="00FC1F4B" w:rsidRDefault="00FC1F4B" w:rsidP="00FC1F4B">
      <w:pPr>
        <w:pStyle w:val="Bulletlist"/>
        <w:numPr>
          <w:ilvl w:val="0"/>
          <w:numId w:val="20"/>
        </w:numPr>
      </w:pPr>
      <w:r>
        <w:t xml:space="preserve">specifies any other entities subject to Part IIIA of the Privacy Act that are bound by the CR code, or a way of determining which of those entities are bound (s 26N(2)(e)). </w:t>
      </w:r>
    </w:p>
    <w:p w:rsidR="00FC1F4B" w:rsidRDefault="00FC1F4B" w:rsidP="00E20967">
      <w:pPr>
        <w:pStyle w:val="Bulletlist"/>
        <w:numPr>
          <w:ilvl w:val="0"/>
          <w:numId w:val="0"/>
        </w:numPr>
        <w:ind w:left="578" w:hanging="578"/>
      </w:pPr>
      <w:r>
        <w:t xml:space="preserve">In addition, the CR code: </w:t>
      </w:r>
    </w:p>
    <w:p w:rsidR="00FC1F4B" w:rsidRDefault="00FC1F4B" w:rsidP="00E20967">
      <w:pPr>
        <w:pStyle w:val="Bulletlist"/>
        <w:numPr>
          <w:ilvl w:val="0"/>
          <w:numId w:val="24"/>
        </w:numPr>
      </w:pPr>
      <w:r>
        <w:t xml:space="preserve">imposes additional requirements that are not contrary to, or inconsistent with the requirements </w:t>
      </w:r>
      <w:r w:rsidR="00D70F2C">
        <w:t xml:space="preserve">of </w:t>
      </w:r>
      <w:r>
        <w:t>Part IIIA of the Privacy Act (s 26N(3)(a))</w:t>
      </w:r>
    </w:p>
    <w:p w:rsidR="00FC1F4B" w:rsidRDefault="00FC1F4B" w:rsidP="00E20967">
      <w:pPr>
        <w:pStyle w:val="Bulletlist"/>
        <w:numPr>
          <w:ilvl w:val="0"/>
          <w:numId w:val="24"/>
        </w:numPr>
      </w:pPr>
      <w:r>
        <w:t>deals with the internal handling of complaints (s 26N(3)(b))</w:t>
      </w:r>
    </w:p>
    <w:p w:rsidR="00FC1F4B" w:rsidRDefault="00FC1F4B" w:rsidP="00E20967">
      <w:pPr>
        <w:pStyle w:val="Bulletlist"/>
        <w:numPr>
          <w:ilvl w:val="0"/>
          <w:numId w:val="24"/>
        </w:numPr>
      </w:pPr>
      <w:r>
        <w:t>provides for the reporting to the Commissioner about complaints (s 26N(3)(c)), and</w:t>
      </w:r>
    </w:p>
    <w:p w:rsidR="00FC1F4B" w:rsidRDefault="00FC1F4B" w:rsidP="00E20967">
      <w:pPr>
        <w:pStyle w:val="Bulletlist"/>
        <w:numPr>
          <w:ilvl w:val="0"/>
          <w:numId w:val="24"/>
        </w:numPr>
      </w:pPr>
      <w:proofErr w:type="gramStart"/>
      <w:r>
        <w:t>deal</w:t>
      </w:r>
      <w:r w:rsidR="005E5F79">
        <w:t>s</w:t>
      </w:r>
      <w:proofErr w:type="gramEnd"/>
      <w:r>
        <w:t xml:space="preserve"> with any other relevant matters (s 26N(3)(d)).</w:t>
      </w:r>
    </w:p>
    <w:p w:rsidR="0007193D" w:rsidRDefault="0007193D" w:rsidP="0007193D">
      <w:pPr>
        <w:pStyle w:val="Heading2"/>
      </w:pPr>
      <w:r>
        <w:t>Reasons for the decision to register the CR code</w:t>
      </w:r>
    </w:p>
    <w:p w:rsidR="00DF713B" w:rsidRPr="00047B8C" w:rsidRDefault="00F26929" w:rsidP="00DF713B">
      <w:r w:rsidRPr="00047B8C">
        <w:t xml:space="preserve">In </w:t>
      </w:r>
      <w:r w:rsidR="00E6675C">
        <w:t>deciding to register the CR code</w:t>
      </w:r>
      <w:r w:rsidR="00047B8C" w:rsidRPr="00047B8C">
        <w:t>,</w:t>
      </w:r>
      <w:r w:rsidR="00D07322" w:rsidRPr="00047B8C">
        <w:t xml:space="preserve"> the </w:t>
      </w:r>
      <w:r w:rsidR="00E6675C">
        <w:t xml:space="preserve">Information </w:t>
      </w:r>
      <w:r w:rsidR="00D07322" w:rsidRPr="00047B8C">
        <w:t xml:space="preserve">Commissioner </w:t>
      </w:r>
      <w:r w:rsidR="0032198C" w:rsidRPr="00047B8C">
        <w:t xml:space="preserve">has </w:t>
      </w:r>
      <w:r w:rsidRPr="00047B8C">
        <w:t>had regard to</w:t>
      </w:r>
      <w:r w:rsidR="00DF713B">
        <w:t xml:space="preserve"> </w:t>
      </w:r>
      <w:r w:rsidR="00DF713B" w:rsidRPr="00047B8C">
        <w:t>the objects of the Privacy Act, in particular:</w:t>
      </w:r>
    </w:p>
    <w:p w:rsidR="00DF713B" w:rsidRDefault="00DF713B" w:rsidP="00DF713B">
      <w:pPr>
        <w:pStyle w:val="Bulletlist"/>
      </w:pPr>
      <w:r w:rsidRPr="00047B8C">
        <w:t>to promote the protection of the p</w:t>
      </w:r>
      <w:r>
        <w:t>rivacy of individuals (s 2A(a))</w:t>
      </w:r>
    </w:p>
    <w:p w:rsidR="00DF713B" w:rsidRDefault="00DF713B" w:rsidP="00DF713B">
      <w:pPr>
        <w:pStyle w:val="Bulletlist"/>
      </w:pPr>
      <w:r w:rsidRPr="00047B8C">
        <w:t>to promote responsible and transparent handling of personal information by entities (s 2A(d))</w:t>
      </w:r>
      <w:r>
        <w:t>, and</w:t>
      </w:r>
    </w:p>
    <w:p w:rsidR="00DF713B" w:rsidRDefault="00DF713B" w:rsidP="00DF713B">
      <w:pPr>
        <w:pStyle w:val="Bulletlist"/>
      </w:pPr>
      <w:proofErr w:type="gramStart"/>
      <w:r w:rsidRPr="00DF713B">
        <w:t>to</w:t>
      </w:r>
      <w:proofErr w:type="gramEnd"/>
      <w:r w:rsidRPr="00DF713B">
        <w:t xml:space="preserve"> facilitate an efficient credit reporting system while ensuring that the privacy of individuals is respected</w:t>
      </w:r>
      <w:r>
        <w:t xml:space="preserve"> (s 2A(e)).</w:t>
      </w:r>
    </w:p>
    <w:p w:rsidR="00F26929" w:rsidRDefault="00DF713B" w:rsidP="00DF713B">
      <w:r>
        <w:t xml:space="preserve">In addition, the Information Commissioner has had regard to </w:t>
      </w:r>
      <w:r w:rsidR="00E6675C">
        <w:t xml:space="preserve">the </w:t>
      </w:r>
      <w:hyperlink r:id="rId9" w:history="1">
        <w:r w:rsidR="00E6675C" w:rsidRPr="009C4B61">
          <w:rPr>
            <w:rStyle w:val="Hyperlink"/>
          </w:rPr>
          <w:t>Guidelines for developing codes</w:t>
        </w:r>
      </w:hyperlink>
      <w:r w:rsidR="00E6675C">
        <w:t xml:space="preserve"> (the Guidelines) issued under s 26V of the Privacy Act</w:t>
      </w:r>
      <w:r w:rsidR="00F26929" w:rsidRPr="00047B8C">
        <w:t>.</w:t>
      </w:r>
      <w:r w:rsidRPr="00DF713B">
        <w:t xml:space="preserve"> The Appendix to those Guidelines sets out a non-exhaustive checklist of the primary matters that </w:t>
      </w:r>
      <w:r>
        <w:t>the Information Commissioner will</w:t>
      </w:r>
      <w:r w:rsidRPr="00DF713B">
        <w:t xml:space="preserve"> consider when deciding whether to register a code</w:t>
      </w:r>
      <w:r>
        <w:t>, including a CR code</w:t>
      </w:r>
      <w:r w:rsidRPr="00DF713B">
        <w:t>.</w:t>
      </w:r>
      <w:r w:rsidR="00A32059">
        <w:t xml:space="preserve"> Those matters include: </w:t>
      </w:r>
    </w:p>
    <w:p w:rsidR="00A32059" w:rsidRDefault="002C7066" w:rsidP="00A32059">
      <w:pPr>
        <w:pStyle w:val="ListParagraph"/>
        <w:numPr>
          <w:ilvl w:val="0"/>
          <w:numId w:val="22"/>
        </w:numPr>
        <w:tabs>
          <w:tab w:val="clear" w:pos="567"/>
        </w:tabs>
        <w:ind w:left="714" w:hanging="357"/>
        <w:contextualSpacing w:val="0"/>
      </w:pPr>
      <w:r>
        <w:t>w</w:t>
      </w:r>
      <w:r w:rsidR="00A32059" w:rsidRPr="00A32059">
        <w:t>hether the code satisfies the requirements in Part IIIA</w:t>
      </w:r>
    </w:p>
    <w:p w:rsidR="00A32059" w:rsidRDefault="002C7066" w:rsidP="00A32059">
      <w:pPr>
        <w:pStyle w:val="ListParagraph"/>
        <w:numPr>
          <w:ilvl w:val="0"/>
          <w:numId w:val="22"/>
        </w:numPr>
        <w:tabs>
          <w:tab w:val="clear" w:pos="567"/>
        </w:tabs>
        <w:ind w:left="714" w:hanging="357"/>
        <w:contextualSpacing w:val="0"/>
      </w:pPr>
      <w:bookmarkStart w:id="1" w:name="_Toc377641371"/>
      <w:r>
        <w:t>w</w:t>
      </w:r>
      <w:r w:rsidR="00A32059" w:rsidRPr="007613D3">
        <w:t>hether there are appropriate governance arrangements in place to administer the code</w:t>
      </w:r>
      <w:bookmarkEnd w:id="1"/>
    </w:p>
    <w:p w:rsidR="00A32059" w:rsidRDefault="002C7066" w:rsidP="00A32059">
      <w:pPr>
        <w:pStyle w:val="ListParagraph"/>
        <w:numPr>
          <w:ilvl w:val="0"/>
          <w:numId w:val="22"/>
        </w:numPr>
        <w:tabs>
          <w:tab w:val="clear" w:pos="567"/>
        </w:tabs>
        <w:ind w:left="714" w:hanging="357"/>
        <w:contextualSpacing w:val="0"/>
      </w:pPr>
      <w:r>
        <w:t>w</w:t>
      </w:r>
      <w:r w:rsidR="00A32059" w:rsidRPr="00A32059">
        <w:t>hether there are appropriate reporting mechanisms</w:t>
      </w:r>
    </w:p>
    <w:p w:rsidR="00A32059" w:rsidRDefault="002C7066" w:rsidP="00A32059">
      <w:pPr>
        <w:pStyle w:val="ListParagraph"/>
        <w:numPr>
          <w:ilvl w:val="0"/>
          <w:numId w:val="22"/>
        </w:numPr>
        <w:tabs>
          <w:tab w:val="clear" w:pos="567"/>
        </w:tabs>
        <w:ind w:left="714" w:hanging="357"/>
        <w:contextualSpacing w:val="0"/>
      </w:pPr>
      <w:r>
        <w:t>w</w:t>
      </w:r>
      <w:r w:rsidR="00A32059" w:rsidRPr="00A32059">
        <w:t>hether entities bound by the code are clearly identified</w:t>
      </w:r>
    </w:p>
    <w:p w:rsidR="00A32059" w:rsidRDefault="002C7066" w:rsidP="00A32059">
      <w:pPr>
        <w:pStyle w:val="ListParagraph"/>
        <w:numPr>
          <w:ilvl w:val="0"/>
          <w:numId w:val="22"/>
        </w:numPr>
        <w:tabs>
          <w:tab w:val="clear" w:pos="567"/>
        </w:tabs>
        <w:ind w:left="714" w:hanging="357"/>
        <w:contextualSpacing w:val="0"/>
      </w:pPr>
      <w:r>
        <w:t>whether there are s</w:t>
      </w:r>
      <w:r w:rsidR="00A32059">
        <w:t>tandardised internal privacy complaint handling procedures</w:t>
      </w:r>
    </w:p>
    <w:p w:rsidR="00A32059" w:rsidRDefault="002C7066" w:rsidP="00A32059">
      <w:pPr>
        <w:pStyle w:val="ListParagraph"/>
        <w:numPr>
          <w:ilvl w:val="0"/>
          <w:numId w:val="22"/>
        </w:numPr>
        <w:tabs>
          <w:tab w:val="clear" w:pos="567"/>
        </w:tabs>
        <w:ind w:left="714" w:hanging="357"/>
        <w:contextualSpacing w:val="0"/>
      </w:pPr>
      <w:r>
        <w:t>w</w:t>
      </w:r>
      <w:r w:rsidR="00A32059">
        <w:t xml:space="preserve">hether there was initial notification of, and updates on, the code’s development </w:t>
      </w:r>
    </w:p>
    <w:p w:rsidR="00A32059" w:rsidRDefault="002C7066" w:rsidP="00A32059">
      <w:pPr>
        <w:pStyle w:val="ListParagraph"/>
        <w:numPr>
          <w:ilvl w:val="0"/>
          <w:numId w:val="22"/>
        </w:numPr>
        <w:tabs>
          <w:tab w:val="clear" w:pos="567"/>
        </w:tabs>
        <w:ind w:left="714" w:hanging="357"/>
        <w:contextualSpacing w:val="0"/>
      </w:pPr>
      <w:r>
        <w:t>w</w:t>
      </w:r>
      <w:r w:rsidR="00A32059">
        <w:t xml:space="preserve">hether a code developer satisfied the public consultation requirements and considered views of stakeholders obtained during the consultation </w:t>
      </w:r>
      <w:r w:rsidR="0007193D">
        <w:t>(set out in more detail below)</w:t>
      </w:r>
    </w:p>
    <w:p w:rsidR="00A32059" w:rsidRDefault="002C7066" w:rsidP="00A32059">
      <w:pPr>
        <w:pStyle w:val="ListParagraph"/>
        <w:numPr>
          <w:ilvl w:val="0"/>
          <w:numId w:val="22"/>
        </w:numPr>
        <w:tabs>
          <w:tab w:val="clear" w:pos="567"/>
        </w:tabs>
        <w:ind w:left="714" w:hanging="357"/>
        <w:contextualSpacing w:val="0"/>
      </w:pPr>
      <w:r>
        <w:t>w</w:t>
      </w:r>
      <w:r w:rsidR="00A32059">
        <w:t>hether the code meets the drafting style requirements</w:t>
      </w:r>
    </w:p>
    <w:p w:rsidR="00A32059" w:rsidRDefault="002C7066" w:rsidP="00A32059">
      <w:pPr>
        <w:pStyle w:val="ListParagraph"/>
        <w:numPr>
          <w:ilvl w:val="0"/>
          <w:numId w:val="22"/>
        </w:numPr>
        <w:tabs>
          <w:tab w:val="clear" w:pos="567"/>
        </w:tabs>
        <w:ind w:left="714" w:hanging="357"/>
        <w:contextualSpacing w:val="0"/>
      </w:pPr>
      <w:r>
        <w:t>w</w:t>
      </w:r>
      <w:r w:rsidR="00A32059">
        <w:t>hether the openness and transparency matters have been addressed</w:t>
      </w:r>
      <w:r>
        <w:t>, and</w:t>
      </w:r>
      <w:r w:rsidR="00A32059">
        <w:t xml:space="preserve"> </w:t>
      </w:r>
    </w:p>
    <w:p w:rsidR="00A32059" w:rsidRDefault="002C7066" w:rsidP="00A32059">
      <w:pPr>
        <w:pStyle w:val="ListParagraph"/>
        <w:numPr>
          <w:ilvl w:val="0"/>
          <w:numId w:val="22"/>
        </w:numPr>
        <w:tabs>
          <w:tab w:val="clear" w:pos="567"/>
        </w:tabs>
        <w:ind w:left="714" w:hanging="357"/>
        <w:contextualSpacing w:val="0"/>
      </w:pPr>
      <w:proofErr w:type="gramStart"/>
      <w:r>
        <w:lastRenderedPageBreak/>
        <w:t>a</w:t>
      </w:r>
      <w:r w:rsidR="00A32059">
        <w:t>ny</w:t>
      </w:r>
      <w:proofErr w:type="gramEnd"/>
      <w:r w:rsidR="00A32059">
        <w:t xml:space="preserve"> matters raised by any person whom the Information </w:t>
      </w:r>
      <w:r w:rsidR="00A32059" w:rsidRPr="00D70F2C">
        <w:t>Commissioner consults</w:t>
      </w:r>
      <w:r w:rsidR="00D70F2C" w:rsidRPr="00D70F2C">
        <w:t>.</w:t>
      </w:r>
    </w:p>
    <w:p w:rsidR="002C7066" w:rsidRPr="00047B8C" w:rsidRDefault="002C7066" w:rsidP="002C7066">
      <w:r>
        <w:t xml:space="preserve">The Information Commissioner is satisfied that the CR code adequately addresses those criteria. </w:t>
      </w:r>
    </w:p>
    <w:p w:rsidR="00CB6868" w:rsidRPr="00C97F99" w:rsidRDefault="00CB6868" w:rsidP="00CB6868">
      <w:pPr>
        <w:pStyle w:val="Heading2"/>
      </w:pPr>
      <w:r w:rsidRPr="00C97F99">
        <w:t>Consultation</w:t>
      </w:r>
    </w:p>
    <w:p w:rsidR="00CB6868" w:rsidRPr="000E7DCD" w:rsidRDefault="002E49D5" w:rsidP="00CB6868">
      <w:pPr>
        <w:rPr>
          <w:highlight w:val="yellow"/>
        </w:rPr>
      </w:pPr>
      <w:r w:rsidRPr="00685826">
        <w:t>Consistent with the requirements of</w:t>
      </w:r>
      <w:r w:rsidR="00685826" w:rsidRPr="00685826">
        <w:t xml:space="preserve"> s 17 of</w:t>
      </w:r>
      <w:r w:rsidRPr="00685826">
        <w:t xml:space="preserve"> the Legislative Instruments Act</w:t>
      </w:r>
      <w:r w:rsidR="00315CD3" w:rsidRPr="00685826">
        <w:t xml:space="preserve">, </w:t>
      </w:r>
      <w:r w:rsidR="00CD68D3" w:rsidRPr="00685826">
        <w:t xml:space="preserve">the Information Commissioner </w:t>
      </w:r>
      <w:r w:rsidR="00685826" w:rsidRPr="00685826">
        <w:t>has given consideration to the consultation process undertaken</w:t>
      </w:r>
      <w:r w:rsidR="00685826">
        <w:t xml:space="preserve"> by ARCA as </w:t>
      </w:r>
      <w:r w:rsidR="00685826" w:rsidRPr="00685826">
        <w:t>code developer</w:t>
      </w:r>
      <w:r w:rsidR="002C7066">
        <w:t>.</w:t>
      </w:r>
    </w:p>
    <w:p w:rsidR="000E7DCD" w:rsidRPr="000561AD" w:rsidRDefault="000E7DCD" w:rsidP="000E7DCD">
      <w:pPr>
        <w:rPr>
          <w:rFonts w:eastAsia="Times New Roman" w:cs="Times New Roman"/>
          <w:lang w:eastAsia="en-AU"/>
        </w:rPr>
      </w:pPr>
      <w:r w:rsidRPr="000561AD">
        <w:rPr>
          <w:rFonts w:eastAsia="Times New Roman" w:cs="Times New Roman"/>
          <w:lang w:eastAsia="en-AU"/>
        </w:rPr>
        <w:t>Section 26Q of the Privacy Act requires that before a CR code developer makes an application to register a CR code, it must:</w:t>
      </w:r>
    </w:p>
    <w:p w:rsidR="000E7DCD" w:rsidRPr="000561AD" w:rsidRDefault="000E7DCD" w:rsidP="007F28C8">
      <w:pPr>
        <w:pStyle w:val="ListParagraph"/>
        <w:numPr>
          <w:ilvl w:val="0"/>
          <w:numId w:val="21"/>
        </w:numPr>
        <w:tabs>
          <w:tab w:val="clear" w:pos="567"/>
        </w:tabs>
        <w:ind w:left="714" w:hanging="357"/>
        <w:contextualSpacing w:val="0"/>
        <w:rPr>
          <w:rFonts w:eastAsia="Times New Roman" w:cs="Times New Roman"/>
          <w:lang w:eastAsia="en-AU"/>
        </w:rPr>
      </w:pPr>
      <w:r w:rsidRPr="000561AD">
        <w:rPr>
          <w:rFonts w:eastAsia="Times New Roman" w:cs="Times New Roman"/>
          <w:lang w:eastAsia="en-AU"/>
        </w:rPr>
        <w:t>make a draft of the CR code publicly available</w:t>
      </w:r>
    </w:p>
    <w:p w:rsidR="000E7DCD" w:rsidRPr="000561AD" w:rsidRDefault="000E7DCD" w:rsidP="007F28C8">
      <w:pPr>
        <w:pStyle w:val="ListParagraph"/>
        <w:numPr>
          <w:ilvl w:val="0"/>
          <w:numId w:val="21"/>
        </w:numPr>
        <w:tabs>
          <w:tab w:val="clear" w:pos="567"/>
        </w:tabs>
        <w:ind w:left="714" w:hanging="357"/>
        <w:contextualSpacing w:val="0"/>
        <w:rPr>
          <w:rFonts w:eastAsia="Times New Roman" w:cs="Times New Roman"/>
          <w:lang w:eastAsia="en-AU"/>
        </w:rPr>
      </w:pPr>
      <w:r w:rsidRPr="000561AD">
        <w:rPr>
          <w:rFonts w:eastAsia="Times New Roman" w:cs="Times New Roman"/>
          <w:lang w:eastAsia="en-AU"/>
        </w:rPr>
        <w:t>invite the public to make submissions to the developer about the draft within a specified period (which must run for at least 28 days), and</w:t>
      </w:r>
    </w:p>
    <w:p w:rsidR="000E7DCD" w:rsidRPr="000561AD" w:rsidRDefault="000E7DCD" w:rsidP="007F28C8">
      <w:pPr>
        <w:pStyle w:val="ListParagraph"/>
        <w:numPr>
          <w:ilvl w:val="0"/>
          <w:numId w:val="21"/>
        </w:numPr>
        <w:tabs>
          <w:tab w:val="clear" w:pos="567"/>
        </w:tabs>
        <w:ind w:left="714" w:hanging="357"/>
        <w:contextualSpacing w:val="0"/>
        <w:rPr>
          <w:rFonts w:eastAsia="Times New Roman" w:cs="Times New Roman"/>
          <w:lang w:eastAsia="en-AU"/>
        </w:rPr>
      </w:pPr>
      <w:proofErr w:type="gramStart"/>
      <w:r w:rsidRPr="000561AD">
        <w:rPr>
          <w:rFonts w:eastAsia="Times New Roman" w:cs="Times New Roman"/>
          <w:lang w:eastAsia="en-AU"/>
        </w:rPr>
        <w:t>give</w:t>
      </w:r>
      <w:proofErr w:type="gramEnd"/>
      <w:r w:rsidRPr="000561AD">
        <w:rPr>
          <w:rFonts w:eastAsia="Times New Roman" w:cs="Times New Roman"/>
          <w:lang w:eastAsia="en-AU"/>
        </w:rPr>
        <w:t xml:space="preserve"> consideration to any submissions made within the specified period.</w:t>
      </w:r>
    </w:p>
    <w:p w:rsidR="000E7DCD" w:rsidRPr="00D70F2C" w:rsidRDefault="000E7DCD" w:rsidP="000E7DCD">
      <w:pPr>
        <w:rPr>
          <w:rFonts w:eastAsia="Times New Roman" w:cs="Times New Roman"/>
          <w:lang w:eastAsia="en-AU"/>
        </w:rPr>
      </w:pPr>
      <w:r w:rsidRPr="000561AD">
        <w:rPr>
          <w:rFonts w:eastAsia="Times New Roman" w:cs="Times New Roman"/>
          <w:lang w:eastAsia="en-AU"/>
        </w:rPr>
        <w:t xml:space="preserve">On 5 April </w:t>
      </w:r>
      <w:r w:rsidR="002E6D84">
        <w:rPr>
          <w:rFonts w:eastAsia="Times New Roman" w:cs="Times New Roman"/>
          <w:lang w:eastAsia="en-AU"/>
        </w:rPr>
        <w:t xml:space="preserve">2013 </w:t>
      </w:r>
      <w:r w:rsidRPr="000561AD">
        <w:rPr>
          <w:rFonts w:eastAsia="Times New Roman" w:cs="Times New Roman"/>
          <w:lang w:eastAsia="en-AU"/>
        </w:rPr>
        <w:t xml:space="preserve">ARCA released a draft of the CR code for public consultation. That consultation ran for a period of 31 days, thereby satisfying the requirement in s26Q that the consultation run for a </w:t>
      </w:r>
      <w:r w:rsidRPr="00D70F2C">
        <w:rPr>
          <w:rFonts w:eastAsia="Times New Roman" w:cs="Times New Roman"/>
          <w:lang w:eastAsia="en-AU"/>
        </w:rPr>
        <w:t>period of at least 28 days.</w:t>
      </w:r>
    </w:p>
    <w:p w:rsidR="000E7DCD" w:rsidRPr="000561AD" w:rsidRDefault="000E7DCD" w:rsidP="000E7DCD">
      <w:pPr>
        <w:rPr>
          <w:rFonts w:eastAsia="Times New Roman" w:cs="Times New Roman"/>
          <w:lang w:eastAsia="en-AU"/>
        </w:rPr>
      </w:pPr>
      <w:r w:rsidRPr="00796BF8">
        <w:rPr>
          <w:rFonts w:eastAsia="Times New Roman" w:cs="Times New Roman"/>
          <w:lang w:eastAsia="en-AU"/>
        </w:rPr>
        <w:t xml:space="preserve">Since that public consultation process, ARCA </w:t>
      </w:r>
      <w:r w:rsidRPr="00D70F2C">
        <w:rPr>
          <w:rFonts w:eastAsia="Times New Roman" w:cs="Times New Roman"/>
          <w:lang w:eastAsia="en-AU"/>
        </w:rPr>
        <w:t>engage</w:t>
      </w:r>
      <w:r w:rsidR="00D70F2C" w:rsidRPr="00D70F2C">
        <w:rPr>
          <w:rFonts w:eastAsia="Times New Roman" w:cs="Times New Roman"/>
          <w:lang w:eastAsia="en-AU"/>
        </w:rPr>
        <w:t>d</w:t>
      </w:r>
      <w:r w:rsidRPr="00D70F2C">
        <w:rPr>
          <w:rFonts w:eastAsia="Times New Roman" w:cs="Times New Roman"/>
          <w:lang w:eastAsia="en-AU"/>
        </w:rPr>
        <w:t xml:space="preserve"> closely with</w:t>
      </w:r>
      <w:r w:rsidRPr="00796BF8">
        <w:rPr>
          <w:rFonts w:eastAsia="Times New Roman" w:cs="Times New Roman"/>
          <w:lang w:eastAsia="en-AU"/>
        </w:rPr>
        <w:t xml:space="preserve"> ARCA members and with consumer advocates in relation to the </w:t>
      </w:r>
      <w:r w:rsidR="002C7066" w:rsidRPr="00796BF8">
        <w:rPr>
          <w:rFonts w:eastAsia="Times New Roman" w:cs="Times New Roman"/>
          <w:lang w:eastAsia="en-AU"/>
        </w:rPr>
        <w:t>CR code submitted to the Information Commissioner for</w:t>
      </w:r>
      <w:r w:rsidR="002C7066">
        <w:rPr>
          <w:rFonts w:eastAsia="Times New Roman" w:cs="Times New Roman"/>
          <w:lang w:eastAsia="en-AU"/>
        </w:rPr>
        <w:t xml:space="preserve"> registration on 19 December 2013. </w:t>
      </w:r>
      <w:r w:rsidRPr="000561AD">
        <w:rPr>
          <w:rFonts w:eastAsia="Times New Roman" w:cs="Times New Roman"/>
          <w:lang w:eastAsia="en-AU"/>
        </w:rPr>
        <w:t xml:space="preserve"> </w:t>
      </w:r>
    </w:p>
    <w:p w:rsidR="00410BAE" w:rsidRDefault="002C7066" w:rsidP="00410BAE">
      <w:pPr>
        <w:rPr>
          <w:rFonts w:eastAsia="Times New Roman" w:cs="Times New Roman"/>
          <w:lang w:eastAsia="en-AU"/>
        </w:rPr>
      </w:pPr>
      <w:r w:rsidRPr="00C811E7">
        <w:rPr>
          <w:rFonts w:eastAsia="Times New Roman" w:cs="Times New Roman"/>
          <w:lang w:eastAsia="en-AU"/>
        </w:rPr>
        <w:t xml:space="preserve">The Information Commissioner was advised that </w:t>
      </w:r>
      <w:r w:rsidR="000E7DCD" w:rsidRPr="00C811E7">
        <w:rPr>
          <w:rFonts w:eastAsia="Times New Roman" w:cs="Times New Roman"/>
          <w:lang w:eastAsia="en-AU"/>
        </w:rPr>
        <w:t xml:space="preserve">ARCA is the industry association for a </w:t>
      </w:r>
      <w:r w:rsidR="000561AD" w:rsidRPr="00C811E7">
        <w:rPr>
          <w:rFonts w:eastAsia="Times New Roman" w:cs="Times New Roman"/>
          <w:lang w:eastAsia="en-AU"/>
        </w:rPr>
        <w:t>majority</w:t>
      </w:r>
      <w:r w:rsidR="000E7DCD" w:rsidRPr="00C811E7">
        <w:rPr>
          <w:rFonts w:eastAsia="Times New Roman" w:cs="Times New Roman"/>
          <w:lang w:eastAsia="en-AU"/>
        </w:rPr>
        <w:t xml:space="preserve"> of the organisations that participate most in the Australia credit reporting system. </w:t>
      </w:r>
      <w:r w:rsidRPr="00C811E7">
        <w:rPr>
          <w:rFonts w:eastAsia="Times New Roman" w:cs="Times New Roman"/>
          <w:lang w:eastAsia="en-AU"/>
        </w:rPr>
        <w:t>Further,</w:t>
      </w:r>
      <w:r w:rsidR="000561AD" w:rsidRPr="00C811E7">
        <w:rPr>
          <w:rFonts w:eastAsia="Times New Roman" w:cs="Times New Roman"/>
          <w:lang w:eastAsia="en-AU"/>
        </w:rPr>
        <w:t xml:space="preserve"> that</w:t>
      </w:r>
      <w:r w:rsidR="000E7DCD" w:rsidRPr="00C811E7">
        <w:rPr>
          <w:rFonts w:eastAsia="Times New Roman" w:cs="Times New Roman"/>
          <w:lang w:eastAsia="en-AU"/>
        </w:rPr>
        <w:t xml:space="preserve"> ARCA membership includes th</w:t>
      </w:r>
      <w:r w:rsidR="000561AD" w:rsidRPr="00C811E7">
        <w:rPr>
          <w:rFonts w:eastAsia="Times New Roman" w:cs="Times New Roman"/>
          <w:lang w:eastAsia="en-AU"/>
        </w:rPr>
        <w:t xml:space="preserve">e three major Australian </w:t>
      </w:r>
      <w:r w:rsidR="00E26267" w:rsidRPr="00C811E7">
        <w:rPr>
          <w:rFonts w:eastAsia="Times New Roman" w:cs="Times New Roman"/>
          <w:lang w:eastAsia="en-AU"/>
        </w:rPr>
        <w:t>credit reporting bodie</w:t>
      </w:r>
      <w:r w:rsidR="000561AD" w:rsidRPr="00C811E7">
        <w:rPr>
          <w:rFonts w:eastAsia="Times New Roman" w:cs="Times New Roman"/>
          <w:lang w:eastAsia="en-AU"/>
        </w:rPr>
        <w:t>s (</w:t>
      </w:r>
      <w:r w:rsidR="000E7DCD" w:rsidRPr="00C811E7">
        <w:rPr>
          <w:rFonts w:eastAsia="Times New Roman" w:cs="Times New Roman"/>
          <w:lang w:eastAsia="en-AU"/>
        </w:rPr>
        <w:t>Veda, D</w:t>
      </w:r>
      <w:r w:rsidR="000561AD" w:rsidRPr="00C811E7">
        <w:rPr>
          <w:rFonts w:eastAsia="Times New Roman" w:cs="Times New Roman"/>
          <w:lang w:eastAsia="en-AU"/>
        </w:rPr>
        <w:t>unn &amp; Bradstreet</w:t>
      </w:r>
      <w:r w:rsidR="000E7DCD" w:rsidRPr="00C811E7">
        <w:rPr>
          <w:rFonts w:eastAsia="Times New Roman" w:cs="Times New Roman"/>
          <w:lang w:eastAsia="en-AU"/>
        </w:rPr>
        <w:t xml:space="preserve"> and Experian Australia) and all of the major credit providers. Further, that ARCA’s membership represents around 80 per cent, by volume</w:t>
      </w:r>
      <w:r w:rsidR="000E7DCD" w:rsidRPr="000561AD">
        <w:rPr>
          <w:rFonts w:eastAsia="Times New Roman" w:cs="Times New Roman"/>
          <w:lang w:eastAsia="en-AU"/>
        </w:rPr>
        <w:t>, of the credit-related personal information held in the Australian credit reporting system. In addition</w:t>
      </w:r>
      <w:r w:rsidR="000561AD" w:rsidRPr="000561AD">
        <w:rPr>
          <w:rFonts w:eastAsia="Times New Roman" w:cs="Times New Roman"/>
          <w:lang w:eastAsia="en-AU"/>
        </w:rPr>
        <w:t>,</w:t>
      </w:r>
      <w:r w:rsidR="000E7DCD" w:rsidRPr="000561AD">
        <w:rPr>
          <w:rFonts w:eastAsia="Times New Roman" w:cs="Times New Roman"/>
          <w:lang w:eastAsia="en-AU"/>
        </w:rPr>
        <w:t xml:space="preserve"> the information </w:t>
      </w:r>
      <w:r w:rsidR="000561AD" w:rsidRPr="000561AD">
        <w:rPr>
          <w:rFonts w:eastAsia="Times New Roman" w:cs="Times New Roman"/>
          <w:lang w:eastAsia="en-AU"/>
        </w:rPr>
        <w:t>provided by ARCA about its consultation process</w:t>
      </w:r>
      <w:r w:rsidR="000E7DCD" w:rsidRPr="000561AD">
        <w:rPr>
          <w:rFonts w:eastAsia="Times New Roman" w:cs="Times New Roman"/>
          <w:lang w:eastAsia="en-AU"/>
        </w:rPr>
        <w:t xml:space="preserve"> shows that all those entities that will be bound by the CR code have either been involved in the development process</w:t>
      </w:r>
      <w:r>
        <w:rPr>
          <w:rFonts w:eastAsia="Times New Roman" w:cs="Times New Roman"/>
          <w:lang w:eastAsia="en-AU"/>
        </w:rPr>
        <w:t>,</w:t>
      </w:r>
      <w:r w:rsidR="000E7DCD" w:rsidRPr="000561AD">
        <w:rPr>
          <w:rFonts w:eastAsia="Times New Roman" w:cs="Times New Roman"/>
          <w:lang w:eastAsia="en-AU"/>
        </w:rPr>
        <w:t xml:space="preserve"> or had the opp</w:t>
      </w:r>
      <w:r w:rsidR="007F28C8" w:rsidRPr="000561AD">
        <w:rPr>
          <w:rFonts w:eastAsia="Times New Roman" w:cs="Times New Roman"/>
          <w:lang w:eastAsia="en-AU"/>
        </w:rPr>
        <w:t xml:space="preserve">ortunity to provide comments.  </w:t>
      </w:r>
    </w:p>
    <w:p w:rsidR="002C7066" w:rsidRPr="000561AD" w:rsidRDefault="002C7066" w:rsidP="00410BAE">
      <w:pPr>
        <w:rPr>
          <w:rFonts w:eastAsia="Times New Roman" w:cs="Times New Roman"/>
          <w:lang w:eastAsia="en-AU"/>
        </w:rPr>
      </w:pPr>
      <w:r>
        <w:t xml:space="preserve">The Information Commissioner is satisfied, for the reasons set out above, that the consultation process undertaken by ARCA was </w:t>
      </w:r>
      <w:r w:rsidRPr="00685826">
        <w:t>appropriate</w:t>
      </w:r>
      <w:r>
        <w:t>.</w:t>
      </w:r>
    </w:p>
    <w:p w:rsidR="001C5BD2" w:rsidRDefault="001C5BD2">
      <w:pPr>
        <w:spacing w:after="200" w:line="24" w:lineRule="auto"/>
        <w:rPr>
          <w:rFonts w:eastAsiaTheme="majorEastAsia" w:cstheme="majorBidi"/>
          <w:b/>
          <w:bCs/>
          <w:sz w:val="28"/>
          <w:szCs w:val="26"/>
        </w:rPr>
      </w:pPr>
      <w:r>
        <w:br w:type="page"/>
      </w:r>
    </w:p>
    <w:p w:rsidR="001C5BD2" w:rsidRPr="001C5BD2" w:rsidRDefault="00C204DA" w:rsidP="001C5BD2">
      <w:pPr>
        <w:pStyle w:val="Heading1"/>
      </w:pPr>
      <w:r w:rsidRPr="001C5BD2">
        <w:lastRenderedPageBreak/>
        <w:t xml:space="preserve">Statement of compatibility </w:t>
      </w:r>
      <w:r w:rsidR="00911215" w:rsidRPr="001C5BD2">
        <w:t>with human rights</w:t>
      </w:r>
    </w:p>
    <w:p w:rsidR="00C204DA" w:rsidRPr="001C5BD2" w:rsidRDefault="001C5BD2" w:rsidP="001C5BD2">
      <w:pPr>
        <w:pStyle w:val="Heading4"/>
      </w:pPr>
      <w:r w:rsidRPr="001C5BD2">
        <w:t>P</w:t>
      </w:r>
      <w:r w:rsidR="00911215" w:rsidRPr="001C5BD2">
        <w:t>repared in accordance with Part 3 of the Human Rights (Parliamentary Scrutiny) Act 2011</w:t>
      </w:r>
    </w:p>
    <w:p w:rsidR="001C5BD2" w:rsidRDefault="001C5BD2" w:rsidP="001C5BD2">
      <w:pPr>
        <w:pStyle w:val="Heading2"/>
      </w:pPr>
      <w:r>
        <w:t>CR code</w:t>
      </w:r>
    </w:p>
    <w:p w:rsidR="001C5BD2" w:rsidRDefault="00686F17" w:rsidP="001C5BD2">
      <w:r>
        <w:t>The</w:t>
      </w:r>
      <w:r w:rsidR="001C5BD2">
        <w:t xml:space="preserve"> </w:t>
      </w:r>
      <w:r w:rsidR="00EC53BE">
        <w:t>Credit Reporting Privacy Code (</w:t>
      </w:r>
      <w:r w:rsidR="001C5BD2">
        <w:t>CR code</w:t>
      </w:r>
      <w:r w:rsidR="00EC53BE">
        <w:t>)</w:t>
      </w:r>
      <w:r>
        <w:t xml:space="preserve"> </w:t>
      </w:r>
      <w:r w:rsidRPr="00C811E7">
        <w:t>submitted by the Australian Retail Credit Association to the</w:t>
      </w:r>
      <w:r>
        <w:t xml:space="preserve"> Information Co</w:t>
      </w:r>
      <w:r w:rsidR="00C217F1">
        <w:t>mmissioner for registration on 19</w:t>
      </w:r>
      <w:r>
        <w:t xml:space="preserve"> December 201</w:t>
      </w:r>
      <w:r w:rsidR="00C217F1">
        <w:t>3</w:t>
      </w:r>
      <w:r>
        <w:t xml:space="preserve"> (hereinafter referred to as the CR code) </w:t>
      </w:r>
      <w:r w:rsidR="001C5BD2">
        <w:t>is compatible with the human rights and freedoms recognised or declared in the internation</w:t>
      </w:r>
      <w:r w:rsidR="00820912">
        <w:t>al instruments listed in s </w:t>
      </w:r>
      <w:r w:rsidR="001C5BD2">
        <w:t xml:space="preserve">3 of the </w:t>
      </w:r>
      <w:r w:rsidR="001C5BD2" w:rsidRPr="001C5BD2">
        <w:rPr>
          <w:i/>
        </w:rPr>
        <w:t>Human Righ</w:t>
      </w:r>
      <w:r w:rsidR="00820912">
        <w:rPr>
          <w:i/>
        </w:rPr>
        <w:t>ts (Parliamentary Scrutiny) Act </w:t>
      </w:r>
      <w:r w:rsidR="001C5BD2" w:rsidRPr="001C5BD2">
        <w:rPr>
          <w:i/>
        </w:rPr>
        <w:t>2011</w:t>
      </w:r>
      <w:r w:rsidR="001C5BD2">
        <w:t>.</w:t>
      </w:r>
    </w:p>
    <w:p w:rsidR="001C5BD2" w:rsidRDefault="001C5BD2" w:rsidP="001C5BD2">
      <w:pPr>
        <w:pStyle w:val="Heading2"/>
      </w:pPr>
      <w:r>
        <w:t>Operation</w:t>
      </w:r>
    </w:p>
    <w:p w:rsidR="001C5BD2" w:rsidRDefault="001C5BD2" w:rsidP="001C5BD2">
      <w:r>
        <w:t xml:space="preserve">The CR code is a </w:t>
      </w:r>
      <w:r w:rsidR="00820912">
        <w:t xml:space="preserve">binding </w:t>
      </w:r>
      <w:r>
        <w:t xml:space="preserve">written code of practice about credit reporting. The purpose of the </w:t>
      </w:r>
      <w:r w:rsidRPr="00C811E7">
        <w:t xml:space="preserve">CR code is to supplement the provisions of Part IIIA of the </w:t>
      </w:r>
      <w:r w:rsidRPr="00C811E7">
        <w:rPr>
          <w:i/>
        </w:rPr>
        <w:t>Privacy Act 1988</w:t>
      </w:r>
      <w:r w:rsidRPr="00C811E7">
        <w:t xml:space="preserve">, as amended by the </w:t>
      </w:r>
      <w:r w:rsidRPr="00C811E7">
        <w:rPr>
          <w:i/>
        </w:rPr>
        <w:t>Privacy Amendment (Enhancing Privacy Protection) Act 2012</w:t>
      </w:r>
      <w:r w:rsidR="00686F17" w:rsidRPr="00C811E7">
        <w:t xml:space="preserve"> (the amended Privacy Act)</w:t>
      </w:r>
      <w:r w:rsidRPr="00C811E7">
        <w:t xml:space="preserve">, and the </w:t>
      </w:r>
      <w:r w:rsidR="00516541" w:rsidRPr="00C811E7">
        <w:rPr>
          <w:i/>
        </w:rPr>
        <w:t>Privacy Regulation</w:t>
      </w:r>
      <w:r w:rsidRPr="00C811E7">
        <w:rPr>
          <w:i/>
        </w:rPr>
        <w:t xml:space="preserve"> 201</w:t>
      </w:r>
      <w:r w:rsidR="00C217F1" w:rsidRPr="00C811E7">
        <w:rPr>
          <w:i/>
        </w:rPr>
        <w:t>3</w:t>
      </w:r>
      <w:r w:rsidRPr="00C811E7">
        <w:t>.</w:t>
      </w:r>
      <w:r>
        <w:t xml:space="preserve"> </w:t>
      </w:r>
    </w:p>
    <w:p w:rsidR="00820912" w:rsidRDefault="00820912" w:rsidP="001C5BD2">
      <w:r>
        <w:t>The CR code will</w:t>
      </w:r>
      <w:r w:rsidR="00C41D87">
        <w:t>, on commencement,</w:t>
      </w:r>
      <w:r>
        <w:t xml:space="preserve"> replace the current </w:t>
      </w:r>
      <w:r w:rsidRPr="00820912">
        <w:rPr>
          <w:i/>
        </w:rPr>
        <w:t>Credit Reporting Code of Conduct</w:t>
      </w:r>
      <w:r>
        <w:t xml:space="preserve">, issued under s 18A of the </w:t>
      </w:r>
      <w:r w:rsidRPr="00820912">
        <w:rPr>
          <w:i/>
        </w:rPr>
        <w:t>Privacy Act 1988</w:t>
      </w:r>
      <w:r>
        <w:t xml:space="preserve"> before </w:t>
      </w:r>
      <w:r w:rsidRPr="00D70F2C">
        <w:t xml:space="preserve">it was </w:t>
      </w:r>
      <w:r w:rsidRPr="00C811E7">
        <w:t>amend</w:t>
      </w:r>
      <w:r w:rsidR="00D70F2C" w:rsidRPr="00C811E7">
        <w:t>ed</w:t>
      </w:r>
      <w:r w:rsidRPr="00C811E7">
        <w:t>.</w:t>
      </w:r>
    </w:p>
    <w:p w:rsidR="001C5BD2" w:rsidRDefault="001C5BD2" w:rsidP="001C5BD2">
      <w:pPr>
        <w:pStyle w:val="Heading2"/>
      </w:pPr>
      <w:r>
        <w:t>Human rights implications</w:t>
      </w:r>
    </w:p>
    <w:p w:rsidR="00E47822" w:rsidRDefault="00EC53BE" w:rsidP="00820912">
      <w:r>
        <w:t xml:space="preserve">The </w:t>
      </w:r>
      <w:r w:rsidR="001C5BD2">
        <w:t xml:space="preserve">CR code </w:t>
      </w:r>
      <w:r w:rsidR="00E47822">
        <w:t xml:space="preserve">has implications for the </w:t>
      </w:r>
      <w:r w:rsidR="00820912">
        <w:t>pro</w:t>
      </w:r>
      <w:r w:rsidR="00B5454F">
        <w:t>hibition</w:t>
      </w:r>
      <w:r w:rsidR="00820912">
        <w:t xml:space="preserve"> against arbitrary interference with privacy</w:t>
      </w:r>
      <w:r w:rsidR="00E47822">
        <w:t>.</w:t>
      </w:r>
    </w:p>
    <w:p w:rsidR="00820912" w:rsidRPr="00C811E7" w:rsidRDefault="00EC53BE" w:rsidP="00820912">
      <w:r w:rsidRPr="00820912">
        <w:t>Th</w:t>
      </w:r>
      <w:r>
        <w:t>e</w:t>
      </w:r>
      <w:r w:rsidRPr="00820912">
        <w:t xml:space="preserve"> </w:t>
      </w:r>
      <w:r w:rsidR="00820912" w:rsidRPr="00820912">
        <w:t xml:space="preserve">CR code engages Article 17 of the </w:t>
      </w:r>
      <w:r w:rsidR="00820912" w:rsidRPr="00820912">
        <w:rPr>
          <w:i/>
        </w:rPr>
        <w:t xml:space="preserve">International Covenant on Civil and Political Rights </w:t>
      </w:r>
      <w:r w:rsidR="000E2941">
        <w:t xml:space="preserve">(ICCPR). Article 17 </w:t>
      </w:r>
      <w:r w:rsidR="00820912" w:rsidRPr="00820912">
        <w:t xml:space="preserve">provides that no one shall be subjected to arbitrary or unlawful </w:t>
      </w:r>
      <w:r w:rsidR="00820912" w:rsidRPr="00C811E7">
        <w:t xml:space="preserve">interference with his or her privacy, family, home or correspondence, </w:t>
      </w:r>
      <w:proofErr w:type="gramStart"/>
      <w:r w:rsidR="00820912" w:rsidRPr="00C811E7">
        <w:t>nor</w:t>
      </w:r>
      <w:proofErr w:type="gramEnd"/>
      <w:r w:rsidR="00820912" w:rsidRPr="00C811E7">
        <w:t xml:space="preserve"> to unlawful attacks on his or her honour and reputation, and that everyone has the right to the protection of the law against such interference or attacks.  </w:t>
      </w:r>
    </w:p>
    <w:p w:rsidR="001D27AA" w:rsidRPr="00C811E7" w:rsidRDefault="00EC53BE" w:rsidP="00686F17">
      <w:r w:rsidRPr="00C811E7">
        <w:t>Th</w:t>
      </w:r>
      <w:r>
        <w:t>e</w:t>
      </w:r>
      <w:r w:rsidRPr="00C811E7">
        <w:t xml:space="preserve"> </w:t>
      </w:r>
      <w:r w:rsidR="00820912" w:rsidRPr="00C811E7">
        <w:t>CR code supplements the provisions of Part IIIA of the amended Privacy Act</w:t>
      </w:r>
      <w:r w:rsidR="00686F17" w:rsidRPr="00C811E7">
        <w:t xml:space="preserve"> (the new Part IIIA), which</w:t>
      </w:r>
      <w:r w:rsidR="00B2695D" w:rsidRPr="00C811E7">
        <w:t xml:space="preserve"> implements the Australian Law Reform Commission</w:t>
      </w:r>
      <w:r w:rsidR="00820912" w:rsidRPr="00C811E7">
        <w:t xml:space="preserve">’s </w:t>
      </w:r>
      <w:r>
        <w:t xml:space="preserve">(ALRC) </w:t>
      </w:r>
      <w:r w:rsidR="00820912" w:rsidRPr="00C811E7">
        <w:t>recommendations</w:t>
      </w:r>
      <w:r w:rsidR="001D27AA" w:rsidRPr="00C811E7">
        <w:t xml:space="preserve"> in its </w:t>
      </w:r>
      <w:hyperlink r:id="rId10" w:history="1">
        <w:r w:rsidR="001D27AA" w:rsidRPr="00C811E7">
          <w:rPr>
            <w:rStyle w:val="Hyperlink"/>
          </w:rPr>
          <w:t>Report 108</w:t>
        </w:r>
        <w:r w:rsidR="00820912" w:rsidRPr="00C811E7">
          <w:rPr>
            <w:rStyle w:val="Hyperlink"/>
          </w:rPr>
          <w:t xml:space="preserve"> </w:t>
        </w:r>
        <w:r w:rsidR="001D27AA" w:rsidRPr="00C811E7">
          <w:rPr>
            <w:rStyle w:val="Hyperlink"/>
            <w:lang w:val="en"/>
          </w:rPr>
          <w:t>For Your Information: Australian Privacy Law and Practice</w:t>
        </w:r>
      </w:hyperlink>
      <w:r w:rsidR="00C811E7" w:rsidRPr="00C811E7">
        <w:rPr>
          <w:lang w:val="en"/>
        </w:rPr>
        <w:t xml:space="preserve"> (ALRC Report</w:t>
      </w:r>
      <w:r w:rsidR="001D27AA" w:rsidRPr="00C811E7">
        <w:rPr>
          <w:lang w:val="en"/>
        </w:rPr>
        <w:t xml:space="preserve">) </w:t>
      </w:r>
      <w:r w:rsidR="00C904C4" w:rsidRPr="00C811E7">
        <w:t>and the subsequent commitment</w:t>
      </w:r>
      <w:r w:rsidR="001D27AA" w:rsidRPr="00C811E7">
        <w:t xml:space="preserve"> by the Australian Government (in its </w:t>
      </w:r>
      <w:hyperlink r:id="rId11" w:history="1">
        <w:r w:rsidR="00C904C4" w:rsidRPr="00C811E7">
          <w:rPr>
            <w:rStyle w:val="Hyperlink"/>
          </w:rPr>
          <w:t xml:space="preserve">2009 </w:t>
        </w:r>
        <w:r w:rsidR="001D27AA" w:rsidRPr="00C811E7">
          <w:rPr>
            <w:rStyle w:val="Hyperlink"/>
          </w:rPr>
          <w:t>first stage response</w:t>
        </w:r>
      </w:hyperlink>
      <w:r w:rsidR="00C904C4" w:rsidRPr="00C811E7">
        <w:t xml:space="preserve"> </w:t>
      </w:r>
      <w:r w:rsidR="001D27AA" w:rsidRPr="00C811E7">
        <w:t xml:space="preserve">to the ALRC </w:t>
      </w:r>
      <w:r>
        <w:t>R</w:t>
      </w:r>
      <w:r w:rsidRPr="00C811E7">
        <w:t>eport</w:t>
      </w:r>
      <w:r w:rsidR="001D27AA" w:rsidRPr="00C811E7">
        <w:t xml:space="preserve">) </w:t>
      </w:r>
      <w:r w:rsidR="00820912" w:rsidRPr="00C811E7">
        <w:t xml:space="preserve">to move to a more comprehensive credit reporting system. </w:t>
      </w:r>
    </w:p>
    <w:p w:rsidR="00C62F25" w:rsidRDefault="00B2695D" w:rsidP="00686F17">
      <w:r w:rsidRPr="00C811E7">
        <w:t xml:space="preserve">The shift to more comprehensive credit reporting </w:t>
      </w:r>
      <w:r w:rsidR="001D27AA" w:rsidRPr="00C811E7">
        <w:t>is</w:t>
      </w:r>
      <w:r w:rsidRPr="00C811E7">
        <w:t xml:space="preserve"> intended to enable credit providers to make a more balanced and accurate assessment of an individual’s credit situation by permitting a limited number of new types of credit-related personal information to be held in the Australian credit reporting system. </w:t>
      </w:r>
      <w:r w:rsidR="00C62F25" w:rsidRPr="00C811E7">
        <w:t>The new Part IIIA also introduces enhanced privacy protections relating to notifications, data quality, access and corrections, and complaints. In doing so, the new Part IIIA recognises that it is important to achieve a balance between privacy protection</w:t>
      </w:r>
      <w:r w:rsidR="00C62F25" w:rsidRPr="00380BC2">
        <w:t xml:space="preserve"> and the efficient operation of the Australian credit reporting system.</w:t>
      </w:r>
    </w:p>
    <w:p w:rsidR="00820912" w:rsidRDefault="00686F17" w:rsidP="00820912">
      <w:r w:rsidRPr="00B2695D">
        <w:t xml:space="preserve">Accordingly, to the extent that the </w:t>
      </w:r>
      <w:r w:rsidR="00C62F25">
        <w:t xml:space="preserve">CR code supports the introduction of more comprehensive credit reporting under </w:t>
      </w:r>
      <w:r w:rsidRPr="00B2695D">
        <w:t>new Part IIIA</w:t>
      </w:r>
      <w:r w:rsidR="00C62F25">
        <w:t>, it will</w:t>
      </w:r>
      <w:r w:rsidRPr="00B2695D">
        <w:t xml:space="preserve"> </w:t>
      </w:r>
      <w:r w:rsidR="000E2941">
        <w:t>impact</w:t>
      </w:r>
      <w:r w:rsidR="00820912" w:rsidRPr="00B2695D">
        <w:t xml:space="preserve"> the prohibition</w:t>
      </w:r>
      <w:r w:rsidR="00C62F25">
        <w:t xml:space="preserve"> on </w:t>
      </w:r>
      <w:r w:rsidR="00C62F25">
        <w:lastRenderedPageBreak/>
        <w:t>arbitrary interference</w:t>
      </w:r>
      <w:r w:rsidR="00C324F5">
        <w:t xml:space="preserve"> with privacy</w:t>
      </w:r>
      <w:r w:rsidR="00C62F25">
        <w:t xml:space="preserve">. However, to </w:t>
      </w:r>
      <w:r w:rsidR="00380BC2">
        <w:t xml:space="preserve">the extent that the CR code supplements the privacy enhancing provisions of the new Part IIIA, it is consistent with the </w:t>
      </w:r>
      <w:r w:rsidR="00380BC2" w:rsidRPr="00B2695D">
        <w:t>prohibition on arbitrary interference with privacy</w:t>
      </w:r>
      <w:r w:rsidR="00380BC2">
        <w:t xml:space="preserve">. </w:t>
      </w:r>
    </w:p>
    <w:p w:rsidR="00C442DB" w:rsidRDefault="00380BC2" w:rsidP="00C442DB">
      <w:r>
        <w:t xml:space="preserve">Further, under </w:t>
      </w:r>
      <w:r w:rsidRPr="00380BC2">
        <w:t>s</w:t>
      </w:r>
      <w:r>
        <w:t xml:space="preserve"> 26N of the amended Privacy Act, </w:t>
      </w:r>
      <w:r w:rsidRPr="00380BC2">
        <w:t>the</w:t>
      </w:r>
      <w:r w:rsidR="00C442DB">
        <w:t xml:space="preserve"> CR code can impose</w:t>
      </w:r>
      <w:r>
        <w:t xml:space="preserve"> additional requirements provided that they are not contrary to, or inconsistent with the requirements of the new Part IIIA. </w:t>
      </w:r>
      <w:r w:rsidR="00B5454F">
        <w:t>As outlined in the Explanatory Statement, w</w:t>
      </w:r>
      <w:r>
        <w:t xml:space="preserve">hen </w:t>
      </w:r>
      <w:r w:rsidR="00C442DB">
        <w:t xml:space="preserve">making the decision </w:t>
      </w:r>
      <w:r>
        <w:t>to register the CR code under s 26S(1) of the amended Privacy Act, the Information Commissioner</w:t>
      </w:r>
      <w:r w:rsidR="00B5454F">
        <w:t xml:space="preserve"> was</w:t>
      </w:r>
      <w:r w:rsidR="00C442DB">
        <w:t xml:space="preserve"> satisfied that the provisions of the CR code are not contrary to, or inconsistent with, the requ</w:t>
      </w:r>
      <w:r w:rsidR="00B5454F">
        <w:t>irements of the new Part IIIA. I</w:t>
      </w:r>
      <w:r w:rsidR="00C442DB">
        <w:t xml:space="preserve">n reaching this conclusion, the Information Commissioner had regard to the objects of the Privacy Act, </w:t>
      </w:r>
      <w:r w:rsidR="00B5454F">
        <w:t xml:space="preserve">particularly </w:t>
      </w:r>
      <w:r w:rsidR="00C442DB">
        <w:t xml:space="preserve">the need to </w:t>
      </w:r>
      <w:r w:rsidR="00C442DB" w:rsidRPr="00DF713B">
        <w:t>facilitate an efficient credit reporting system while ensuring that the privacy of individuals is respected</w:t>
      </w:r>
      <w:r w:rsidR="00C442DB">
        <w:t xml:space="preserve">. Accordingly, the Information Commissioner </w:t>
      </w:r>
      <w:r w:rsidR="00B5454F">
        <w:t>is satisfied that the CR </w:t>
      </w:r>
      <w:r w:rsidR="00C442DB">
        <w:t xml:space="preserve">code </w:t>
      </w:r>
      <w:r w:rsidR="00C62F25">
        <w:t>achieves this balance whilst</w:t>
      </w:r>
      <w:r w:rsidR="00B5454F">
        <w:t xml:space="preserve"> </w:t>
      </w:r>
      <w:r w:rsidR="00C62F25">
        <w:t>not derogating</w:t>
      </w:r>
      <w:r w:rsidR="00C442DB">
        <w:t xml:space="preserve"> from </w:t>
      </w:r>
      <w:r w:rsidR="00C62F25">
        <w:t>the</w:t>
      </w:r>
      <w:r w:rsidR="00C442DB">
        <w:t xml:space="preserve"> </w:t>
      </w:r>
      <w:r w:rsidR="00C442DB" w:rsidRPr="00380BC2">
        <w:t>privacy protection</w:t>
      </w:r>
      <w:r w:rsidR="00C62F25">
        <w:t>s</w:t>
      </w:r>
      <w:r w:rsidR="00C442DB" w:rsidRPr="00380BC2">
        <w:t xml:space="preserve"> </w:t>
      </w:r>
      <w:r w:rsidR="00C62F25">
        <w:t>afforded</w:t>
      </w:r>
      <w:r w:rsidR="00C442DB">
        <w:t xml:space="preserve"> by the new Part IIIA. </w:t>
      </w:r>
    </w:p>
    <w:p w:rsidR="001C5BD2" w:rsidRDefault="001C5BD2" w:rsidP="00B5454F">
      <w:pPr>
        <w:pStyle w:val="Heading2"/>
      </w:pPr>
      <w:r>
        <w:t>Conclusion</w:t>
      </w:r>
    </w:p>
    <w:p w:rsidR="001614E3" w:rsidRDefault="00B5454F" w:rsidP="00B5454F">
      <w:pPr>
        <w:rPr>
          <w:highlight w:val="yellow"/>
        </w:rPr>
      </w:pPr>
      <w:r>
        <w:t>The CR code</w:t>
      </w:r>
      <w:r w:rsidR="001C5BD2">
        <w:t xml:space="preserve"> is compatible with human rights </w:t>
      </w:r>
      <w:r w:rsidRPr="00B5454F">
        <w:t>because</w:t>
      </w:r>
      <w:r>
        <w:t xml:space="preserve">, </w:t>
      </w:r>
      <w:r w:rsidR="00C62F25">
        <w:t>in line with</w:t>
      </w:r>
      <w:r>
        <w:t xml:space="preserve"> the new Part IIIA of the amended Privacy Act,</w:t>
      </w:r>
      <w:r w:rsidRPr="00B5454F">
        <w:t xml:space="preserve"> </w:t>
      </w:r>
      <w:r>
        <w:t xml:space="preserve">it ensures that any </w:t>
      </w:r>
      <w:r w:rsidRPr="00B5454F">
        <w:t>limitations</w:t>
      </w:r>
      <w:r w:rsidR="00DA45B9">
        <w:t xml:space="preserve"> on the prohibition against arbitrary interference with privacy</w:t>
      </w:r>
      <w:r w:rsidRPr="00B5454F">
        <w:t xml:space="preserve"> are reasonable</w:t>
      </w:r>
      <w:r w:rsidR="00DA45B9">
        <w:t>, necessary</w:t>
      </w:r>
      <w:r w:rsidRPr="00B5454F">
        <w:t xml:space="preserve"> and proportionate</w:t>
      </w:r>
      <w:r w:rsidR="00DA45B9">
        <w:t xml:space="preserve">. </w:t>
      </w:r>
      <w:r w:rsidRPr="00380BC2">
        <w:t xml:space="preserve"> </w:t>
      </w:r>
    </w:p>
    <w:p w:rsidR="001C5BD2" w:rsidRPr="0007193D" w:rsidRDefault="001C5BD2" w:rsidP="0007193D">
      <w:pPr>
        <w:spacing w:after="200" w:line="24" w:lineRule="auto"/>
        <w:rPr>
          <w:highlight w:val="yellow"/>
        </w:rPr>
      </w:pPr>
    </w:p>
    <w:sectPr w:rsidR="001C5BD2" w:rsidRPr="000719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BF8" w:rsidRDefault="00796BF8" w:rsidP="00CB6868">
      <w:pPr>
        <w:spacing w:after="0"/>
      </w:pPr>
      <w:r>
        <w:separator/>
      </w:r>
    </w:p>
  </w:endnote>
  <w:endnote w:type="continuationSeparator" w:id="0">
    <w:p w:rsidR="00796BF8" w:rsidRDefault="00796BF8" w:rsidP="00CB68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BF8" w:rsidRDefault="00796BF8" w:rsidP="00CB6868">
      <w:pPr>
        <w:spacing w:after="0"/>
      </w:pPr>
      <w:r>
        <w:separator/>
      </w:r>
    </w:p>
  </w:footnote>
  <w:footnote w:type="continuationSeparator" w:id="0">
    <w:p w:rsidR="00796BF8" w:rsidRDefault="00796BF8" w:rsidP="00CB686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758B"/>
    <w:multiLevelType w:val="hybridMultilevel"/>
    <w:tmpl w:val="3B9C6318"/>
    <w:lvl w:ilvl="0" w:tplc="6EEA8F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CDB616E"/>
    <w:multiLevelType w:val="hybridMultilevel"/>
    <w:tmpl w:val="04D6DC80"/>
    <w:lvl w:ilvl="0" w:tplc="D6D43B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1E81C48"/>
    <w:multiLevelType w:val="hybridMultilevel"/>
    <w:tmpl w:val="6010B476"/>
    <w:lvl w:ilvl="0" w:tplc="D6D43B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86351A7"/>
    <w:multiLevelType w:val="hybridMultilevel"/>
    <w:tmpl w:val="968CF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086E13"/>
    <w:multiLevelType w:val="hybridMultilevel"/>
    <w:tmpl w:val="363CF2A0"/>
    <w:lvl w:ilvl="0" w:tplc="85F0E76A">
      <w:start w:val="1"/>
      <w:numFmt w:val="bullet"/>
      <w:pStyle w:v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1427B6"/>
    <w:multiLevelType w:val="hybridMultilevel"/>
    <w:tmpl w:val="D5A01D2A"/>
    <w:lvl w:ilvl="0" w:tplc="A4B0850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nsid w:val="28102093"/>
    <w:multiLevelType w:val="hybridMultilevel"/>
    <w:tmpl w:val="BDCAA456"/>
    <w:lvl w:ilvl="0" w:tplc="96C21E2E">
      <w:start w:val="1"/>
      <w:numFmt w:val="decimal"/>
      <w:lvlText w:val="%1."/>
      <w:lvlJc w:val="right"/>
      <w:pPr>
        <w:ind w:left="63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9E15376"/>
    <w:multiLevelType w:val="hybridMultilevel"/>
    <w:tmpl w:val="C3D8D4FA"/>
    <w:lvl w:ilvl="0" w:tplc="1AFE0792">
      <w:start w:val="1"/>
      <w:numFmt w:val="decimal"/>
      <w:lvlText w:val="%1."/>
      <w:lvlJc w:val="left"/>
      <w:pPr>
        <w:ind w:left="0" w:hanging="360"/>
      </w:pPr>
      <w:rPr>
        <w:rFonts w:hint="default"/>
      </w:r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9">
    <w:nsid w:val="30F737B4"/>
    <w:multiLevelType w:val="hybridMultilevel"/>
    <w:tmpl w:val="C9E870FC"/>
    <w:lvl w:ilvl="0" w:tplc="0B1A438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1C926EA"/>
    <w:multiLevelType w:val="hybridMultilevel"/>
    <w:tmpl w:val="A07E7F54"/>
    <w:lvl w:ilvl="0" w:tplc="4EC8BFBE">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32B33B8"/>
    <w:multiLevelType w:val="hybridMultilevel"/>
    <w:tmpl w:val="2370D27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3C0A104A"/>
    <w:multiLevelType w:val="hybridMultilevel"/>
    <w:tmpl w:val="2DC09F3A"/>
    <w:lvl w:ilvl="0" w:tplc="D6D43B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nsid w:val="499A4A1A"/>
    <w:multiLevelType w:val="hybridMultilevel"/>
    <w:tmpl w:val="2AF8E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B2A56DA"/>
    <w:multiLevelType w:val="hybridMultilevel"/>
    <w:tmpl w:val="4E6E2DB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nsid w:val="51921DCA"/>
    <w:multiLevelType w:val="hybridMultilevel"/>
    <w:tmpl w:val="0B5AD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76D490D"/>
    <w:multiLevelType w:val="hybridMultilevel"/>
    <w:tmpl w:val="9D924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9">
    <w:nsid w:val="65CE4F2C"/>
    <w:multiLevelType w:val="hybridMultilevel"/>
    <w:tmpl w:val="D4FC57CC"/>
    <w:lvl w:ilvl="0" w:tplc="9D80E53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0">
    <w:nsid w:val="66773D2F"/>
    <w:multiLevelType w:val="hybridMultilevel"/>
    <w:tmpl w:val="DEAC2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67974BC"/>
    <w:multiLevelType w:val="hybridMultilevel"/>
    <w:tmpl w:val="4FB2BEBE"/>
    <w:lvl w:ilvl="0" w:tplc="F3629F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997045B"/>
    <w:multiLevelType w:val="hybridMultilevel"/>
    <w:tmpl w:val="A29CA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A9277E1"/>
    <w:multiLevelType w:val="hybridMultilevel"/>
    <w:tmpl w:val="A95242FE"/>
    <w:lvl w:ilvl="0" w:tplc="C452FE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B0014CA"/>
    <w:multiLevelType w:val="hybridMultilevel"/>
    <w:tmpl w:val="3D5695D6"/>
    <w:lvl w:ilvl="0" w:tplc="B832C51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C3D7822"/>
    <w:multiLevelType w:val="hybridMultilevel"/>
    <w:tmpl w:val="F84C0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CB03839"/>
    <w:multiLevelType w:val="hybridMultilevel"/>
    <w:tmpl w:val="A8E4DEB8"/>
    <w:lvl w:ilvl="0" w:tplc="46B6499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1"/>
  </w:num>
  <w:num w:numId="2">
    <w:abstractNumId w:val="5"/>
  </w:num>
  <w:num w:numId="3">
    <w:abstractNumId w:val="7"/>
  </w:num>
  <w:num w:numId="4">
    <w:abstractNumId w:val="10"/>
  </w:num>
  <w:num w:numId="5">
    <w:abstractNumId w:val="0"/>
  </w:num>
  <w:num w:numId="6">
    <w:abstractNumId w:val="23"/>
  </w:num>
  <w:num w:numId="7">
    <w:abstractNumId w:val="6"/>
  </w:num>
  <w:num w:numId="8">
    <w:abstractNumId w:val="24"/>
  </w:num>
  <w:num w:numId="9">
    <w:abstractNumId w:val="19"/>
  </w:num>
  <w:num w:numId="10">
    <w:abstractNumId w:val="2"/>
  </w:num>
  <w:num w:numId="11">
    <w:abstractNumId w:val="13"/>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num>
  <w:num w:numId="15">
    <w:abstractNumId w:val="1"/>
  </w:num>
  <w:num w:numId="16">
    <w:abstractNumId w:val="26"/>
  </w:num>
  <w:num w:numId="17">
    <w:abstractNumId w:val="3"/>
  </w:num>
  <w:num w:numId="18">
    <w:abstractNumId w:val="9"/>
  </w:num>
  <w:num w:numId="19">
    <w:abstractNumId w:val="12"/>
  </w:num>
  <w:num w:numId="20">
    <w:abstractNumId w:val="17"/>
  </w:num>
  <w:num w:numId="21">
    <w:abstractNumId w:val="16"/>
  </w:num>
  <w:num w:numId="22">
    <w:abstractNumId w:val="4"/>
  </w:num>
  <w:num w:numId="23">
    <w:abstractNumId w:val="14"/>
  </w:num>
  <w:num w:numId="24">
    <w:abstractNumId w:val="25"/>
  </w:num>
  <w:num w:numId="25">
    <w:abstractNumId w:val="22"/>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F1B"/>
    <w:rsid w:val="0000624D"/>
    <w:rsid w:val="00047B8C"/>
    <w:rsid w:val="000561AD"/>
    <w:rsid w:val="00067AAF"/>
    <w:rsid w:val="0007193D"/>
    <w:rsid w:val="00096050"/>
    <w:rsid w:val="0009781C"/>
    <w:rsid w:val="000A1ABA"/>
    <w:rsid w:val="000C5927"/>
    <w:rsid w:val="000C6D4C"/>
    <w:rsid w:val="000E2609"/>
    <w:rsid w:val="000E2941"/>
    <w:rsid w:val="000E7DCD"/>
    <w:rsid w:val="000F083B"/>
    <w:rsid w:val="000F4227"/>
    <w:rsid w:val="00124C7C"/>
    <w:rsid w:val="00127BE9"/>
    <w:rsid w:val="00130850"/>
    <w:rsid w:val="001614E3"/>
    <w:rsid w:val="00167D8D"/>
    <w:rsid w:val="001A5C66"/>
    <w:rsid w:val="001B42D9"/>
    <w:rsid w:val="001C5BD2"/>
    <w:rsid w:val="001C61D2"/>
    <w:rsid w:val="001D27AA"/>
    <w:rsid w:val="001E4843"/>
    <w:rsid w:val="00217D43"/>
    <w:rsid w:val="00220AD7"/>
    <w:rsid w:val="00236009"/>
    <w:rsid w:val="002475CD"/>
    <w:rsid w:val="002547A9"/>
    <w:rsid w:val="00263EFE"/>
    <w:rsid w:val="002C19E2"/>
    <w:rsid w:val="002C7066"/>
    <w:rsid w:val="002D604B"/>
    <w:rsid w:val="002E4556"/>
    <w:rsid w:val="002E49D5"/>
    <w:rsid w:val="002E6D84"/>
    <w:rsid w:val="002F2148"/>
    <w:rsid w:val="00315CD3"/>
    <w:rsid w:val="0032198C"/>
    <w:rsid w:val="003230A6"/>
    <w:rsid w:val="00330B5B"/>
    <w:rsid w:val="0035207E"/>
    <w:rsid w:val="00380BC2"/>
    <w:rsid w:val="003D2C20"/>
    <w:rsid w:val="003D4A38"/>
    <w:rsid w:val="003D7B86"/>
    <w:rsid w:val="00410BAE"/>
    <w:rsid w:val="0047085D"/>
    <w:rsid w:val="004758C8"/>
    <w:rsid w:val="00485AF3"/>
    <w:rsid w:val="00495F61"/>
    <w:rsid w:val="004B4721"/>
    <w:rsid w:val="004D2B2E"/>
    <w:rsid w:val="00502990"/>
    <w:rsid w:val="00516541"/>
    <w:rsid w:val="00537B95"/>
    <w:rsid w:val="00554E0B"/>
    <w:rsid w:val="00560827"/>
    <w:rsid w:val="00576930"/>
    <w:rsid w:val="00576C04"/>
    <w:rsid w:val="00583A7B"/>
    <w:rsid w:val="005A10DE"/>
    <w:rsid w:val="005B0D80"/>
    <w:rsid w:val="005D163B"/>
    <w:rsid w:val="005E071B"/>
    <w:rsid w:val="005E5F79"/>
    <w:rsid w:val="005F7414"/>
    <w:rsid w:val="005F7A6E"/>
    <w:rsid w:val="00621841"/>
    <w:rsid w:val="00645F8E"/>
    <w:rsid w:val="00664C9C"/>
    <w:rsid w:val="00685826"/>
    <w:rsid w:val="00686F17"/>
    <w:rsid w:val="00690262"/>
    <w:rsid w:val="006A0BD1"/>
    <w:rsid w:val="006C3651"/>
    <w:rsid w:val="006C369F"/>
    <w:rsid w:val="006E6F34"/>
    <w:rsid w:val="006F41C9"/>
    <w:rsid w:val="00721355"/>
    <w:rsid w:val="0077081A"/>
    <w:rsid w:val="00776725"/>
    <w:rsid w:val="00776B1D"/>
    <w:rsid w:val="00796BF8"/>
    <w:rsid w:val="007B0492"/>
    <w:rsid w:val="007E5AAB"/>
    <w:rsid w:val="007E64D1"/>
    <w:rsid w:val="007F28C8"/>
    <w:rsid w:val="00806AE5"/>
    <w:rsid w:val="00820912"/>
    <w:rsid w:val="00826FF3"/>
    <w:rsid w:val="00827B6B"/>
    <w:rsid w:val="008D6365"/>
    <w:rsid w:val="008F35D8"/>
    <w:rsid w:val="008F385F"/>
    <w:rsid w:val="00911215"/>
    <w:rsid w:val="00933771"/>
    <w:rsid w:val="009409B8"/>
    <w:rsid w:val="00967209"/>
    <w:rsid w:val="009842FB"/>
    <w:rsid w:val="0099671F"/>
    <w:rsid w:val="009A3FE9"/>
    <w:rsid w:val="009A6C47"/>
    <w:rsid w:val="009B5E35"/>
    <w:rsid w:val="009D4344"/>
    <w:rsid w:val="009E0FBF"/>
    <w:rsid w:val="00A32059"/>
    <w:rsid w:val="00A357B5"/>
    <w:rsid w:val="00A466A3"/>
    <w:rsid w:val="00A95051"/>
    <w:rsid w:val="00AC4CCE"/>
    <w:rsid w:val="00AC509A"/>
    <w:rsid w:val="00AC7FE8"/>
    <w:rsid w:val="00B0529E"/>
    <w:rsid w:val="00B065B8"/>
    <w:rsid w:val="00B0705C"/>
    <w:rsid w:val="00B2695D"/>
    <w:rsid w:val="00B5454F"/>
    <w:rsid w:val="00BA11D7"/>
    <w:rsid w:val="00BB5FF1"/>
    <w:rsid w:val="00BC2947"/>
    <w:rsid w:val="00BC411A"/>
    <w:rsid w:val="00BE74C4"/>
    <w:rsid w:val="00C204DA"/>
    <w:rsid w:val="00C217F1"/>
    <w:rsid w:val="00C31B5F"/>
    <w:rsid w:val="00C324F5"/>
    <w:rsid w:val="00C41D87"/>
    <w:rsid w:val="00C442DB"/>
    <w:rsid w:val="00C47E2E"/>
    <w:rsid w:val="00C577A2"/>
    <w:rsid w:val="00C62F25"/>
    <w:rsid w:val="00C811E7"/>
    <w:rsid w:val="00C904C4"/>
    <w:rsid w:val="00C97F99"/>
    <w:rsid w:val="00CB3246"/>
    <w:rsid w:val="00CB37A3"/>
    <w:rsid w:val="00CB6868"/>
    <w:rsid w:val="00CD0E33"/>
    <w:rsid w:val="00CD3159"/>
    <w:rsid w:val="00CD68D3"/>
    <w:rsid w:val="00CE5C3E"/>
    <w:rsid w:val="00D049F9"/>
    <w:rsid w:val="00D07322"/>
    <w:rsid w:val="00D515D1"/>
    <w:rsid w:val="00D70F2C"/>
    <w:rsid w:val="00D80987"/>
    <w:rsid w:val="00D93C8E"/>
    <w:rsid w:val="00D9545B"/>
    <w:rsid w:val="00DA45B9"/>
    <w:rsid w:val="00DB05F0"/>
    <w:rsid w:val="00DB2324"/>
    <w:rsid w:val="00DD7D51"/>
    <w:rsid w:val="00DE59AE"/>
    <w:rsid w:val="00DE6D89"/>
    <w:rsid w:val="00DF713B"/>
    <w:rsid w:val="00E20967"/>
    <w:rsid w:val="00E26267"/>
    <w:rsid w:val="00E4280D"/>
    <w:rsid w:val="00E47822"/>
    <w:rsid w:val="00E6675C"/>
    <w:rsid w:val="00E81D4F"/>
    <w:rsid w:val="00EC53BE"/>
    <w:rsid w:val="00F26929"/>
    <w:rsid w:val="00F26F1B"/>
    <w:rsid w:val="00F35640"/>
    <w:rsid w:val="00F83F7E"/>
    <w:rsid w:val="00F917A1"/>
    <w:rsid w:val="00FC1F4B"/>
    <w:rsid w:val="00FD6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uiPriority="4" w:qFormat="1"/>
    <w:lsdException w:name="heading 5" w:uiPriority="4"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3" w:unhideWhenUsed="0" w:qFormat="1"/>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76C04"/>
    <w:pPr>
      <w:spacing w:after="240" w:line="240" w:lineRule="auto"/>
    </w:pPr>
    <w:rPr>
      <w:rFonts w:ascii="Calibri" w:hAnsi="Calibri"/>
      <w:sz w:val="24"/>
    </w:rPr>
  </w:style>
  <w:style w:type="paragraph" w:styleId="Heading1">
    <w:name w:val="heading 1"/>
    <w:basedOn w:val="Normal"/>
    <w:next w:val="Normal"/>
    <w:link w:val="Heading1Char"/>
    <w:uiPriority w:val="1"/>
    <w:qFormat/>
    <w:rsid w:val="00D80987"/>
    <w:pPr>
      <w:keepNext/>
      <w:keepLines/>
      <w:spacing w:before="300"/>
      <w:outlineLvl w:val="0"/>
    </w:pPr>
    <w:rPr>
      <w:rFonts w:eastAsiaTheme="majorEastAsia" w:cstheme="majorBidi"/>
      <w:b/>
      <w:bCs/>
      <w:sz w:val="36"/>
      <w:szCs w:val="28"/>
    </w:rPr>
  </w:style>
  <w:style w:type="paragraph" w:styleId="Heading2">
    <w:name w:val="heading 2"/>
    <w:basedOn w:val="Normal"/>
    <w:next w:val="Normal"/>
    <w:link w:val="Heading2Char"/>
    <w:uiPriority w:val="1"/>
    <w:qFormat/>
    <w:rsid w:val="00B0529E"/>
    <w:pPr>
      <w:keepNext/>
      <w:keepLines/>
      <w:spacing w:before="240" w:after="180"/>
      <w:outlineLvl w:val="1"/>
    </w:pPr>
    <w:rPr>
      <w:rFonts w:eastAsiaTheme="majorEastAsia" w:cstheme="majorBidi"/>
      <w:b/>
      <w:bCs/>
      <w:sz w:val="28"/>
      <w:szCs w:val="26"/>
    </w:rPr>
  </w:style>
  <w:style w:type="paragraph" w:styleId="Heading3">
    <w:name w:val="heading 3"/>
    <w:basedOn w:val="Normal"/>
    <w:next w:val="Normal"/>
    <w:link w:val="Heading3Char"/>
    <w:uiPriority w:val="1"/>
    <w:qFormat/>
    <w:rsid w:val="00B0529E"/>
    <w:pPr>
      <w:keepNext/>
      <w:keepLines/>
      <w:spacing w:before="240" w:after="120"/>
      <w:outlineLvl w:val="2"/>
    </w:pPr>
    <w:rPr>
      <w:rFonts w:eastAsiaTheme="majorEastAsia" w:cstheme="majorBidi"/>
      <w:b/>
      <w:bCs/>
      <w:i/>
    </w:rPr>
  </w:style>
  <w:style w:type="paragraph" w:styleId="Heading4">
    <w:name w:val="heading 4"/>
    <w:basedOn w:val="Normal"/>
    <w:next w:val="Normal"/>
    <w:link w:val="Heading4Char"/>
    <w:uiPriority w:val="2"/>
    <w:qFormat/>
    <w:rsid w:val="00B0529E"/>
    <w:pPr>
      <w:keepNext/>
      <w:keepLines/>
      <w:spacing w:before="240" w:after="120"/>
      <w:outlineLvl w:val="3"/>
    </w:pPr>
    <w:rPr>
      <w:rFonts w:eastAsiaTheme="majorEastAsia" w:cstheme="majorBidi"/>
      <w:bCs/>
      <w:i/>
      <w:iCs/>
    </w:rPr>
  </w:style>
  <w:style w:type="paragraph" w:styleId="Heading5">
    <w:name w:val="heading 5"/>
    <w:basedOn w:val="Normal"/>
    <w:next w:val="Normal"/>
    <w:link w:val="Heading5Char"/>
    <w:uiPriority w:val="2"/>
    <w:qFormat/>
    <w:rsid w:val="00AC4CCE"/>
    <w:pPr>
      <w:keepNext/>
      <w:keepLines/>
      <w:spacing w:before="120" w:after="12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0987"/>
    <w:rPr>
      <w:rFonts w:ascii="Calibri" w:eastAsiaTheme="majorEastAsia" w:hAnsi="Calibri" w:cstheme="majorBidi"/>
      <w:b/>
      <w:bCs/>
      <w:sz w:val="36"/>
      <w:szCs w:val="28"/>
    </w:rPr>
  </w:style>
  <w:style w:type="character" w:customStyle="1" w:styleId="Heading2Char">
    <w:name w:val="Heading 2 Char"/>
    <w:basedOn w:val="DefaultParagraphFont"/>
    <w:link w:val="Heading2"/>
    <w:uiPriority w:val="1"/>
    <w:rsid w:val="00B0529E"/>
    <w:rPr>
      <w:rFonts w:ascii="Calibri" w:eastAsiaTheme="majorEastAsia" w:hAnsi="Calibri" w:cstheme="majorBidi"/>
      <w:b/>
      <w:bCs/>
      <w:sz w:val="28"/>
      <w:szCs w:val="26"/>
    </w:rPr>
  </w:style>
  <w:style w:type="paragraph" w:styleId="Title">
    <w:name w:val="Title"/>
    <w:basedOn w:val="Normal"/>
    <w:next w:val="Normal"/>
    <w:link w:val="TitleChar"/>
    <w:uiPriority w:val="2"/>
    <w:qFormat/>
    <w:rsid w:val="00DE6D89"/>
    <w:pPr>
      <w:spacing w:before="360"/>
      <w:contextualSpacing/>
      <w:jc w:val="right"/>
    </w:pPr>
    <w:rPr>
      <w:rFonts w:eastAsiaTheme="majorEastAsia" w:cstheme="majorBidi"/>
      <w:b/>
      <w:spacing w:val="5"/>
      <w:kern w:val="28"/>
      <w:sz w:val="52"/>
      <w:szCs w:val="52"/>
    </w:rPr>
  </w:style>
  <w:style w:type="character" w:customStyle="1" w:styleId="TitleChar">
    <w:name w:val="Title Char"/>
    <w:basedOn w:val="DefaultParagraphFont"/>
    <w:link w:val="Title"/>
    <w:uiPriority w:val="2"/>
    <w:rsid w:val="00DE6D89"/>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3"/>
    <w:qFormat/>
    <w:rsid w:val="00DE6D89"/>
    <w:pPr>
      <w:numPr>
        <w:ilvl w:val="1"/>
      </w:numPr>
      <w:spacing w:before="120" w:after="120"/>
      <w:jc w:val="center"/>
    </w:pPr>
    <w:rPr>
      <w:rFonts w:eastAsiaTheme="majorEastAsia" w:cstheme="majorBidi"/>
      <w:b/>
      <w:iCs/>
      <w:spacing w:val="5"/>
      <w:sz w:val="28"/>
      <w:szCs w:val="24"/>
    </w:rPr>
  </w:style>
  <w:style w:type="character" w:customStyle="1" w:styleId="SubtitleChar">
    <w:name w:val="Subtitle Char"/>
    <w:basedOn w:val="DefaultParagraphFont"/>
    <w:link w:val="Subtitle"/>
    <w:uiPriority w:val="3"/>
    <w:rsid w:val="00DE6D89"/>
    <w:rPr>
      <w:rFonts w:ascii="Calibri" w:eastAsiaTheme="majorEastAsia" w:hAnsi="Calibri" w:cstheme="majorBidi"/>
      <w:b/>
      <w:iCs/>
      <w:spacing w:val="5"/>
      <w:sz w:val="28"/>
      <w:szCs w:val="24"/>
    </w:rPr>
  </w:style>
  <w:style w:type="paragraph" w:styleId="Quote">
    <w:name w:val="Quote"/>
    <w:basedOn w:val="Normal"/>
    <w:next w:val="Normal"/>
    <w:link w:val="QuoteChar"/>
    <w:uiPriority w:val="29"/>
    <w:qFormat/>
    <w:rsid w:val="001E4843"/>
    <w:pPr>
      <w:spacing w:before="120"/>
      <w:ind w:left="709" w:right="521"/>
    </w:pPr>
    <w:rPr>
      <w:iCs/>
    </w:rPr>
  </w:style>
  <w:style w:type="character" w:customStyle="1" w:styleId="QuoteChar">
    <w:name w:val="Quote Char"/>
    <w:basedOn w:val="DefaultParagraphFont"/>
    <w:link w:val="Quote"/>
    <w:uiPriority w:val="29"/>
    <w:rsid w:val="001E4843"/>
    <w:rPr>
      <w:rFonts w:ascii="Calibri" w:hAnsi="Calibri"/>
      <w:iCs/>
      <w:sz w:val="24"/>
    </w:rPr>
  </w:style>
  <w:style w:type="paragraph" w:styleId="ListParagraph">
    <w:name w:val="List Paragraph"/>
    <w:basedOn w:val="Normal"/>
    <w:uiPriority w:val="34"/>
    <w:qFormat/>
    <w:rsid w:val="006A0BD1"/>
    <w:pPr>
      <w:numPr>
        <w:numId w:val="4"/>
      </w:numPr>
      <w:tabs>
        <w:tab w:val="left" w:pos="567"/>
      </w:tabs>
      <w:spacing w:before="120" w:after="120"/>
      <w:ind w:left="0" w:firstLine="0"/>
      <w:contextualSpacing/>
    </w:pPr>
  </w:style>
  <w:style w:type="character" w:customStyle="1" w:styleId="Heading3Char">
    <w:name w:val="Heading 3 Char"/>
    <w:basedOn w:val="DefaultParagraphFont"/>
    <w:link w:val="Heading3"/>
    <w:uiPriority w:val="1"/>
    <w:rsid w:val="00B0529E"/>
    <w:rPr>
      <w:rFonts w:ascii="Calibri" w:eastAsiaTheme="majorEastAsia" w:hAnsi="Calibri" w:cstheme="majorBidi"/>
      <w:b/>
      <w:bCs/>
      <w:i/>
      <w:sz w:val="24"/>
    </w:rPr>
  </w:style>
  <w:style w:type="character" w:customStyle="1" w:styleId="Heading4Char">
    <w:name w:val="Heading 4 Char"/>
    <w:basedOn w:val="DefaultParagraphFont"/>
    <w:link w:val="Heading4"/>
    <w:uiPriority w:val="2"/>
    <w:rsid w:val="00D80987"/>
    <w:rPr>
      <w:rFonts w:ascii="Calibri" w:eastAsiaTheme="majorEastAsia" w:hAnsi="Calibri" w:cstheme="majorBidi"/>
      <w:bCs/>
      <w:i/>
      <w:iCs/>
      <w:sz w:val="24"/>
    </w:rPr>
  </w:style>
  <w:style w:type="character" w:customStyle="1" w:styleId="Heading5Char">
    <w:name w:val="Heading 5 Char"/>
    <w:basedOn w:val="DefaultParagraphFont"/>
    <w:link w:val="Heading5"/>
    <w:uiPriority w:val="2"/>
    <w:rsid w:val="00D80987"/>
    <w:rPr>
      <w:rFonts w:ascii="Calibri" w:eastAsiaTheme="majorEastAsia" w:hAnsi="Calibri" w:cstheme="majorBidi"/>
      <w:b/>
    </w:rPr>
  </w:style>
  <w:style w:type="paragraph" w:customStyle="1" w:styleId="Bullets">
    <w:name w:val="Bullets"/>
    <w:basedOn w:val="ListParagraph"/>
    <w:qFormat/>
    <w:rsid w:val="00DE6D89"/>
    <w:pPr>
      <w:numPr>
        <w:numId w:val="2"/>
      </w:numPr>
      <w:spacing w:after="0"/>
      <w:ind w:hanging="578"/>
      <w:contextualSpacing w:val="0"/>
    </w:pPr>
  </w:style>
  <w:style w:type="paragraph" w:styleId="BalloonText">
    <w:name w:val="Balloon Text"/>
    <w:basedOn w:val="Normal"/>
    <w:link w:val="BalloonTextChar"/>
    <w:uiPriority w:val="99"/>
    <w:semiHidden/>
    <w:unhideWhenUsed/>
    <w:rsid w:val="005F74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414"/>
    <w:rPr>
      <w:rFonts w:ascii="Tahoma" w:hAnsi="Tahoma" w:cs="Tahoma"/>
      <w:sz w:val="16"/>
      <w:szCs w:val="16"/>
    </w:rPr>
  </w:style>
  <w:style w:type="table" w:styleId="TableGrid">
    <w:name w:val="Table Grid"/>
    <w:basedOn w:val="TableNormal"/>
    <w:uiPriority w:val="59"/>
    <w:rsid w:val="00F91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F917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OAICtable">
    <w:name w:val="OAIC table"/>
    <w:basedOn w:val="TableNormal"/>
    <w:uiPriority w:val="99"/>
    <w:rsid w:val="00576C04"/>
    <w:pPr>
      <w:spacing w:before="120" w:after="12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08" w:type="dxa"/>
      </w:tblCellMar>
    </w:tblPr>
    <w:tblStylePr w:type="firstRow">
      <w:pPr>
        <w:wordWrap/>
        <w:spacing w:beforeLines="0" w:before="120" w:beforeAutospacing="0" w:afterLines="0" w:after="120" w:afterAutospacing="0"/>
        <w:contextualSpacing w:val="0"/>
        <w:jc w:val="left"/>
      </w:pPr>
      <w:rPr>
        <w:rFonts w:ascii="Calibri" w:hAnsi="Calibri"/>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Tabletext">
    <w:name w:val="Table text"/>
    <w:basedOn w:val="Normal"/>
    <w:uiPriority w:val="2"/>
    <w:qFormat/>
    <w:rsid w:val="00263EFE"/>
    <w:pPr>
      <w:spacing w:before="60" w:after="120"/>
    </w:pPr>
  </w:style>
  <w:style w:type="paragraph" w:customStyle="1" w:styleId="NumberedNormal">
    <w:name w:val="Numbered Normal"/>
    <w:basedOn w:val="ListParagraph"/>
    <w:qFormat/>
    <w:rsid w:val="006A0BD1"/>
    <w:pPr>
      <w:spacing w:after="240"/>
      <w:contextualSpacing w:val="0"/>
    </w:pPr>
  </w:style>
  <w:style w:type="character" w:customStyle="1" w:styleId="charparttext">
    <w:name w:val="charparttext"/>
    <w:basedOn w:val="DefaultParagraphFont"/>
    <w:rsid w:val="00F26F1B"/>
  </w:style>
  <w:style w:type="character" w:styleId="CommentReference">
    <w:name w:val="annotation reference"/>
    <w:basedOn w:val="DefaultParagraphFont"/>
    <w:uiPriority w:val="99"/>
    <w:semiHidden/>
    <w:unhideWhenUsed/>
    <w:rsid w:val="00F26F1B"/>
    <w:rPr>
      <w:sz w:val="16"/>
      <w:szCs w:val="16"/>
    </w:rPr>
  </w:style>
  <w:style w:type="paragraph" w:styleId="CommentText">
    <w:name w:val="annotation text"/>
    <w:basedOn w:val="Normal"/>
    <w:link w:val="CommentTextChar"/>
    <w:uiPriority w:val="99"/>
    <w:unhideWhenUsed/>
    <w:rsid w:val="00F26F1B"/>
    <w:rPr>
      <w:rFonts w:eastAsia="Times New Roman" w:cs="Times New Roman"/>
      <w:sz w:val="20"/>
      <w:szCs w:val="20"/>
      <w:lang w:eastAsia="en-AU"/>
    </w:rPr>
  </w:style>
  <w:style w:type="character" w:customStyle="1" w:styleId="CommentTextChar">
    <w:name w:val="Comment Text Char"/>
    <w:basedOn w:val="DefaultParagraphFont"/>
    <w:link w:val="CommentText"/>
    <w:uiPriority w:val="99"/>
    <w:rsid w:val="00F26F1B"/>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D7D51"/>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DD7D51"/>
    <w:rPr>
      <w:rFonts w:ascii="Calibri" w:eastAsia="Times New Roman" w:hAnsi="Calibri" w:cs="Times New Roman"/>
      <w:b/>
      <w:bCs/>
      <w:sz w:val="20"/>
      <w:szCs w:val="20"/>
      <w:lang w:eastAsia="en-AU"/>
    </w:rPr>
  </w:style>
  <w:style w:type="paragraph" w:customStyle="1" w:styleId="Bulletlist">
    <w:name w:val="Bullet list"/>
    <w:basedOn w:val="ListParagraph"/>
    <w:qFormat/>
    <w:rsid w:val="00CB6868"/>
    <w:pPr>
      <w:numPr>
        <w:numId w:val="8"/>
      </w:numPr>
      <w:tabs>
        <w:tab w:val="clear" w:pos="567"/>
      </w:tabs>
      <w:spacing w:before="0"/>
      <w:ind w:hanging="578"/>
      <w:contextualSpacing w:val="0"/>
    </w:pPr>
    <w:rPr>
      <w:rFonts w:eastAsia="Times New Roman" w:cs="Times New Roman"/>
      <w:lang w:eastAsia="en-AU"/>
    </w:rPr>
  </w:style>
  <w:style w:type="paragraph" w:styleId="FootnoteText">
    <w:name w:val="footnote text"/>
    <w:basedOn w:val="Normal"/>
    <w:link w:val="FootnoteTextChar"/>
    <w:uiPriority w:val="99"/>
    <w:semiHidden/>
    <w:unhideWhenUsed/>
    <w:rsid w:val="00CB6868"/>
    <w:pPr>
      <w:spacing w:after="0"/>
    </w:pPr>
    <w:rPr>
      <w:rFonts w:eastAsia="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CB6868"/>
    <w:rPr>
      <w:rFonts w:ascii="Calibri" w:eastAsia="Times New Roman" w:hAnsi="Calibri" w:cs="Times New Roman"/>
      <w:sz w:val="20"/>
      <w:szCs w:val="20"/>
      <w:lang w:eastAsia="en-AU"/>
    </w:rPr>
  </w:style>
  <w:style w:type="character" w:styleId="FootnoteReference">
    <w:name w:val="footnote reference"/>
    <w:basedOn w:val="DefaultParagraphFont"/>
    <w:uiPriority w:val="99"/>
    <w:semiHidden/>
    <w:unhideWhenUsed/>
    <w:rsid w:val="00CB6868"/>
    <w:rPr>
      <w:vertAlign w:val="superscript"/>
    </w:rPr>
  </w:style>
  <w:style w:type="character" w:styleId="Hyperlink">
    <w:name w:val="Hyperlink"/>
    <w:basedOn w:val="DefaultParagraphFont"/>
    <w:uiPriority w:val="99"/>
    <w:unhideWhenUsed/>
    <w:rsid w:val="00CB6868"/>
    <w:rPr>
      <w:color w:val="0000FF" w:themeColor="hyperlink"/>
      <w:u w:val="single"/>
    </w:rPr>
  </w:style>
  <w:style w:type="paragraph" w:customStyle="1" w:styleId="Default">
    <w:name w:val="Default"/>
    <w:rsid w:val="00330B5B"/>
    <w:pPr>
      <w:autoSpaceDE w:val="0"/>
      <w:autoSpaceDN w:val="0"/>
      <w:adjustRightInd w:val="0"/>
      <w:spacing w:after="0" w:line="240" w:lineRule="auto"/>
    </w:pPr>
    <w:rPr>
      <w:rFonts w:ascii="Symbol" w:hAnsi="Symbol" w:cs="Symbol"/>
      <w:color w:val="000000"/>
      <w:sz w:val="24"/>
      <w:szCs w:val="24"/>
    </w:rPr>
  </w:style>
  <w:style w:type="paragraph" w:customStyle="1" w:styleId="ndissubsection">
    <w:name w:val="ndissubsection"/>
    <w:basedOn w:val="Normal"/>
    <w:rsid w:val="0047085D"/>
    <w:pPr>
      <w:spacing w:before="100" w:beforeAutospacing="1" w:after="100" w:afterAutospacing="1"/>
    </w:pPr>
    <w:rPr>
      <w:rFonts w:ascii="Times New Roman" w:eastAsia="Times New Roman" w:hAnsi="Times New Roman" w:cs="Times New Roman"/>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uiPriority="4" w:qFormat="1"/>
    <w:lsdException w:name="heading 5" w:uiPriority="4"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3" w:unhideWhenUsed="0" w:qFormat="1"/>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76C04"/>
    <w:pPr>
      <w:spacing w:after="240" w:line="240" w:lineRule="auto"/>
    </w:pPr>
    <w:rPr>
      <w:rFonts w:ascii="Calibri" w:hAnsi="Calibri"/>
      <w:sz w:val="24"/>
    </w:rPr>
  </w:style>
  <w:style w:type="paragraph" w:styleId="Heading1">
    <w:name w:val="heading 1"/>
    <w:basedOn w:val="Normal"/>
    <w:next w:val="Normal"/>
    <w:link w:val="Heading1Char"/>
    <w:uiPriority w:val="1"/>
    <w:qFormat/>
    <w:rsid w:val="00D80987"/>
    <w:pPr>
      <w:keepNext/>
      <w:keepLines/>
      <w:spacing w:before="300"/>
      <w:outlineLvl w:val="0"/>
    </w:pPr>
    <w:rPr>
      <w:rFonts w:eastAsiaTheme="majorEastAsia" w:cstheme="majorBidi"/>
      <w:b/>
      <w:bCs/>
      <w:sz w:val="36"/>
      <w:szCs w:val="28"/>
    </w:rPr>
  </w:style>
  <w:style w:type="paragraph" w:styleId="Heading2">
    <w:name w:val="heading 2"/>
    <w:basedOn w:val="Normal"/>
    <w:next w:val="Normal"/>
    <w:link w:val="Heading2Char"/>
    <w:uiPriority w:val="1"/>
    <w:qFormat/>
    <w:rsid w:val="00B0529E"/>
    <w:pPr>
      <w:keepNext/>
      <w:keepLines/>
      <w:spacing w:before="240" w:after="180"/>
      <w:outlineLvl w:val="1"/>
    </w:pPr>
    <w:rPr>
      <w:rFonts w:eastAsiaTheme="majorEastAsia" w:cstheme="majorBidi"/>
      <w:b/>
      <w:bCs/>
      <w:sz w:val="28"/>
      <w:szCs w:val="26"/>
    </w:rPr>
  </w:style>
  <w:style w:type="paragraph" w:styleId="Heading3">
    <w:name w:val="heading 3"/>
    <w:basedOn w:val="Normal"/>
    <w:next w:val="Normal"/>
    <w:link w:val="Heading3Char"/>
    <w:uiPriority w:val="1"/>
    <w:qFormat/>
    <w:rsid w:val="00B0529E"/>
    <w:pPr>
      <w:keepNext/>
      <w:keepLines/>
      <w:spacing w:before="240" w:after="120"/>
      <w:outlineLvl w:val="2"/>
    </w:pPr>
    <w:rPr>
      <w:rFonts w:eastAsiaTheme="majorEastAsia" w:cstheme="majorBidi"/>
      <w:b/>
      <w:bCs/>
      <w:i/>
    </w:rPr>
  </w:style>
  <w:style w:type="paragraph" w:styleId="Heading4">
    <w:name w:val="heading 4"/>
    <w:basedOn w:val="Normal"/>
    <w:next w:val="Normal"/>
    <w:link w:val="Heading4Char"/>
    <w:uiPriority w:val="2"/>
    <w:qFormat/>
    <w:rsid w:val="00B0529E"/>
    <w:pPr>
      <w:keepNext/>
      <w:keepLines/>
      <w:spacing w:before="240" w:after="120"/>
      <w:outlineLvl w:val="3"/>
    </w:pPr>
    <w:rPr>
      <w:rFonts w:eastAsiaTheme="majorEastAsia" w:cstheme="majorBidi"/>
      <w:bCs/>
      <w:i/>
      <w:iCs/>
    </w:rPr>
  </w:style>
  <w:style w:type="paragraph" w:styleId="Heading5">
    <w:name w:val="heading 5"/>
    <w:basedOn w:val="Normal"/>
    <w:next w:val="Normal"/>
    <w:link w:val="Heading5Char"/>
    <w:uiPriority w:val="2"/>
    <w:qFormat/>
    <w:rsid w:val="00AC4CCE"/>
    <w:pPr>
      <w:keepNext/>
      <w:keepLines/>
      <w:spacing w:before="120" w:after="12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0987"/>
    <w:rPr>
      <w:rFonts w:ascii="Calibri" w:eastAsiaTheme="majorEastAsia" w:hAnsi="Calibri" w:cstheme="majorBidi"/>
      <w:b/>
      <w:bCs/>
      <w:sz w:val="36"/>
      <w:szCs w:val="28"/>
    </w:rPr>
  </w:style>
  <w:style w:type="character" w:customStyle="1" w:styleId="Heading2Char">
    <w:name w:val="Heading 2 Char"/>
    <w:basedOn w:val="DefaultParagraphFont"/>
    <w:link w:val="Heading2"/>
    <w:uiPriority w:val="1"/>
    <w:rsid w:val="00B0529E"/>
    <w:rPr>
      <w:rFonts w:ascii="Calibri" w:eastAsiaTheme="majorEastAsia" w:hAnsi="Calibri" w:cstheme="majorBidi"/>
      <w:b/>
      <w:bCs/>
      <w:sz w:val="28"/>
      <w:szCs w:val="26"/>
    </w:rPr>
  </w:style>
  <w:style w:type="paragraph" w:styleId="Title">
    <w:name w:val="Title"/>
    <w:basedOn w:val="Normal"/>
    <w:next w:val="Normal"/>
    <w:link w:val="TitleChar"/>
    <w:uiPriority w:val="2"/>
    <w:qFormat/>
    <w:rsid w:val="00DE6D89"/>
    <w:pPr>
      <w:spacing w:before="360"/>
      <w:contextualSpacing/>
      <w:jc w:val="right"/>
    </w:pPr>
    <w:rPr>
      <w:rFonts w:eastAsiaTheme="majorEastAsia" w:cstheme="majorBidi"/>
      <w:b/>
      <w:spacing w:val="5"/>
      <w:kern w:val="28"/>
      <w:sz w:val="52"/>
      <w:szCs w:val="52"/>
    </w:rPr>
  </w:style>
  <w:style w:type="character" w:customStyle="1" w:styleId="TitleChar">
    <w:name w:val="Title Char"/>
    <w:basedOn w:val="DefaultParagraphFont"/>
    <w:link w:val="Title"/>
    <w:uiPriority w:val="2"/>
    <w:rsid w:val="00DE6D89"/>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3"/>
    <w:qFormat/>
    <w:rsid w:val="00DE6D89"/>
    <w:pPr>
      <w:numPr>
        <w:ilvl w:val="1"/>
      </w:numPr>
      <w:spacing w:before="120" w:after="120"/>
      <w:jc w:val="center"/>
    </w:pPr>
    <w:rPr>
      <w:rFonts w:eastAsiaTheme="majorEastAsia" w:cstheme="majorBidi"/>
      <w:b/>
      <w:iCs/>
      <w:spacing w:val="5"/>
      <w:sz w:val="28"/>
      <w:szCs w:val="24"/>
    </w:rPr>
  </w:style>
  <w:style w:type="character" w:customStyle="1" w:styleId="SubtitleChar">
    <w:name w:val="Subtitle Char"/>
    <w:basedOn w:val="DefaultParagraphFont"/>
    <w:link w:val="Subtitle"/>
    <w:uiPriority w:val="3"/>
    <w:rsid w:val="00DE6D89"/>
    <w:rPr>
      <w:rFonts w:ascii="Calibri" w:eastAsiaTheme="majorEastAsia" w:hAnsi="Calibri" w:cstheme="majorBidi"/>
      <w:b/>
      <w:iCs/>
      <w:spacing w:val="5"/>
      <w:sz w:val="28"/>
      <w:szCs w:val="24"/>
    </w:rPr>
  </w:style>
  <w:style w:type="paragraph" w:styleId="Quote">
    <w:name w:val="Quote"/>
    <w:basedOn w:val="Normal"/>
    <w:next w:val="Normal"/>
    <w:link w:val="QuoteChar"/>
    <w:uiPriority w:val="29"/>
    <w:qFormat/>
    <w:rsid w:val="001E4843"/>
    <w:pPr>
      <w:spacing w:before="120"/>
      <w:ind w:left="709" w:right="521"/>
    </w:pPr>
    <w:rPr>
      <w:iCs/>
    </w:rPr>
  </w:style>
  <w:style w:type="character" w:customStyle="1" w:styleId="QuoteChar">
    <w:name w:val="Quote Char"/>
    <w:basedOn w:val="DefaultParagraphFont"/>
    <w:link w:val="Quote"/>
    <w:uiPriority w:val="29"/>
    <w:rsid w:val="001E4843"/>
    <w:rPr>
      <w:rFonts w:ascii="Calibri" w:hAnsi="Calibri"/>
      <w:iCs/>
      <w:sz w:val="24"/>
    </w:rPr>
  </w:style>
  <w:style w:type="paragraph" w:styleId="ListParagraph">
    <w:name w:val="List Paragraph"/>
    <w:basedOn w:val="Normal"/>
    <w:uiPriority w:val="34"/>
    <w:qFormat/>
    <w:rsid w:val="006A0BD1"/>
    <w:pPr>
      <w:numPr>
        <w:numId w:val="4"/>
      </w:numPr>
      <w:tabs>
        <w:tab w:val="left" w:pos="567"/>
      </w:tabs>
      <w:spacing w:before="120" w:after="120"/>
      <w:ind w:left="0" w:firstLine="0"/>
      <w:contextualSpacing/>
    </w:pPr>
  </w:style>
  <w:style w:type="character" w:customStyle="1" w:styleId="Heading3Char">
    <w:name w:val="Heading 3 Char"/>
    <w:basedOn w:val="DefaultParagraphFont"/>
    <w:link w:val="Heading3"/>
    <w:uiPriority w:val="1"/>
    <w:rsid w:val="00B0529E"/>
    <w:rPr>
      <w:rFonts w:ascii="Calibri" w:eastAsiaTheme="majorEastAsia" w:hAnsi="Calibri" w:cstheme="majorBidi"/>
      <w:b/>
      <w:bCs/>
      <w:i/>
      <w:sz w:val="24"/>
    </w:rPr>
  </w:style>
  <w:style w:type="character" w:customStyle="1" w:styleId="Heading4Char">
    <w:name w:val="Heading 4 Char"/>
    <w:basedOn w:val="DefaultParagraphFont"/>
    <w:link w:val="Heading4"/>
    <w:uiPriority w:val="2"/>
    <w:rsid w:val="00D80987"/>
    <w:rPr>
      <w:rFonts w:ascii="Calibri" w:eastAsiaTheme="majorEastAsia" w:hAnsi="Calibri" w:cstheme="majorBidi"/>
      <w:bCs/>
      <w:i/>
      <w:iCs/>
      <w:sz w:val="24"/>
    </w:rPr>
  </w:style>
  <w:style w:type="character" w:customStyle="1" w:styleId="Heading5Char">
    <w:name w:val="Heading 5 Char"/>
    <w:basedOn w:val="DefaultParagraphFont"/>
    <w:link w:val="Heading5"/>
    <w:uiPriority w:val="2"/>
    <w:rsid w:val="00D80987"/>
    <w:rPr>
      <w:rFonts w:ascii="Calibri" w:eastAsiaTheme="majorEastAsia" w:hAnsi="Calibri" w:cstheme="majorBidi"/>
      <w:b/>
    </w:rPr>
  </w:style>
  <w:style w:type="paragraph" w:customStyle="1" w:styleId="Bullets">
    <w:name w:val="Bullets"/>
    <w:basedOn w:val="ListParagraph"/>
    <w:qFormat/>
    <w:rsid w:val="00DE6D89"/>
    <w:pPr>
      <w:numPr>
        <w:numId w:val="2"/>
      </w:numPr>
      <w:spacing w:after="0"/>
      <w:ind w:hanging="578"/>
      <w:contextualSpacing w:val="0"/>
    </w:pPr>
  </w:style>
  <w:style w:type="paragraph" w:styleId="BalloonText">
    <w:name w:val="Balloon Text"/>
    <w:basedOn w:val="Normal"/>
    <w:link w:val="BalloonTextChar"/>
    <w:uiPriority w:val="99"/>
    <w:semiHidden/>
    <w:unhideWhenUsed/>
    <w:rsid w:val="005F74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414"/>
    <w:rPr>
      <w:rFonts w:ascii="Tahoma" w:hAnsi="Tahoma" w:cs="Tahoma"/>
      <w:sz w:val="16"/>
      <w:szCs w:val="16"/>
    </w:rPr>
  </w:style>
  <w:style w:type="table" w:styleId="TableGrid">
    <w:name w:val="Table Grid"/>
    <w:basedOn w:val="TableNormal"/>
    <w:uiPriority w:val="59"/>
    <w:rsid w:val="00F91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F917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OAICtable">
    <w:name w:val="OAIC table"/>
    <w:basedOn w:val="TableNormal"/>
    <w:uiPriority w:val="99"/>
    <w:rsid w:val="00576C04"/>
    <w:pPr>
      <w:spacing w:before="120" w:after="12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08" w:type="dxa"/>
      </w:tblCellMar>
    </w:tblPr>
    <w:tblStylePr w:type="firstRow">
      <w:pPr>
        <w:wordWrap/>
        <w:spacing w:beforeLines="0" w:before="120" w:beforeAutospacing="0" w:afterLines="0" w:after="120" w:afterAutospacing="0"/>
        <w:contextualSpacing w:val="0"/>
        <w:jc w:val="left"/>
      </w:pPr>
      <w:rPr>
        <w:rFonts w:ascii="Calibri" w:hAnsi="Calibri"/>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Tabletext">
    <w:name w:val="Table text"/>
    <w:basedOn w:val="Normal"/>
    <w:uiPriority w:val="2"/>
    <w:qFormat/>
    <w:rsid w:val="00263EFE"/>
    <w:pPr>
      <w:spacing w:before="60" w:after="120"/>
    </w:pPr>
  </w:style>
  <w:style w:type="paragraph" w:customStyle="1" w:styleId="NumberedNormal">
    <w:name w:val="Numbered Normal"/>
    <w:basedOn w:val="ListParagraph"/>
    <w:qFormat/>
    <w:rsid w:val="006A0BD1"/>
    <w:pPr>
      <w:spacing w:after="240"/>
      <w:contextualSpacing w:val="0"/>
    </w:pPr>
  </w:style>
  <w:style w:type="character" w:customStyle="1" w:styleId="charparttext">
    <w:name w:val="charparttext"/>
    <w:basedOn w:val="DefaultParagraphFont"/>
    <w:rsid w:val="00F26F1B"/>
  </w:style>
  <w:style w:type="character" w:styleId="CommentReference">
    <w:name w:val="annotation reference"/>
    <w:basedOn w:val="DefaultParagraphFont"/>
    <w:uiPriority w:val="99"/>
    <w:semiHidden/>
    <w:unhideWhenUsed/>
    <w:rsid w:val="00F26F1B"/>
    <w:rPr>
      <w:sz w:val="16"/>
      <w:szCs w:val="16"/>
    </w:rPr>
  </w:style>
  <w:style w:type="paragraph" w:styleId="CommentText">
    <w:name w:val="annotation text"/>
    <w:basedOn w:val="Normal"/>
    <w:link w:val="CommentTextChar"/>
    <w:uiPriority w:val="99"/>
    <w:unhideWhenUsed/>
    <w:rsid w:val="00F26F1B"/>
    <w:rPr>
      <w:rFonts w:eastAsia="Times New Roman" w:cs="Times New Roman"/>
      <w:sz w:val="20"/>
      <w:szCs w:val="20"/>
      <w:lang w:eastAsia="en-AU"/>
    </w:rPr>
  </w:style>
  <w:style w:type="character" w:customStyle="1" w:styleId="CommentTextChar">
    <w:name w:val="Comment Text Char"/>
    <w:basedOn w:val="DefaultParagraphFont"/>
    <w:link w:val="CommentText"/>
    <w:uiPriority w:val="99"/>
    <w:rsid w:val="00F26F1B"/>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D7D51"/>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DD7D51"/>
    <w:rPr>
      <w:rFonts w:ascii="Calibri" w:eastAsia="Times New Roman" w:hAnsi="Calibri" w:cs="Times New Roman"/>
      <w:b/>
      <w:bCs/>
      <w:sz w:val="20"/>
      <w:szCs w:val="20"/>
      <w:lang w:eastAsia="en-AU"/>
    </w:rPr>
  </w:style>
  <w:style w:type="paragraph" w:customStyle="1" w:styleId="Bulletlist">
    <w:name w:val="Bullet list"/>
    <w:basedOn w:val="ListParagraph"/>
    <w:qFormat/>
    <w:rsid w:val="00CB6868"/>
    <w:pPr>
      <w:numPr>
        <w:numId w:val="8"/>
      </w:numPr>
      <w:tabs>
        <w:tab w:val="clear" w:pos="567"/>
      </w:tabs>
      <w:spacing w:before="0"/>
      <w:ind w:hanging="578"/>
      <w:contextualSpacing w:val="0"/>
    </w:pPr>
    <w:rPr>
      <w:rFonts w:eastAsia="Times New Roman" w:cs="Times New Roman"/>
      <w:lang w:eastAsia="en-AU"/>
    </w:rPr>
  </w:style>
  <w:style w:type="paragraph" w:styleId="FootnoteText">
    <w:name w:val="footnote text"/>
    <w:basedOn w:val="Normal"/>
    <w:link w:val="FootnoteTextChar"/>
    <w:uiPriority w:val="99"/>
    <w:semiHidden/>
    <w:unhideWhenUsed/>
    <w:rsid w:val="00CB6868"/>
    <w:pPr>
      <w:spacing w:after="0"/>
    </w:pPr>
    <w:rPr>
      <w:rFonts w:eastAsia="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CB6868"/>
    <w:rPr>
      <w:rFonts w:ascii="Calibri" w:eastAsia="Times New Roman" w:hAnsi="Calibri" w:cs="Times New Roman"/>
      <w:sz w:val="20"/>
      <w:szCs w:val="20"/>
      <w:lang w:eastAsia="en-AU"/>
    </w:rPr>
  </w:style>
  <w:style w:type="character" w:styleId="FootnoteReference">
    <w:name w:val="footnote reference"/>
    <w:basedOn w:val="DefaultParagraphFont"/>
    <w:uiPriority w:val="99"/>
    <w:semiHidden/>
    <w:unhideWhenUsed/>
    <w:rsid w:val="00CB6868"/>
    <w:rPr>
      <w:vertAlign w:val="superscript"/>
    </w:rPr>
  </w:style>
  <w:style w:type="character" w:styleId="Hyperlink">
    <w:name w:val="Hyperlink"/>
    <w:basedOn w:val="DefaultParagraphFont"/>
    <w:uiPriority w:val="99"/>
    <w:unhideWhenUsed/>
    <w:rsid w:val="00CB6868"/>
    <w:rPr>
      <w:color w:val="0000FF" w:themeColor="hyperlink"/>
      <w:u w:val="single"/>
    </w:rPr>
  </w:style>
  <w:style w:type="paragraph" w:customStyle="1" w:styleId="Default">
    <w:name w:val="Default"/>
    <w:rsid w:val="00330B5B"/>
    <w:pPr>
      <w:autoSpaceDE w:val="0"/>
      <w:autoSpaceDN w:val="0"/>
      <w:adjustRightInd w:val="0"/>
      <w:spacing w:after="0" w:line="240" w:lineRule="auto"/>
    </w:pPr>
    <w:rPr>
      <w:rFonts w:ascii="Symbol" w:hAnsi="Symbol" w:cs="Symbol"/>
      <w:color w:val="000000"/>
      <w:sz w:val="24"/>
      <w:szCs w:val="24"/>
    </w:rPr>
  </w:style>
  <w:style w:type="paragraph" w:customStyle="1" w:styleId="ndissubsection">
    <w:name w:val="ndissubsection"/>
    <w:basedOn w:val="Normal"/>
    <w:rsid w:val="0047085D"/>
    <w:pPr>
      <w:spacing w:before="100" w:beforeAutospacing="1" w:after="100" w:afterAutospacing="1"/>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7766">
      <w:bodyDiv w:val="1"/>
      <w:marLeft w:val="0"/>
      <w:marRight w:val="0"/>
      <w:marTop w:val="0"/>
      <w:marBottom w:val="0"/>
      <w:divBdr>
        <w:top w:val="none" w:sz="0" w:space="0" w:color="auto"/>
        <w:left w:val="none" w:sz="0" w:space="0" w:color="auto"/>
        <w:bottom w:val="none" w:sz="0" w:space="0" w:color="auto"/>
        <w:right w:val="none" w:sz="0" w:space="0" w:color="auto"/>
      </w:divBdr>
    </w:div>
    <w:div w:id="261231339">
      <w:bodyDiv w:val="1"/>
      <w:marLeft w:val="0"/>
      <w:marRight w:val="0"/>
      <w:marTop w:val="0"/>
      <w:marBottom w:val="0"/>
      <w:divBdr>
        <w:top w:val="none" w:sz="0" w:space="0" w:color="auto"/>
        <w:left w:val="none" w:sz="0" w:space="0" w:color="auto"/>
        <w:bottom w:val="none" w:sz="0" w:space="0" w:color="auto"/>
        <w:right w:val="none" w:sz="0" w:space="0" w:color="auto"/>
      </w:divBdr>
      <w:divsChild>
        <w:div w:id="1654871230">
          <w:marLeft w:val="0"/>
          <w:marRight w:val="0"/>
          <w:marTop w:val="0"/>
          <w:marBottom w:val="0"/>
          <w:divBdr>
            <w:top w:val="none" w:sz="0" w:space="0" w:color="auto"/>
            <w:left w:val="none" w:sz="0" w:space="0" w:color="auto"/>
            <w:bottom w:val="none" w:sz="0" w:space="0" w:color="auto"/>
            <w:right w:val="none" w:sz="0" w:space="0" w:color="auto"/>
          </w:divBdr>
          <w:divsChild>
            <w:div w:id="1682538020">
              <w:marLeft w:val="0"/>
              <w:marRight w:val="0"/>
              <w:marTop w:val="0"/>
              <w:marBottom w:val="0"/>
              <w:divBdr>
                <w:top w:val="none" w:sz="0" w:space="0" w:color="auto"/>
                <w:left w:val="none" w:sz="0" w:space="0" w:color="auto"/>
                <w:bottom w:val="none" w:sz="0" w:space="0" w:color="auto"/>
                <w:right w:val="none" w:sz="0" w:space="0" w:color="auto"/>
              </w:divBdr>
              <w:divsChild>
                <w:div w:id="1365327238">
                  <w:marLeft w:val="0"/>
                  <w:marRight w:val="0"/>
                  <w:marTop w:val="0"/>
                  <w:marBottom w:val="0"/>
                  <w:divBdr>
                    <w:top w:val="none" w:sz="0" w:space="0" w:color="auto"/>
                    <w:left w:val="none" w:sz="0" w:space="0" w:color="auto"/>
                    <w:bottom w:val="none" w:sz="0" w:space="0" w:color="auto"/>
                    <w:right w:val="none" w:sz="0" w:space="0" w:color="auto"/>
                  </w:divBdr>
                  <w:divsChild>
                    <w:div w:id="523327349">
                      <w:marLeft w:val="0"/>
                      <w:marRight w:val="0"/>
                      <w:marTop w:val="0"/>
                      <w:marBottom w:val="0"/>
                      <w:divBdr>
                        <w:top w:val="none" w:sz="0" w:space="0" w:color="auto"/>
                        <w:left w:val="none" w:sz="0" w:space="0" w:color="auto"/>
                        <w:bottom w:val="none" w:sz="0" w:space="0" w:color="auto"/>
                        <w:right w:val="none" w:sz="0" w:space="0" w:color="auto"/>
                      </w:divBdr>
                      <w:divsChild>
                        <w:div w:id="2039769706">
                          <w:marLeft w:val="0"/>
                          <w:marRight w:val="0"/>
                          <w:marTop w:val="0"/>
                          <w:marBottom w:val="0"/>
                          <w:divBdr>
                            <w:top w:val="single" w:sz="6" w:space="0" w:color="828282"/>
                            <w:left w:val="single" w:sz="6" w:space="0" w:color="828282"/>
                            <w:bottom w:val="single" w:sz="6" w:space="0" w:color="828282"/>
                            <w:right w:val="single" w:sz="6" w:space="0" w:color="828282"/>
                          </w:divBdr>
                          <w:divsChild>
                            <w:div w:id="638146823">
                              <w:marLeft w:val="0"/>
                              <w:marRight w:val="0"/>
                              <w:marTop w:val="0"/>
                              <w:marBottom w:val="0"/>
                              <w:divBdr>
                                <w:top w:val="none" w:sz="0" w:space="0" w:color="auto"/>
                                <w:left w:val="none" w:sz="0" w:space="0" w:color="auto"/>
                                <w:bottom w:val="none" w:sz="0" w:space="0" w:color="auto"/>
                                <w:right w:val="none" w:sz="0" w:space="0" w:color="auto"/>
                              </w:divBdr>
                              <w:divsChild>
                                <w:div w:id="1820535935">
                                  <w:marLeft w:val="0"/>
                                  <w:marRight w:val="0"/>
                                  <w:marTop w:val="0"/>
                                  <w:marBottom w:val="0"/>
                                  <w:divBdr>
                                    <w:top w:val="none" w:sz="0" w:space="0" w:color="auto"/>
                                    <w:left w:val="none" w:sz="0" w:space="0" w:color="auto"/>
                                    <w:bottom w:val="none" w:sz="0" w:space="0" w:color="auto"/>
                                    <w:right w:val="none" w:sz="0" w:space="0" w:color="auto"/>
                                  </w:divBdr>
                                  <w:divsChild>
                                    <w:div w:id="1517884541">
                                      <w:marLeft w:val="0"/>
                                      <w:marRight w:val="0"/>
                                      <w:marTop w:val="0"/>
                                      <w:marBottom w:val="0"/>
                                      <w:divBdr>
                                        <w:top w:val="none" w:sz="0" w:space="0" w:color="auto"/>
                                        <w:left w:val="none" w:sz="0" w:space="0" w:color="auto"/>
                                        <w:bottom w:val="none" w:sz="0" w:space="0" w:color="auto"/>
                                        <w:right w:val="none" w:sz="0" w:space="0" w:color="auto"/>
                                      </w:divBdr>
                                      <w:divsChild>
                                        <w:div w:id="453598227">
                                          <w:marLeft w:val="0"/>
                                          <w:marRight w:val="0"/>
                                          <w:marTop w:val="0"/>
                                          <w:marBottom w:val="0"/>
                                          <w:divBdr>
                                            <w:top w:val="none" w:sz="0" w:space="0" w:color="auto"/>
                                            <w:left w:val="none" w:sz="0" w:space="0" w:color="auto"/>
                                            <w:bottom w:val="none" w:sz="0" w:space="0" w:color="auto"/>
                                            <w:right w:val="none" w:sz="0" w:space="0" w:color="auto"/>
                                          </w:divBdr>
                                          <w:divsChild>
                                            <w:div w:id="1110472866">
                                              <w:marLeft w:val="0"/>
                                              <w:marRight w:val="0"/>
                                              <w:marTop w:val="0"/>
                                              <w:marBottom w:val="0"/>
                                              <w:divBdr>
                                                <w:top w:val="none" w:sz="0" w:space="0" w:color="auto"/>
                                                <w:left w:val="none" w:sz="0" w:space="0" w:color="auto"/>
                                                <w:bottom w:val="none" w:sz="0" w:space="0" w:color="auto"/>
                                                <w:right w:val="none" w:sz="0" w:space="0" w:color="auto"/>
                                              </w:divBdr>
                                              <w:divsChild>
                                                <w:div w:id="90656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9920520">
      <w:bodyDiv w:val="1"/>
      <w:marLeft w:val="0"/>
      <w:marRight w:val="0"/>
      <w:marTop w:val="0"/>
      <w:marBottom w:val="0"/>
      <w:divBdr>
        <w:top w:val="none" w:sz="0" w:space="0" w:color="auto"/>
        <w:left w:val="none" w:sz="0" w:space="0" w:color="auto"/>
        <w:bottom w:val="none" w:sz="0" w:space="0" w:color="auto"/>
        <w:right w:val="none" w:sz="0" w:space="0" w:color="auto"/>
      </w:divBdr>
    </w:div>
    <w:div w:id="657656063">
      <w:bodyDiv w:val="1"/>
      <w:marLeft w:val="0"/>
      <w:marRight w:val="0"/>
      <w:marTop w:val="0"/>
      <w:marBottom w:val="0"/>
      <w:divBdr>
        <w:top w:val="none" w:sz="0" w:space="0" w:color="auto"/>
        <w:left w:val="none" w:sz="0" w:space="0" w:color="auto"/>
        <w:bottom w:val="none" w:sz="0" w:space="0" w:color="auto"/>
        <w:right w:val="none" w:sz="0" w:space="0" w:color="auto"/>
      </w:divBdr>
    </w:div>
    <w:div w:id="795028790">
      <w:bodyDiv w:val="1"/>
      <w:marLeft w:val="0"/>
      <w:marRight w:val="0"/>
      <w:marTop w:val="0"/>
      <w:marBottom w:val="0"/>
      <w:divBdr>
        <w:top w:val="none" w:sz="0" w:space="0" w:color="auto"/>
        <w:left w:val="none" w:sz="0" w:space="0" w:color="auto"/>
        <w:bottom w:val="none" w:sz="0" w:space="0" w:color="auto"/>
        <w:right w:val="none" w:sz="0" w:space="0" w:color="auto"/>
      </w:divBdr>
      <w:divsChild>
        <w:div w:id="1935160815">
          <w:marLeft w:val="0"/>
          <w:marRight w:val="0"/>
          <w:marTop w:val="0"/>
          <w:marBottom w:val="0"/>
          <w:divBdr>
            <w:top w:val="none" w:sz="0" w:space="0" w:color="auto"/>
            <w:left w:val="none" w:sz="0" w:space="0" w:color="auto"/>
            <w:bottom w:val="none" w:sz="0" w:space="0" w:color="auto"/>
            <w:right w:val="none" w:sz="0" w:space="0" w:color="auto"/>
          </w:divBdr>
          <w:divsChild>
            <w:div w:id="1964656458">
              <w:marLeft w:val="0"/>
              <w:marRight w:val="0"/>
              <w:marTop w:val="0"/>
              <w:marBottom w:val="0"/>
              <w:divBdr>
                <w:top w:val="none" w:sz="0" w:space="0" w:color="auto"/>
                <w:left w:val="none" w:sz="0" w:space="0" w:color="auto"/>
                <w:bottom w:val="none" w:sz="0" w:space="0" w:color="auto"/>
                <w:right w:val="none" w:sz="0" w:space="0" w:color="auto"/>
              </w:divBdr>
              <w:divsChild>
                <w:div w:id="1234241209">
                  <w:marLeft w:val="0"/>
                  <w:marRight w:val="0"/>
                  <w:marTop w:val="0"/>
                  <w:marBottom w:val="0"/>
                  <w:divBdr>
                    <w:top w:val="none" w:sz="0" w:space="0" w:color="auto"/>
                    <w:left w:val="none" w:sz="0" w:space="0" w:color="auto"/>
                    <w:bottom w:val="none" w:sz="0" w:space="0" w:color="auto"/>
                    <w:right w:val="none" w:sz="0" w:space="0" w:color="auto"/>
                  </w:divBdr>
                  <w:divsChild>
                    <w:div w:id="377323210">
                      <w:marLeft w:val="0"/>
                      <w:marRight w:val="0"/>
                      <w:marTop w:val="0"/>
                      <w:marBottom w:val="0"/>
                      <w:divBdr>
                        <w:top w:val="none" w:sz="0" w:space="0" w:color="auto"/>
                        <w:left w:val="none" w:sz="0" w:space="0" w:color="auto"/>
                        <w:bottom w:val="none" w:sz="0" w:space="0" w:color="auto"/>
                        <w:right w:val="none" w:sz="0" w:space="0" w:color="auto"/>
                      </w:divBdr>
                      <w:divsChild>
                        <w:div w:id="1238204342">
                          <w:marLeft w:val="0"/>
                          <w:marRight w:val="0"/>
                          <w:marTop w:val="0"/>
                          <w:marBottom w:val="0"/>
                          <w:divBdr>
                            <w:top w:val="single" w:sz="6" w:space="0" w:color="828282"/>
                            <w:left w:val="single" w:sz="6" w:space="0" w:color="828282"/>
                            <w:bottom w:val="single" w:sz="6" w:space="0" w:color="828282"/>
                            <w:right w:val="single" w:sz="6" w:space="0" w:color="828282"/>
                          </w:divBdr>
                          <w:divsChild>
                            <w:div w:id="1408381150">
                              <w:marLeft w:val="0"/>
                              <w:marRight w:val="0"/>
                              <w:marTop w:val="0"/>
                              <w:marBottom w:val="0"/>
                              <w:divBdr>
                                <w:top w:val="none" w:sz="0" w:space="0" w:color="auto"/>
                                <w:left w:val="none" w:sz="0" w:space="0" w:color="auto"/>
                                <w:bottom w:val="none" w:sz="0" w:space="0" w:color="auto"/>
                                <w:right w:val="none" w:sz="0" w:space="0" w:color="auto"/>
                              </w:divBdr>
                              <w:divsChild>
                                <w:div w:id="866597544">
                                  <w:marLeft w:val="0"/>
                                  <w:marRight w:val="0"/>
                                  <w:marTop w:val="0"/>
                                  <w:marBottom w:val="0"/>
                                  <w:divBdr>
                                    <w:top w:val="none" w:sz="0" w:space="0" w:color="auto"/>
                                    <w:left w:val="none" w:sz="0" w:space="0" w:color="auto"/>
                                    <w:bottom w:val="none" w:sz="0" w:space="0" w:color="auto"/>
                                    <w:right w:val="none" w:sz="0" w:space="0" w:color="auto"/>
                                  </w:divBdr>
                                  <w:divsChild>
                                    <w:div w:id="913244485">
                                      <w:marLeft w:val="0"/>
                                      <w:marRight w:val="0"/>
                                      <w:marTop w:val="0"/>
                                      <w:marBottom w:val="0"/>
                                      <w:divBdr>
                                        <w:top w:val="none" w:sz="0" w:space="0" w:color="auto"/>
                                        <w:left w:val="none" w:sz="0" w:space="0" w:color="auto"/>
                                        <w:bottom w:val="none" w:sz="0" w:space="0" w:color="auto"/>
                                        <w:right w:val="none" w:sz="0" w:space="0" w:color="auto"/>
                                      </w:divBdr>
                                      <w:divsChild>
                                        <w:div w:id="1483808131">
                                          <w:marLeft w:val="0"/>
                                          <w:marRight w:val="0"/>
                                          <w:marTop w:val="0"/>
                                          <w:marBottom w:val="0"/>
                                          <w:divBdr>
                                            <w:top w:val="none" w:sz="0" w:space="0" w:color="auto"/>
                                            <w:left w:val="none" w:sz="0" w:space="0" w:color="auto"/>
                                            <w:bottom w:val="none" w:sz="0" w:space="0" w:color="auto"/>
                                            <w:right w:val="none" w:sz="0" w:space="0" w:color="auto"/>
                                          </w:divBdr>
                                          <w:divsChild>
                                            <w:div w:id="69550070">
                                              <w:marLeft w:val="0"/>
                                              <w:marRight w:val="0"/>
                                              <w:marTop w:val="0"/>
                                              <w:marBottom w:val="0"/>
                                              <w:divBdr>
                                                <w:top w:val="none" w:sz="0" w:space="0" w:color="auto"/>
                                                <w:left w:val="none" w:sz="0" w:space="0" w:color="auto"/>
                                                <w:bottom w:val="none" w:sz="0" w:space="0" w:color="auto"/>
                                                <w:right w:val="none" w:sz="0" w:space="0" w:color="auto"/>
                                              </w:divBdr>
                                              <w:divsChild>
                                                <w:div w:id="19639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9340630">
      <w:bodyDiv w:val="1"/>
      <w:marLeft w:val="0"/>
      <w:marRight w:val="0"/>
      <w:marTop w:val="0"/>
      <w:marBottom w:val="0"/>
      <w:divBdr>
        <w:top w:val="none" w:sz="0" w:space="0" w:color="auto"/>
        <w:left w:val="none" w:sz="0" w:space="0" w:color="auto"/>
        <w:bottom w:val="none" w:sz="0" w:space="0" w:color="auto"/>
        <w:right w:val="none" w:sz="0" w:space="0" w:color="auto"/>
      </w:divBdr>
    </w:div>
    <w:div w:id="1793674687">
      <w:bodyDiv w:val="1"/>
      <w:marLeft w:val="0"/>
      <w:marRight w:val="0"/>
      <w:marTop w:val="0"/>
      <w:marBottom w:val="0"/>
      <w:divBdr>
        <w:top w:val="none" w:sz="0" w:space="0" w:color="auto"/>
        <w:left w:val="none" w:sz="0" w:space="0" w:color="auto"/>
        <w:bottom w:val="none" w:sz="0" w:space="0" w:color="auto"/>
        <w:right w:val="none" w:sz="0" w:space="0" w:color="auto"/>
      </w:divBdr>
    </w:div>
    <w:div w:id="1957522669">
      <w:bodyDiv w:val="1"/>
      <w:marLeft w:val="0"/>
      <w:marRight w:val="0"/>
      <w:marTop w:val="0"/>
      <w:marBottom w:val="0"/>
      <w:divBdr>
        <w:top w:val="none" w:sz="0" w:space="0" w:color="auto"/>
        <w:left w:val="none" w:sz="0" w:space="0" w:color="auto"/>
        <w:bottom w:val="none" w:sz="0" w:space="0" w:color="auto"/>
        <w:right w:val="none" w:sz="0" w:space="0" w:color="auto"/>
      </w:divBdr>
      <w:divsChild>
        <w:div w:id="2144887875">
          <w:marLeft w:val="0"/>
          <w:marRight w:val="0"/>
          <w:marTop w:val="0"/>
          <w:marBottom w:val="0"/>
          <w:divBdr>
            <w:top w:val="none" w:sz="0" w:space="0" w:color="auto"/>
            <w:left w:val="none" w:sz="0" w:space="0" w:color="auto"/>
            <w:bottom w:val="none" w:sz="0" w:space="0" w:color="auto"/>
            <w:right w:val="none" w:sz="0" w:space="0" w:color="auto"/>
          </w:divBdr>
          <w:divsChild>
            <w:div w:id="1953201684">
              <w:marLeft w:val="0"/>
              <w:marRight w:val="0"/>
              <w:marTop w:val="0"/>
              <w:marBottom w:val="0"/>
              <w:divBdr>
                <w:top w:val="none" w:sz="0" w:space="0" w:color="auto"/>
                <w:left w:val="none" w:sz="0" w:space="0" w:color="auto"/>
                <w:bottom w:val="none" w:sz="0" w:space="0" w:color="auto"/>
                <w:right w:val="none" w:sz="0" w:space="0" w:color="auto"/>
              </w:divBdr>
              <w:divsChild>
                <w:div w:id="1878852571">
                  <w:marLeft w:val="0"/>
                  <w:marRight w:val="0"/>
                  <w:marTop w:val="0"/>
                  <w:marBottom w:val="0"/>
                  <w:divBdr>
                    <w:top w:val="none" w:sz="0" w:space="0" w:color="auto"/>
                    <w:left w:val="none" w:sz="0" w:space="0" w:color="auto"/>
                    <w:bottom w:val="none" w:sz="0" w:space="0" w:color="auto"/>
                    <w:right w:val="none" w:sz="0" w:space="0" w:color="auto"/>
                  </w:divBdr>
                  <w:divsChild>
                    <w:div w:id="1361973312">
                      <w:marLeft w:val="0"/>
                      <w:marRight w:val="0"/>
                      <w:marTop w:val="0"/>
                      <w:marBottom w:val="0"/>
                      <w:divBdr>
                        <w:top w:val="none" w:sz="0" w:space="0" w:color="auto"/>
                        <w:left w:val="none" w:sz="0" w:space="0" w:color="auto"/>
                        <w:bottom w:val="none" w:sz="0" w:space="0" w:color="auto"/>
                        <w:right w:val="none" w:sz="0" w:space="0" w:color="auto"/>
                      </w:divBdr>
                      <w:divsChild>
                        <w:div w:id="1940285042">
                          <w:marLeft w:val="0"/>
                          <w:marRight w:val="0"/>
                          <w:marTop w:val="0"/>
                          <w:marBottom w:val="0"/>
                          <w:divBdr>
                            <w:top w:val="single" w:sz="6" w:space="0" w:color="828282"/>
                            <w:left w:val="single" w:sz="6" w:space="0" w:color="828282"/>
                            <w:bottom w:val="single" w:sz="6" w:space="0" w:color="828282"/>
                            <w:right w:val="single" w:sz="6" w:space="0" w:color="828282"/>
                          </w:divBdr>
                          <w:divsChild>
                            <w:div w:id="1929386783">
                              <w:marLeft w:val="0"/>
                              <w:marRight w:val="0"/>
                              <w:marTop w:val="0"/>
                              <w:marBottom w:val="0"/>
                              <w:divBdr>
                                <w:top w:val="none" w:sz="0" w:space="0" w:color="auto"/>
                                <w:left w:val="none" w:sz="0" w:space="0" w:color="auto"/>
                                <w:bottom w:val="none" w:sz="0" w:space="0" w:color="auto"/>
                                <w:right w:val="none" w:sz="0" w:space="0" w:color="auto"/>
                              </w:divBdr>
                              <w:divsChild>
                                <w:div w:id="2001426341">
                                  <w:marLeft w:val="0"/>
                                  <w:marRight w:val="0"/>
                                  <w:marTop w:val="0"/>
                                  <w:marBottom w:val="0"/>
                                  <w:divBdr>
                                    <w:top w:val="none" w:sz="0" w:space="0" w:color="auto"/>
                                    <w:left w:val="none" w:sz="0" w:space="0" w:color="auto"/>
                                    <w:bottom w:val="none" w:sz="0" w:space="0" w:color="auto"/>
                                    <w:right w:val="none" w:sz="0" w:space="0" w:color="auto"/>
                                  </w:divBdr>
                                  <w:divsChild>
                                    <w:div w:id="1355034253">
                                      <w:marLeft w:val="0"/>
                                      <w:marRight w:val="0"/>
                                      <w:marTop w:val="0"/>
                                      <w:marBottom w:val="0"/>
                                      <w:divBdr>
                                        <w:top w:val="none" w:sz="0" w:space="0" w:color="auto"/>
                                        <w:left w:val="none" w:sz="0" w:space="0" w:color="auto"/>
                                        <w:bottom w:val="none" w:sz="0" w:space="0" w:color="auto"/>
                                        <w:right w:val="none" w:sz="0" w:space="0" w:color="auto"/>
                                      </w:divBdr>
                                      <w:divsChild>
                                        <w:div w:id="620460846">
                                          <w:marLeft w:val="0"/>
                                          <w:marRight w:val="0"/>
                                          <w:marTop w:val="0"/>
                                          <w:marBottom w:val="0"/>
                                          <w:divBdr>
                                            <w:top w:val="none" w:sz="0" w:space="0" w:color="auto"/>
                                            <w:left w:val="none" w:sz="0" w:space="0" w:color="auto"/>
                                            <w:bottom w:val="none" w:sz="0" w:space="0" w:color="auto"/>
                                            <w:right w:val="none" w:sz="0" w:space="0" w:color="auto"/>
                                          </w:divBdr>
                                          <w:divsChild>
                                            <w:div w:id="2138179142">
                                              <w:marLeft w:val="0"/>
                                              <w:marRight w:val="0"/>
                                              <w:marTop w:val="0"/>
                                              <w:marBottom w:val="0"/>
                                              <w:divBdr>
                                                <w:top w:val="none" w:sz="0" w:space="0" w:color="auto"/>
                                                <w:left w:val="none" w:sz="0" w:space="0" w:color="auto"/>
                                                <w:bottom w:val="none" w:sz="0" w:space="0" w:color="auto"/>
                                                <w:right w:val="none" w:sz="0" w:space="0" w:color="auto"/>
                                              </w:divBdr>
                                              <w:divsChild>
                                                <w:div w:id="1865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mc.gov.au/privacy/alrc_docs/stage1_aus_govt_response.pdf" TargetMode="External"/><Relationship Id="rId5" Type="http://schemas.openxmlformats.org/officeDocument/2006/relationships/settings" Target="settings.xml"/><Relationship Id="rId10" Type="http://schemas.openxmlformats.org/officeDocument/2006/relationships/hyperlink" Target="http://www.alrc.gov.au/publications/report-108" TargetMode="External"/><Relationship Id="rId4" Type="http://schemas.microsoft.com/office/2007/relationships/stylesWithEffects" Target="stylesWithEffects.xml"/><Relationship Id="rId9" Type="http://schemas.openxmlformats.org/officeDocument/2006/relationships/hyperlink" Target="http://www.oaic.gov.au/privacy/applying-privacy-law/advisory-privacy-guidelines/guidelines-for-developing-co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ED0F5-9B08-4624-A833-1C80844F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1731</Words>
  <Characters>9234</Characters>
  <Application>Microsoft Office Word</Application>
  <DocSecurity>0</DocSecurity>
  <Lines>156</Lines>
  <Paragraphs>68</Paragraphs>
  <ScaleCrop>false</ScaleCrop>
  <HeadingPairs>
    <vt:vector size="2" baseType="variant">
      <vt:variant>
        <vt:lpstr>Title</vt:lpstr>
      </vt:variant>
      <vt:variant>
        <vt:i4>1</vt:i4>
      </vt:variant>
    </vt:vector>
  </HeadingPairs>
  <TitlesOfParts>
    <vt:vector size="1" baseType="lpstr">
      <vt:lpstr/>
    </vt:vector>
  </TitlesOfParts>
  <Company>Office of the Australian Information Commissioner</Company>
  <LinksUpToDate>false</LinksUpToDate>
  <CharactersWithSpaces>10946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Croxall</dc:creator>
  <cp:lastModifiedBy>Nina Yiannopoulos</cp:lastModifiedBy>
  <cp:revision>2</cp:revision>
  <cp:lastPrinted>2013-10-14T04:06:00Z</cp:lastPrinted>
  <dcterms:created xsi:type="dcterms:W3CDTF">2014-02-19T03:45:00Z</dcterms:created>
  <dcterms:modified xsi:type="dcterms:W3CDTF">2014-02-19T03:45:00Z</dcterms:modified>
</cp:coreProperties>
</file>