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B15F8" w14:textId="005E5ABC" w:rsidR="00486EE8" w:rsidRPr="00486EE8" w:rsidRDefault="00486EE8" w:rsidP="00D25208">
      <w:pPr>
        <w:keepNext/>
        <w:spacing w:before="240" w:after="60"/>
        <w:jc w:val="center"/>
        <w:outlineLvl w:val="0"/>
        <w:rPr>
          <w:rFonts w:ascii="Arial Bold" w:hAnsi="Arial Bold"/>
          <w:b/>
          <w:kern w:val="28"/>
          <w:sz w:val="28"/>
          <w:u w:val="single"/>
        </w:rPr>
      </w:pPr>
      <w:r w:rsidRPr="00486EE8">
        <w:rPr>
          <w:rFonts w:ascii="Arial Bold" w:hAnsi="Arial Bold"/>
          <w:b/>
          <w:kern w:val="28"/>
          <w:sz w:val="28"/>
          <w:u w:val="single"/>
        </w:rPr>
        <w:t>EXPLANATORY STATEMENT</w:t>
      </w:r>
    </w:p>
    <w:p w14:paraId="179B15F9" w14:textId="26E77DC9" w:rsidR="00486EE8" w:rsidRPr="006074D7" w:rsidRDefault="006074D7" w:rsidP="006074D7">
      <w:pPr>
        <w:keepNext/>
        <w:spacing w:before="240" w:after="60"/>
        <w:jc w:val="center"/>
        <w:outlineLvl w:val="1"/>
        <w:rPr>
          <w:b/>
          <w:sz w:val="28"/>
          <w:u w:val="single"/>
        </w:rPr>
      </w:pPr>
      <w:r w:rsidRPr="006074D7">
        <w:rPr>
          <w:b/>
          <w:sz w:val="28"/>
          <w:u w:val="single"/>
        </w:rPr>
        <w:t>Select Legislative Instrument No. 6, 2014</w:t>
      </w:r>
    </w:p>
    <w:p w14:paraId="557D8351" w14:textId="66E47408" w:rsidR="00693A7C" w:rsidRPr="008B0CBA" w:rsidRDefault="00486EE8" w:rsidP="00D25208">
      <w:pPr>
        <w:keepNext/>
        <w:spacing w:before="240" w:after="60"/>
        <w:jc w:val="center"/>
        <w:outlineLvl w:val="1"/>
        <w:rPr>
          <w:b/>
          <w:szCs w:val="24"/>
          <w:u w:val="single"/>
        </w:rPr>
      </w:pPr>
      <w:r w:rsidRPr="008B0CBA">
        <w:rPr>
          <w:b/>
          <w:szCs w:val="24"/>
          <w:u w:val="single"/>
        </w:rPr>
        <w:t>Issued by authority of the Assistant Treasurer</w:t>
      </w:r>
      <w:bookmarkStart w:id="0" w:name="_GoBack"/>
      <w:bookmarkEnd w:id="0"/>
    </w:p>
    <w:p w14:paraId="179B15FB" w14:textId="5F9E73AF" w:rsidR="00486EE8" w:rsidRPr="00486EE8" w:rsidRDefault="00486EE8" w:rsidP="007372FA">
      <w:pPr>
        <w:tabs>
          <w:tab w:val="left" w:pos="1418"/>
        </w:tabs>
        <w:spacing w:before="240" w:after="240"/>
        <w:jc w:val="center"/>
        <w:rPr>
          <w:i/>
        </w:rPr>
      </w:pPr>
      <w:r>
        <w:rPr>
          <w:i/>
        </w:rPr>
        <w:t>Superannuation Guarantee (Administration) Act</w:t>
      </w:r>
      <w:r>
        <w:t xml:space="preserve"> </w:t>
      </w:r>
      <w:r>
        <w:rPr>
          <w:i/>
        </w:rPr>
        <w:t>1992</w:t>
      </w:r>
      <w:r w:rsidR="00ED25DA">
        <w:rPr>
          <w:i/>
        </w:rPr>
        <w:t>; Income Tax Assessment Act 1997</w:t>
      </w:r>
    </w:p>
    <w:p w14:paraId="5AA5DB2F" w14:textId="0938C929" w:rsidR="007372FA" w:rsidRPr="007F7C8F" w:rsidRDefault="007F7C8F" w:rsidP="00AD36C6">
      <w:pPr>
        <w:tabs>
          <w:tab w:val="left" w:pos="1418"/>
        </w:tabs>
        <w:spacing w:before="120" w:after="240"/>
        <w:jc w:val="center"/>
        <w:rPr>
          <w:i/>
        </w:rPr>
      </w:pPr>
      <w:r w:rsidRPr="007F7C8F">
        <w:rPr>
          <w:i/>
        </w:rPr>
        <w:t>Tax and Superannuation L</w:t>
      </w:r>
      <w:r w:rsidR="006638EE">
        <w:rPr>
          <w:i/>
        </w:rPr>
        <w:t>aws</w:t>
      </w:r>
      <w:r w:rsidRPr="007F7C8F">
        <w:rPr>
          <w:i/>
        </w:rPr>
        <w:t xml:space="preserve"> Amendment (2014 Measures No. 1) Regulation 2014</w:t>
      </w:r>
    </w:p>
    <w:p w14:paraId="251F11AD" w14:textId="5F854598" w:rsidR="00597DF1" w:rsidRDefault="00597DF1" w:rsidP="00597DF1">
      <w:pPr>
        <w:tabs>
          <w:tab w:val="left" w:pos="1418"/>
        </w:tabs>
        <w:spacing w:before="100" w:beforeAutospacing="1" w:after="100" w:afterAutospacing="1"/>
      </w:pPr>
      <w:r>
        <w:t xml:space="preserve">Subsection 909-1(1) of the </w:t>
      </w:r>
      <w:r>
        <w:rPr>
          <w:i/>
        </w:rPr>
        <w:t>Income Tax Assessment Act</w:t>
      </w:r>
      <w:r w:rsidR="00DF3EE5">
        <w:rPr>
          <w:i/>
        </w:rPr>
        <w:t xml:space="preserve"> 1997</w:t>
      </w:r>
      <w:r>
        <w:t xml:space="preserve"> (</w:t>
      </w:r>
      <w:proofErr w:type="spellStart"/>
      <w:r>
        <w:t>ITAA</w:t>
      </w:r>
      <w:proofErr w:type="spellEnd"/>
      <w:r>
        <w:t xml:space="preserve"> 1997) and</w:t>
      </w:r>
      <w:r w:rsidRPr="00486EE8">
        <w:t xml:space="preserve"> </w:t>
      </w:r>
      <w:r>
        <w:t>section 80</w:t>
      </w:r>
      <w:r w:rsidRPr="00486EE8">
        <w:t xml:space="preserve"> of the </w:t>
      </w:r>
      <w:r>
        <w:rPr>
          <w:i/>
        </w:rPr>
        <w:t>Superannuation Guarantee (Administration) Act</w:t>
      </w:r>
      <w:r>
        <w:t xml:space="preserve"> </w:t>
      </w:r>
      <w:r>
        <w:rPr>
          <w:i/>
        </w:rPr>
        <w:t xml:space="preserve">1992 </w:t>
      </w:r>
      <w:r w:rsidRPr="00486EE8">
        <w:t>(</w:t>
      </w:r>
      <w:r>
        <w:t>SG</w:t>
      </w:r>
      <w:r w:rsidRPr="00486EE8">
        <w:t xml:space="preserve"> Act)</w:t>
      </w:r>
      <w:r>
        <w:t xml:space="preserve"> </w:t>
      </w:r>
      <w:r w:rsidRPr="00486EE8">
        <w:t xml:space="preserve">provide that the </w:t>
      </w:r>
      <w:r w:rsidR="007372FA" w:rsidRPr="00486EE8">
        <w:t>Governor</w:t>
      </w:r>
      <w:r w:rsidR="007372FA">
        <w:t>-</w:t>
      </w:r>
      <w:r w:rsidRPr="00486EE8">
        <w:t xml:space="preserve">General may make regulations prescribing matters required or permitted by the </w:t>
      </w:r>
      <w:r>
        <w:t xml:space="preserve"> relevant </w:t>
      </w:r>
      <w:r w:rsidRPr="00486EE8">
        <w:t xml:space="preserve">Act to be prescribed, or necessary or convenient to be prescribed for carrying out or giving effect to the </w:t>
      </w:r>
      <w:r>
        <w:t>relevant Act</w:t>
      </w:r>
      <w:r w:rsidRPr="00486EE8">
        <w:t>.</w:t>
      </w:r>
    </w:p>
    <w:p w14:paraId="59B714A9" w14:textId="18B5A4D1" w:rsidR="007F7C8F" w:rsidRDefault="007F7C8F" w:rsidP="007F7C8F">
      <w:pPr>
        <w:tabs>
          <w:tab w:val="left" w:pos="1701"/>
          <w:tab w:val="right" w:pos="9072"/>
        </w:tabs>
        <w:spacing w:before="100" w:beforeAutospacing="1" w:after="100" w:afterAutospacing="1"/>
        <w:ind w:right="91"/>
      </w:pPr>
      <w:r>
        <w:t xml:space="preserve">The purpose of the </w:t>
      </w:r>
      <w:r w:rsidRPr="00A96073">
        <w:rPr>
          <w:i/>
        </w:rPr>
        <w:t xml:space="preserve">Tax and </w:t>
      </w:r>
      <w:r w:rsidRPr="00A079B0">
        <w:rPr>
          <w:i/>
        </w:rPr>
        <w:t>Superannuation L</w:t>
      </w:r>
      <w:r w:rsidR="006638EE">
        <w:rPr>
          <w:i/>
        </w:rPr>
        <w:t>aws</w:t>
      </w:r>
      <w:r w:rsidRPr="00A079B0">
        <w:rPr>
          <w:i/>
        </w:rPr>
        <w:t xml:space="preserve"> Amendment (2014 Measures No. 1) Regulation 2014</w:t>
      </w:r>
      <w:r w:rsidR="00021934">
        <w:t xml:space="preserve"> (</w:t>
      </w:r>
      <w:r w:rsidR="007372FA">
        <w:t xml:space="preserve">the Amending </w:t>
      </w:r>
      <w:r>
        <w:t>Regulation) is to:</w:t>
      </w:r>
    </w:p>
    <w:p w14:paraId="5FA07581" w14:textId="24CFCB5B" w:rsidR="007F7C8F" w:rsidRDefault="007F7C8F" w:rsidP="007F7C8F">
      <w:pPr>
        <w:pStyle w:val="Bullet"/>
        <w:spacing w:before="100" w:beforeAutospacing="1" w:after="100" w:afterAutospacing="1" w:line="240" w:lineRule="auto"/>
      </w:pPr>
      <w:r>
        <w:t>prescribe an interim method for calculating the amount of an individual’s ‘defined benefit contributions’ for the purposes of Division 293 tax to enable the Commissioner</w:t>
      </w:r>
      <w:r w:rsidR="00DF3EE5">
        <w:t xml:space="preserve"> of Taxation</w:t>
      </w:r>
      <w:r>
        <w:t xml:space="preserve"> to determine an individual’s liability for the 2012-13 financial year;</w:t>
      </w:r>
    </w:p>
    <w:p w14:paraId="29C8B519" w14:textId="6175353A" w:rsidR="007F7C8F" w:rsidRDefault="006340B2" w:rsidP="007F7C8F">
      <w:pPr>
        <w:pStyle w:val="Bullet"/>
        <w:spacing w:before="100" w:beforeAutospacing="1" w:after="100" w:afterAutospacing="1" w:line="240" w:lineRule="auto"/>
      </w:pPr>
      <w:r>
        <w:t>update</w:t>
      </w:r>
      <w:r w:rsidR="007F7C8F">
        <w:t xml:space="preserve"> the lists of public sector superannuation schemes in the </w:t>
      </w:r>
      <w:r w:rsidR="007F7C8F" w:rsidRPr="008033C0">
        <w:rPr>
          <w:i/>
        </w:rPr>
        <w:t>Superannuation Guarantee (Administration) Regulations 1993</w:t>
      </w:r>
      <w:r w:rsidR="007F7C8F">
        <w:t xml:space="preserve"> (SG Regulations); and</w:t>
      </w:r>
    </w:p>
    <w:p w14:paraId="13D854C1" w14:textId="77777777" w:rsidR="007F7C8F" w:rsidRDefault="007F7C8F" w:rsidP="007F7C8F">
      <w:pPr>
        <w:pStyle w:val="Bullet"/>
        <w:spacing w:before="100" w:beforeAutospacing="1" w:after="100" w:afterAutospacing="1" w:line="240" w:lineRule="auto"/>
      </w:pPr>
      <w:r>
        <w:t>prescribe the Australian Taxation Office (</w:t>
      </w:r>
      <w:proofErr w:type="spellStart"/>
      <w:r>
        <w:t>ATO</w:t>
      </w:r>
      <w:proofErr w:type="spellEnd"/>
      <w:r>
        <w:t>) as an ‘approved clearing house’ for the purposes of the SG Regulations.</w:t>
      </w:r>
      <w:r w:rsidDel="00D629C3">
        <w:t xml:space="preserve"> </w:t>
      </w:r>
    </w:p>
    <w:p w14:paraId="6D382D54" w14:textId="77777777" w:rsidR="007F7C8F" w:rsidRPr="00C87980" w:rsidRDefault="007F7C8F" w:rsidP="007F7C8F">
      <w:pPr>
        <w:pStyle w:val="Bullet"/>
        <w:numPr>
          <w:ilvl w:val="0"/>
          <w:numId w:val="0"/>
        </w:numPr>
        <w:spacing w:before="100" w:beforeAutospacing="1" w:after="100" w:afterAutospacing="1" w:line="240" w:lineRule="auto"/>
        <w:rPr>
          <w:u w:val="single"/>
        </w:rPr>
      </w:pPr>
      <w:r>
        <w:rPr>
          <w:u w:val="single"/>
        </w:rPr>
        <w:t>I</w:t>
      </w:r>
      <w:r w:rsidRPr="00C87980">
        <w:rPr>
          <w:u w:val="single"/>
        </w:rPr>
        <w:t>nterim method for calculating the amount of defined benefit contributions</w:t>
      </w:r>
    </w:p>
    <w:p w14:paraId="1F2FD8B8" w14:textId="7ADE6150" w:rsidR="007F7C8F" w:rsidRDefault="007F7C8F" w:rsidP="007F7C8F">
      <w:pPr>
        <w:tabs>
          <w:tab w:val="left" w:pos="1701"/>
          <w:tab w:val="right" w:pos="9072"/>
        </w:tabs>
        <w:spacing w:before="100" w:beforeAutospacing="1" w:after="100" w:afterAutospacing="1"/>
        <w:ind w:right="91"/>
      </w:pPr>
      <w:r>
        <w:t xml:space="preserve">The </w:t>
      </w:r>
      <w:proofErr w:type="spellStart"/>
      <w:r>
        <w:t>ITAA</w:t>
      </w:r>
      <w:proofErr w:type="spellEnd"/>
      <w:r>
        <w:t xml:space="preserve"> 1997 imposes tax on certain superannuation contributions of high income earners (Division 293 tax); broadly those whose adjusted taxable income and </w:t>
      </w:r>
      <w:proofErr w:type="spellStart"/>
      <w:r>
        <w:t>concessionally</w:t>
      </w:r>
      <w:proofErr w:type="spellEnd"/>
      <w:r>
        <w:t xml:space="preserve"> taxed superannuation contributions exceed $300,000 in an income year. </w:t>
      </w:r>
      <w:r w:rsidR="002F7A95">
        <w:t xml:space="preserve"> </w:t>
      </w:r>
      <w:r>
        <w:t>The tax is designed to</w:t>
      </w:r>
      <w:r w:rsidRPr="00A92F13">
        <w:t xml:space="preserve"> ensure that the tax concession received by these individuals </w:t>
      </w:r>
      <w:r>
        <w:t xml:space="preserve">on superannuation contributions </w:t>
      </w:r>
      <w:r w:rsidRPr="00A92F13">
        <w:t xml:space="preserve">is more closely aligned with the concession received by average income earners. </w:t>
      </w:r>
    </w:p>
    <w:p w14:paraId="0999BF39" w14:textId="6C806FA0" w:rsidR="007F7C8F" w:rsidRDefault="007F7C8F" w:rsidP="007F7C8F">
      <w:pPr>
        <w:tabs>
          <w:tab w:val="left" w:pos="1701"/>
          <w:tab w:val="right" w:pos="9072"/>
        </w:tabs>
        <w:spacing w:before="100" w:beforeAutospacing="1" w:after="100" w:afterAutospacing="1"/>
        <w:ind w:right="91"/>
      </w:pPr>
      <w:r>
        <w:t>A ‘defined benefit’ superannuation scheme provides retirement benefits based on factors other than contributions to the scheme, such as the individual’s pre-retirement salary, and can be funded by means such as direct payments by an employer or the government.  To calculate an individual’s</w:t>
      </w:r>
      <w:r w:rsidR="006340B2">
        <w:t xml:space="preserve"> Division 293</w:t>
      </w:r>
      <w:r w:rsidR="002F7A95">
        <w:t xml:space="preserve"> tax</w:t>
      </w:r>
      <w:r>
        <w:t xml:space="preserve"> liability where the individual has an interest in a defined benefit scheme, it is necessary to determine an individual’s amount of ‘defined benefit contributions’.  The </w:t>
      </w:r>
      <w:r w:rsidR="006340B2" w:rsidRPr="00A92F13">
        <w:rPr>
          <w:i/>
        </w:rPr>
        <w:t>Income Tax Assessment Regulations 1997</w:t>
      </w:r>
      <w:r w:rsidR="006340B2">
        <w:t xml:space="preserve"> (the </w:t>
      </w:r>
      <w:proofErr w:type="spellStart"/>
      <w:r w:rsidR="006340B2">
        <w:t>ITAA</w:t>
      </w:r>
      <w:proofErr w:type="spellEnd"/>
      <w:r w:rsidR="006340B2">
        <w:t xml:space="preserve"> 1997</w:t>
      </w:r>
      <w:r w:rsidR="006340B2" w:rsidRPr="00A92F13">
        <w:t xml:space="preserve"> Regulations) </w:t>
      </w:r>
      <w:r>
        <w:t>do not yet provide a method for determining the amount of an individual’s defined benefit contributions</w:t>
      </w:r>
      <w:r w:rsidR="006340B2">
        <w:t xml:space="preserve"> which are to be subject to Division 293 tax</w:t>
      </w:r>
      <w:r>
        <w:t>.</w:t>
      </w:r>
    </w:p>
    <w:p w14:paraId="6A499FE8" w14:textId="5C15F955" w:rsidR="007F7C8F" w:rsidRDefault="007F7C8F" w:rsidP="007F7C8F">
      <w:pPr>
        <w:tabs>
          <w:tab w:val="left" w:pos="1701"/>
          <w:tab w:val="right" w:pos="9072"/>
        </w:tabs>
        <w:spacing w:before="100" w:beforeAutospacing="1" w:after="100" w:afterAutospacing="1"/>
        <w:ind w:right="91"/>
      </w:pPr>
      <w:bookmarkStart w:id="1" w:name="tempbookmark"/>
      <w:r>
        <w:t xml:space="preserve">The </w:t>
      </w:r>
      <w:r w:rsidR="006852AE">
        <w:t xml:space="preserve">Amending </w:t>
      </w:r>
      <w:r>
        <w:t>Regulation amends</w:t>
      </w:r>
      <w:r w:rsidRPr="00114A82">
        <w:t xml:space="preserve"> </w:t>
      </w:r>
      <w:r w:rsidRPr="00A92F13">
        <w:t xml:space="preserve">the </w:t>
      </w:r>
      <w:proofErr w:type="spellStart"/>
      <w:r w:rsidR="006340B2">
        <w:t>ITAA</w:t>
      </w:r>
      <w:proofErr w:type="spellEnd"/>
      <w:r w:rsidR="006340B2">
        <w:t xml:space="preserve"> 1997 Regulations</w:t>
      </w:r>
      <w:r w:rsidR="007372FA">
        <w:t xml:space="preserve"> </w:t>
      </w:r>
      <w:r w:rsidRPr="00A92F13">
        <w:t>to prescribe that</w:t>
      </w:r>
      <w:r>
        <w:t xml:space="preserve"> the amount of</w:t>
      </w:r>
      <w:r w:rsidRPr="00A92F13">
        <w:t xml:space="preserve"> an individual’s defined benefit contributions </w:t>
      </w:r>
      <w:r>
        <w:t>is</w:t>
      </w:r>
      <w:r w:rsidRPr="00A92F13">
        <w:t xml:space="preserve"> equal to their notional taxed contributions </w:t>
      </w:r>
      <w:r>
        <w:t xml:space="preserve">for that defined benefit interest </w:t>
      </w:r>
      <w:r w:rsidRPr="00A92F13">
        <w:t xml:space="preserve">for the </w:t>
      </w:r>
      <w:r>
        <w:t xml:space="preserve">2012-13 </w:t>
      </w:r>
      <w:r w:rsidRPr="00A92F13">
        <w:t>financial year</w:t>
      </w:r>
      <w:r>
        <w:t xml:space="preserve"> (the</w:t>
      </w:r>
      <w:r w:rsidRPr="00A92F13">
        <w:t xml:space="preserve"> interim method</w:t>
      </w:r>
      <w:r>
        <w:t>)</w:t>
      </w:r>
      <w:r w:rsidRPr="00A92F13">
        <w:t>.</w:t>
      </w:r>
      <w:r w:rsidRPr="00D13CCB">
        <w:t xml:space="preserve"> </w:t>
      </w:r>
      <w:r>
        <w:t xml:space="preserve"> </w:t>
      </w:r>
    </w:p>
    <w:p w14:paraId="25887BF2" w14:textId="5657DC25" w:rsidR="007F7C8F" w:rsidRDefault="007F7C8F" w:rsidP="007F7C8F">
      <w:pPr>
        <w:tabs>
          <w:tab w:val="left" w:pos="1701"/>
          <w:tab w:val="right" w:pos="9072"/>
        </w:tabs>
        <w:spacing w:before="100" w:beforeAutospacing="1" w:after="100" w:afterAutospacing="1"/>
        <w:ind w:right="91"/>
      </w:pPr>
      <w:r>
        <w:lastRenderedPageBreak/>
        <w:t xml:space="preserve">Notional taxed contributions are an estimate, using prescribed assumptions, of the amount of concessional contributions that would have been paid into the superannuation fund if the relevant part of the interest were funded </w:t>
      </w:r>
      <w:r w:rsidR="00BE16DD">
        <w:t>periodically</w:t>
      </w:r>
      <w:r>
        <w:t xml:space="preserve"> over the period of membership of the fund.  </w:t>
      </w:r>
      <w:r w:rsidRPr="00A92F13">
        <w:t>This is the same amount reported</w:t>
      </w:r>
      <w:r>
        <w:t xml:space="preserve"> </w:t>
      </w:r>
      <w:r w:rsidRPr="00A92F13">
        <w:t xml:space="preserve">to the </w:t>
      </w:r>
      <w:proofErr w:type="spellStart"/>
      <w:r>
        <w:t>ATO</w:t>
      </w:r>
      <w:proofErr w:type="spellEnd"/>
      <w:r>
        <w:t xml:space="preserve"> </w:t>
      </w:r>
      <w:r w:rsidRPr="00A92F13">
        <w:t>by defined benefit funds for the purpose of determining the amount of an individual’s concessional contributions</w:t>
      </w:r>
      <w:r>
        <w:t xml:space="preserve"> for excess concessional contributions tax</w:t>
      </w:r>
      <w:r w:rsidRPr="00A92F13">
        <w:t>.</w:t>
      </w:r>
      <w:r>
        <w:t xml:space="preserve">  </w:t>
      </w:r>
    </w:p>
    <w:p w14:paraId="0007C5A4" w14:textId="76DBB7F5" w:rsidR="007F7C8F" w:rsidRDefault="007F7C8F" w:rsidP="007F7C8F">
      <w:pPr>
        <w:tabs>
          <w:tab w:val="left" w:pos="1701"/>
          <w:tab w:val="right" w:pos="9072"/>
        </w:tabs>
        <w:spacing w:before="100" w:beforeAutospacing="1" w:after="100" w:afterAutospacing="1"/>
        <w:ind w:right="91"/>
      </w:pPr>
      <w:r w:rsidRPr="009B5FE7">
        <w:t>The interim method avoid</w:t>
      </w:r>
      <w:r>
        <w:t>s</w:t>
      </w:r>
      <w:r w:rsidRPr="009B5FE7">
        <w:t xml:space="preserve"> the need for</w:t>
      </w:r>
      <w:r>
        <w:t xml:space="preserve"> defined benefit funds</w:t>
      </w:r>
      <w:r w:rsidRPr="009B5FE7">
        <w:t xml:space="preserve"> to </w:t>
      </w:r>
      <w:r>
        <w:t>report</w:t>
      </w:r>
      <w:r w:rsidR="00BE16DD">
        <w:t xml:space="preserve"> both notional taxed contributions and another calculation of notional</w:t>
      </w:r>
      <w:r>
        <w:t xml:space="preserve"> contributions for their </w:t>
      </w:r>
      <w:r w:rsidRPr="009B5FE7">
        <w:t>members</w:t>
      </w:r>
      <w:r>
        <w:t xml:space="preserve"> to the </w:t>
      </w:r>
      <w:proofErr w:type="spellStart"/>
      <w:r>
        <w:t>ATO</w:t>
      </w:r>
      <w:proofErr w:type="spellEnd"/>
      <w:r>
        <w:t xml:space="preserve"> for the 2012-13 financial </w:t>
      </w:r>
      <w:r w:rsidRPr="009B5FE7">
        <w:t xml:space="preserve">year, thus reducing compliance </w:t>
      </w:r>
      <w:r>
        <w:t>costs for these funds</w:t>
      </w:r>
      <w:r w:rsidRPr="009B5FE7">
        <w:t>.</w:t>
      </w:r>
      <w:r>
        <w:t xml:space="preserve">  It is intended that further regulations will be put in place</w:t>
      </w:r>
      <w:r w:rsidR="00BE16DD">
        <w:t xml:space="preserve"> shortly</w:t>
      </w:r>
      <w:r>
        <w:t xml:space="preserve"> to prescribe an on-going method to determine the amount of defined benefit contributions for subsequent financial years.</w:t>
      </w:r>
    </w:p>
    <w:bookmarkEnd w:id="1"/>
    <w:p w14:paraId="4535C612" w14:textId="77777777" w:rsidR="007F7C8F" w:rsidRPr="00840A41" w:rsidRDefault="007F7C8F" w:rsidP="007F7C8F">
      <w:pPr>
        <w:pStyle w:val="Bullet"/>
        <w:numPr>
          <w:ilvl w:val="0"/>
          <w:numId w:val="0"/>
        </w:numPr>
        <w:tabs>
          <w:tab w:val="clear" w:pos="1701"/>
        </w:tabs>
        <w:spacing w:before="100" w:beforeAutospacing="1" w:after="100" w:afterAutospacing="1" w:line="240" w:lineRule="auto"/>
        <w:ind w:left="567" w:hanging="567"/>
        <w:rPr>
          <w:u w:val="single"/>
        </w:rPr>
      </w:pPr>
      <w:r w:rsidRPr="00920A1B">
        <w:rPr>
          <w:u w:val="single"/>
        </w:rPr>
        <w:t>Lists of public sector superannuation schemes</w:t>
      </w:r>
    </w:p>
    <w:p w14:paraId="3AFC81CC" w14:textId="0E76D061" w:rsidR="007F7C8F" w:rsidRDefault="007F7C8F" w:rsidP="007F7C8F">
      <w:pPr>
        <w:pStyle w:val="Bullet"/>
        <w:numPr>
          <w:ilvl w:val="0"/>
          <w:numId w:val="0"/>
        </w:numPr>
        <w:tabs>
          <w:tab w:val="clear" w:pos="1701"/>
        </w:tabs>
        <w:spacing w:before="100" w:beforeAutospacing="1" w:after="100" w:afterAutospacing="1" w:line="240" w:lineRule="auto"/>
      </w:pPr>
      <w:r>
        <w:t xml:space="preserve">Employers are required to provide their employees with a choice of superannuation fund, into which compulsory superannuation guarantee payments are made by the employer.  Public sector superannuation schemes that are prescribed in the </w:t>
      </w:r>
      <w:r w:rsidR="007372FA">
        <w:t xml:space="preserve">SG </w:t>
      </w:r>
      <w:r>
        <w:t>Regulations are taken to satisfy this requirement.  The lists of prescribed schemes are updated periodically to reflect changes by Commonwealth, State and Territory Parliaments to ensure that those government employers continue to comply with the</w:t>
      </w:r>
      <w:r w:rsidR="006852AE">
        <w:t xml:space="preserve"> SG Act</w:t>
      </w:r>
      <w:r>
        <w:t>.</w:t>
      </w:r>
    </w:p>
    <w:p w14:paraId="040C4DBF" w14:textId="7F24D028" w:rsidR="007F7C8F" w:rsidRDefault="007F7C8F" w:rsidP="007F7C8F">
      <w:pPr>
        <w:tabs>
          <w:tab w:val="left" w:pos="1701"/>
          <w:tab w:val="right" w:pos="9072"/>
        </w:tabs>
        <w:spacing w:before="100" w:beforeAutospacing="1" w:after="100" w:afterAutospacing="1"/>
        <w:ind w:right="91"/>
      </w:pPr>
      <w:r>
        <w:t xml:space="preserve">The </w:t>
      </w:r>
      <w:r w:rsidR="00183A6B">
        <w:t xml:space="preserve">Amending </w:t>
      </w:r>
      <w:r w:rsidR="006A2EB1">
        <w:t xml:space="preserve">Regulation </w:t>
      </w:r>
      <w:r>
        <w:t>update</w:t>
      </w:r>
      <w:r w:rsidR="006D289F">
        <w:t>s</w:t>
      </w:r>
      <w:r>
        <w:t xml:space="preserve"> the lists by </w:t>
      </w:r>
      <w:r w:rsidRPr="00D31E95">
        <w:t>repealing listings that are spent or redundant, adding new listings and making minor corrections to listings where required.</w:t>
      </w:r>
    </w:p>
    <w:p w14:paraId="670F5BAC" w14:textId="77777777" w:rsidR="007F7C8F" w:rsidRPr="00CE4482" w:rsidRDefault="007F7C8F" w:rsidP="007F7C8F">
      <w:pPr>
        <w:pStyle w:val="Bullet"/>
        <w:numPr>
          <w:ilvl w:val="0"/>
          <w:numId w:val="0"/>
        </w:numPr>
        <w:tabs>
          <w:tab w:val="clear" w:pos="1701"/>
        </w:tabs>
        <w:spacing w:before="100" w:beforeAutospacing="1" w:after="100" w:afterAutospacing="1" w:line="240" w:lineRule="auto"/>
        <w:ind w:left="567" w:hanging="567"/>
        <w:rPr>
          <w:u w:val="single"/>
        </w:rPr>
      </w:pPr>
      <w:r>
        <w:rPr>
          <w:u w:val="single"/>
        </w:rPr>
        <w:t xml:space="preserve">Specifying the </w:t>
      </w:r>
      <w:proofErr w:type="spellStart"/>
      <w:r>
        <w:rPr>
          <w:u w:val="single"/>
        </w:rPr>
        <w:t>ATO</w:t>
      </w:r>
      <w:proofErr w:type="spellEnd"/>
      <w:r>
        <w:rPr>
          <w:u w:val="single"/>
        </w:rPr>
        <w:t xml:space="preserve"> as an ‘approved clearing </w:t>
      </w:r>
      <w:r w:rsidRPr="00920A1B">
        <w:rPr>
          <w:u w:val="single"/>
        </w:rPr>
        <w:t>house</w:t>
      </w:r>
      <w:r>
        <w:rPr>
          <w:u w:val="single"/>
        </w:rPr>
        <w:t>’</w:t>
      </w:r>
    </w:p>
    <w:p w14:paraId="533CB3AB" w14:textId="662D2132" w:rsidR="007F7C8F" w:rsidRDefault="00D12638" w:rsidP="007F7C8F">
      <w:pPr>
        <w:tabs>
          <w:tab w:val="left" w:pos="1701"/>
          <w:tab w:val="right" w:pos="9072"/>
        </w:tabs>
        <w:spacing w:before="100" w:beforeAutospacing="1" w:after="100" w:afterAutospacing="1"/>
        <w:ind w:right="91"/>
      </w:pPr>
      <w:r>
        <w:t>E</w:t>
      </w:r>
      <w:r w:rsidR="007F7C8F">
        <w:t xml:space="preserve">mployers are required to make superannuation contributions to superannuation funds at a prescribed minimum level on behalf of their employees.  Instead of making contributions to superannuation funds directly, certain employers can make a single payment to an ‘approved clearing house’, which then distributes the contributions to each employee’s superannuation fund on behalf of the employer.  </w:t>
      </w:r>
    </w:p>
    <w:p w14:paraId="75F4741C" w14:textId="0703C414" w:rsidR="00645718" w:rsidRDefault="007F7C8F" w:rsidP="006C4238">
      <w:pPr>
        <w:tabs>
          <w:tab w:val="left" w:pos="1701"/>
          <w:tab w:val="right" w:pos="9072"/>
        </w:tabs>
        <w:spacing w:before="100" w:beforeAutospacing="1" w:after="100" w:afterAutospacing="1"/>
        <w:ind w:right="91"/>
      </w:pPr>
      <w:r>
        <w:t>The SG Act provides that</w:t>
      </w:r>
      <w:r w:rsidR="00407375">
        <w:t xml:space="preserve"> an</w:t>
      </w:r>
      <w:r>
        <w:t xml:space="preserve"> </w:t>
      </w:r>
      <w:r w:rsidR="00645718">
        <w:t>‘</w:t>
      </w:r>
      <w:r>
        <w:t>approved clearing house</w:t>
      </w:r>
      <w:r w:rsidR="00645718">
        <w:t>’</w:t>
      </w:r>
      <w:r>
        <w:t xml:space="preserve"> </w:t>
      </w:r>
      <w:r w:rsidR="00407375">
        <w:t>is</w:t>
      </w:r>
      <w:r>
        <w:t xml:space="preserve"> a body specified in the SG Regulations.  Currently, the Department of Human Services </w:t>
      </w:r>
      <w:r w:rsidR="008601ED">
        <w:t>(</w:t>
      </w:r>
      <w:proofErr w:type="spellStart"/>
      <w:r w:rsidR="008601ED">
        <w:t>DHS</w:t>
      </w:r>
      <w:proofErr w:type="spellEnd"/>
      <w:r w:rsidR="008601ED">
        <w:t xml:space="preserve">) </w:t>
      </w:r>
      <w:r>
        <w:t>is the only approved clearing house.</w:t>
      </w:r>
      <w:r w:rsidR="00407375">
        <w:t xml:space="preserve">  </w:t>
      </w:r>
      <w:r>
        <w:t xml:space="preserve">The </w:t>
      </w:r>
      <w:r w:rsidR="007372FA">
        <w:t xml:space="preserve">Amending </w:t>
      </w:r>
      <w:r>
        <w:t>Regulation prescribe</w:t>
      </w:r>
      <w:r w:rsidR="006D289F">
        <w:t>s</w:t>
      </w:r>
      <w:r>
        <w:t xml:space="preserve"> the </w:t>
      </w:r>
      <w:proofErr w:type="spellStart"/>
      <w:r>
        <w:t>ATO</w:t>
      </w:r>
      <w:proofErr w:type="spellEnd"/>
      <w:r>
        <w:t xml:space="preserve"> as an approved clearing house for the purposes of the SG Act</w:t>
      </w:r>
      <w:r w:rsidR="00D71416">
        <w:t>.  This is</w:t>
      </w:r>
      <w:r w:rsidR="00407375">
        <w:t xml:space="preserve"> consistent with the Government’s election commitment to move the government clearing house function from the </w:t>
      </w:r>
      <w:proofErr w:type="spellStart"/>
      <w:r w:rsidR="00407375">
        <w:t>DHSto</w:t>
      </w:r>
      <w:proofErr w:type="spellEnd"/>
      <w:r w:rsidR="00407375">
        <w:t xml:space="preserve"> the </w:t>
      </w:r>
      <w:proofErr w:type="spellStart"/>
      <w:r w:rsidR="00407375">
        <w:t>ATO</w:t>
      </w:r>
      <w:proofErr w:type="spellEnd"/>
      <w:r w:rsidR="00407375">
        <w:t xml:space="preserve"> as the</w:t>
      </w:r>
      <w:r>
        <w:t xml:space="preserve"> </w:t>
      </w:r>
      <w:proofErr w:type="spellStart"/>
      <w:r>
        <w:t>ATO</w:t>
      </w:r>
      <w:proofErr w:type="spellEnd"/>
      <w:r>
        <w:t xml:space="preserve"> is the Government’s principal revenue collection agency</w:t>
      </w:r>
      <w:r w:rsidR="00407375">
        <w:t xml:space="preserve"> responsible for administration</w:t>
      </w:r>
      <w:r w:rsidR="00AC543B">
        <w:t xml:space="preserve"> of the superannuation guarantee laws.  The movement of the function to the </w:t>
      </w:r>
      <w:proofErr w:type="spellStart"/>
      <w:r w:rsidR="00AC543B">
        <w:t>ATO</w:t>
      </w:r>
      <w:proofErr w:type="spellEnd"/>
      <w:r w:rsidR="00AC543B">
        <w:t xml:space="preserve"> will aid in reducing compliance costs for small business.</w:t>
      </w:r>
    </w:p>
    <w:p w14:paraId="5C8BE80A" w14:textId="5A3A1712" w:rsidR="002C3E9B" w:rsidRDefault="002C3E9B" w:rsidP="006C4238">
      <w:pPr>
        <w:tabs>
          <w:tab w:val="left" w:pos="1701"/>
          <w:tab w:val="right" w:pos="9072"/>
        </w:tabs>
        <w:spacing w:before="100" w:beforeAutospacing="1" w:after="100" w:afterAutospacing="1"/>
        <w:ind w:right="91"/>
        <w:rPr>
          <w:b/>
        </w:rPr>
      </w:pPr>
      <w:r>
        <w:rPr>
          <w:b/>
        </w:rPr>
        <w:t>Consultation</w:t>
      </w:r>
    </w:p>
    <w:p w14:paraId="2216B9B3" w14:textId="32D9F79C" w:rsidR="00DE585B" w:rsidRPr="0003203E" w:rsidRDefault="00DE585B" w:rsidP="006C4238">
      <w:pPr>
        <w:tabs>
          <w:tab w:val="left" w:pos="1701"/>
          <w:tab w:val="right" w:pos="9072"/>
        </w:tabs>
        <w:spacing w:before="100" w:beforeAutospacing="1" w:after="100" w:afterAutospacing="1"/>
        <w:ind w:right="91"/>
        <w:rPr>
          <w:u w:val="single"/>
        </w:rPr>
      </w:pPr>
      <w:r>
        <w:rPr>
          <w:u w:val="single"/>
        </w:rPr>
        <w:t>Interim method for defined benefit contributions</w:t>
      </w:r>
    </w:p>
    <w:p w14:paraId="21C26127" w14:textId="3E9FFC98" w:rsidR="00DD3351" w:rsidRDefault="00DD3351" w:rsidP="00DD3351">
      <w:pPr>
        <w:pStyle w:val="base-text-paragraph"/>
        <w:spacing w:before="240" w:after="0"/>
        <w:ind w:left="0"/>
      </w:pPr>
      <w:r>
        <w:t>Public consultation on a draft Regulation, specifying an on-going method to determine the amount of an individual’s defined benefit contributions was undertaken between 31 May</w:t>
      </w:r>
      <w:r w:rsidR="00602522">
        <w:t> </w:t>
      </w:r>
      <w:r>
        <w:t xml:space="preserve">2013 and 6 June 2013. </w:t>
      </w:r>
    </w:p>
    <w:p w14:paraId="3915D814" w14:textId="3D9962AE" w:rsidR="00DD3351" w:rsidRDefault="00DD3351" w:rsidP="00DD3351">
      <w:pPr>
        <w:tabs>
          <w:tab w:val="left" w:pos="1701"/>
          <w:tab w:val="right" w:pos="9072"/>
        </w:tabs>
        <w:spacing w:before="240"/>
        <w:ind w:right="91"/>
      </w:pPr>
      <w:r>
        <w:lastRenderedPageBreak/>
        <w:t xml:space="preserve">Eleven submissions were received.  A number of these submissions, prepared from the perspective of defined benefit funds, raised concerns about the compliance cost of the approach adopted in the exposure draft being higher than the expected tax to be collected from affected individuals with defined benefit interests.  In particular, that the proposed approach would require two actuarial calculations to be undertaken each year: one for the purposes of Division 293 tax; and one for the purpose of calculating </w:t>
      </w:r>
      <w:r w:rsidRPr="00A92F13">
        <w:t xml:space="preserve">the amount of an individual’s concessional contributions.  </w:t>
      </w:r>
      <w:r>
        <w:t>Concerns were also raised about insufficient lead time to implement and comply with the new methodology in respect of the 2012-13 financial</w:t>
      </w:r>
      <w:r w:rsidR="008601ED">
        <w:t xml:space="preserve"> year</w:t>
      </w:r>
      <w:r w:rsidR="00810998">
        <w:t>.</w:t>
      </w:r>
      <w:r>
        <w:t xml:space="preserve"> </w:t>
      </w:r>
    </w:p>
    <w:p w14:paraId="160F58FA" w14:textId="67E7819E" w:rsidR="00DD3351" w:rsidRDefault="00DD3351" w:rsidP="00686875">
      <w:pPr>
        <w:pStyle w:val="base-text-paragraph"/>
        <w:keepLines/>
        <w:spacing w:before="240" w:after="0"/>
        <w:ind w:left="0"/>
      </w:pPr>
      <w:r>
        <w:t xml:space="preserve">To address these concerns in the interim, this </w:t>
      </w:r>
      <w:r w:rsidR="007372FA">
        <w:t xml:space="preserve">Amending </w:t>
      </w:r>
      <w:r>
        <w:t>Regulation specifies that the existing notional taxed contributions amount determined for concessional contributions purposes for th</w:t>
      </w:r>
      <w:r w:rsidR="0003203E">
        <w:t>e 2012</w:t>
      </w:r>
      <w:r w:rsidR="008601ED">
        <w:noBreakHyphen/>
      </w:r>
      <w:r w:rsidR="0003203E">
        <w:t>13</w:t>
      </w:r>
      <w:r w:rsidR="008601ED">
        <w:t xml:space="preserve"> </w:t>
      </w:r>
      <w:r w:rsidR="0003203E">
        <w:t>financial year is</w:t>
      </w:r>
      <w:r>
        <w:t xml:space="preserve"> used to determine an individual’s liability to Division 293 tax. </w:t>
      </w:r>
    </w:p>
    <w:p w14:paraId="179B1611" w14:textId="1C6FE43D" w:rsidR="004A37CD" w:rsidRDefault="002D5CFC" w:rsidP="006C4238">
      <w:pPr>
        <w:tabs>
          <w:tab w:val="left" w:pos="1701"/>
          <w:tab w:val="right" w:pos="9072"/>
        </w:tabs>
        <w:spacing w:before="100" w:beforeAutospacing="1" w:after="100" w:afterAutospacing="1"/>
        <w:ind w:right="91"/>
      </w:pPr>
      <w:r>
        <w:t>Further, c</w:t>
      </w:r>
      <w:r w:rsidR="00DD3351">
        <w:t>onsultation will be undertaken on a method to be used to determine defined benefit contributions for the 2013-14 financial year and subsequent financial years.  The method will be similar to that used to determine and individual’s notional taxed contributions but will not be limited to the individual’s concessional contributions cap, will include an amount for unfunded benefits and will include an amount for defined benefit interests in constitutionally protected funds.</w:t>
      </w:r>
    </w:p>
    <w:p w14:paraId="3FD01EE6" w14:textId="1BA0F8C5" w:rsidR="00C24F86" w:rsidRPr="00CE4482" w:rsidRDefault="00F94625">
      <w:pPr>
        <w:pStyle w:val="Bullet"/>
        <w:numPr>
          <w:ilvl w:val="0"/>
          <w:numId w:val="0"/>
        </w:numPr>
        <w:tabs>
          <w:tab w:val="clear" w:pos="1701"/>
        </w:tabs>
        <w:spacing w:before="100" w:beforeAutospacing="1" w:after="100" w:afterAutospacing="1" w:line="240" w:lineRule="auto"/>
        <w:rPr>
          <w:u w:val="single"/>
        </w:rPr>
      </w:pPr>
      <w:r w:rsidRPr="00920A1B">
        <w:rPr>
          <w:u w:val="single"/>
        </w:rPr>
        <w:t>Lists of public sector superannuation schemes</w:t>
      </w:r>
      <w:r w:rsidR="00C24F86">
        <w:rPr>
          <w:u w:val="single"/>
        </w:rPr>
        <w:t xml:space="preserve"> </w:t>
      </w:r>
    </w:p>
    <w:p w14:paraId="47C8A4B4" w14:textId="49901D18" w:rsidR="00F94625" w:rsidRDefault="00A237C4" w:rsidP="006C4238">
      <w:pPr>
        <w:tabs>
          <w:tab w:val="left" w:pos="1701"/>
          <w:tab w:val="right" w:pos="9072"/>
        </w:tabs>
        <w:spacing w:before="100" w:beforeAutospacing="1" w:after="100" w:afterAutospacing="1"/>
        <w:ind w:right="91"/>
      </w:pPr>
      <w:r>
        <w:t xml:space="preserve">All States and Territories were consulted on the </w:t>
      </w:r>
      <w:r w:rsidR="00F676ED">
        <w:t xml:space="preserve">Amending </w:t>
      </w:r>
      <w:r>
        <w:t>Regulation.</w:t>
      </w:r>
    </w:p>
    <w:p w14:paraId="59B1C205" w14:textId="447B1FFE" w:rsidR="00A237C4" w:rsidRDefault="00A237C4" w:rsidP="006C4238">
      <w:pPr>
        <w:tabs>
          <w:tab w:val="left" w:pos="1701"/>
          <w:tab w:val="right" w:pos="9072"/>
        </w:tabs>
        <w:spacing w:before="100" w:beforeAutospacing="1" w:after="100" w:afterAutospacing="1"/>
        <w:ind w:right="91"/>
        <w:rPr>
          <w:u w:val="single"/>
        </w:rPr>
      </w:pPr>
      <w:r>
        <w:rPr>
          <w:u w:val="single"/>
        </w:rPr>
        <w:t xml:space="preserve">Specifying the </w:t>
      </w:r>
      <w:proofErr w:type="spellStart"/>
      <w:r>
        <w:rPr>
          <w:u w:val="single"/>
        </w:rPr>
        <w:t>ATO</w:t>
      </w:r>
      <w:proofErr w:type="spellEnd"/>
      <w:r>
        <w:rPr>
          <w:u w:val="single"/>
        </w:rPr>
        <w:t xml:space="preserve"> as an ‘approved clearing </w:t>
      </w:r>
      <w:r w:rsidRPr="00920A1B">
        <w:rPr>
          <w:u w:val="single"/>
        </w:rPr>
        <w:t>house</w:t>
      </w:r>
      <w:r>
        <w:rPr>
          <w:u w:val="single"/>
        </w:rPr>
        <w:t>’</w:t>
      </w:r>
    </w:p>
    <w:p w14:paraId="7DB283E7" w14:textId="37648402" w:rsidR="00A237C4" w:rsidRDefault="00A237C4" w:rsidP="006C4238">
      <w:pPr>
        <w:tabs>
          <w:tab w:val="left" w:pos="1701"/>
          <w:tab w:val="right" w:pos="9072"/>
        </w:tabs>
        <w:spacing w:before="100" w:beforeAutospacing="1" w:after="100" w:afterAutospacing="1"/>
        <w:ind w:right="91"/>
      </w:pPr>
      <w:r>
        <w:t xml:space="preserve">The </w:t>
      </w:r>
      <w:proofErr w:type="spellStart"/>
      <w:r>
        <w:t>ATO</w:t>
      </w:r>
      <w:proofErr w:type="spellEnd"/>
      <w:r>
        <w:t xml:space="preserve"> and </w:t>
      </w:r>
      <w:proofErr w:type="spellStart"/>
      <w:r>
        <w:t>DHS</w:t>
      </w:r>
      <w:proofErr w:type="spellEnd"/>
      <w:r>
        <w:t xml:space="preserve"> were consulted on the</w:t>
      </w:r>
      <w:r w:rsidR="00090152">
        <w:t xml:space="preserve"> Amending Regulation</w:t>
      </w:r>
      <w:r>
        <w:t xml:space="preserve"> .</w:t>
      </w:r>
      <w:r w:rsidR="00F676ED">
        <w:t xml:space="preserve"> </w:t>
      </w:r>
      <w:r w:rsidR="008601ED">
        <w:t xml:space="preserve"> </w:t>
      </w:r>
      <w:r w:rsidR="00F676ED">
        <w:t>Public consultation was not undertaken as the changes are technical in nature.</w:t>
      </w:r>
    </w:p>
    <w:p w14:paraId="53096992" w14:textId="47DB9AE7" w:rsidR="00DA200A" w:rsidRDefault="00DA200A" w:rsidP="006C4238">
      <w:pPr>
        <w:tabs>
          <w:tab w:val="left" w:pos="1701"/>
          <w:tab w:val="right" w:pos="9072"/>
        </w:tabs>
        <w:spacing w:before="100" w:beforeAutospacing="1" w:after="100" w:afterAutospacing="1"/>
        <w:ind w:right="91"/>
        <w:rPr>
          <w:b/>
        </w:rPr>
      </w:pPr>
      <w:r>
        <w:rPr>
          <w:b/>
        </w:rPr>
        <w:t>Conditions and Commencement</w:t>
      </w:r>
    </w:p>
    <w:p w14:paraId="4745FFE4" w14:textId="2FA7A82C" w:rsidR="002C3E9B" w:rsidRDefault="002C3E9B" w:rsidP="002C3E9B">
      <w:pPr>
        <w:tabs>
          <w:tab w:val="left" w:pos="1701"/>
          <w:tab w:val="right" w:pos="9072"/>
        </w:tabs>
        <w:spacing w:before="100" w:beforeAutospacing="1" w:after="100" w:afterAutospacing="1"/>
        <w:ind w:right="91"/>
      </w:pPr>
      <w:r>
        <w:t xml:space="preserve">The </w:t>
      </w:r>
      <w:proofErr w:type="spellStart"/>
      <w:r>
        <w:t>ITAA</w:t>
      </w:r>
      <w:proofErr w:type="spellEnd"/>
      <w:r>
        <w:t xml:space="preserve"> 1997 </w:t>
      </w:r>
      <w:r w:rsidR="00AC543B">
        <w:t>and</w:t>
      </w:r>
      <w:r>
        <w:t xml:space="preserve"> the SG Act do not specify any conditions that need to be met before</w:t>
      </w:r>
      <w:r w:rsidR="00021934">
        <w:t xml:space="preserve"> the power to make the </w:t>
      </w:r>
      <w:r w:rsidR="00AA0288">
        <w:t xml:space="preserve">Amending </w:t>
      </w:r>
      <w:r>
        <w:t>Regulation may be exercised.</w:t>
      </w:r>
    </w:p>
    <w:p w14:paraId="6376AA4A" w14:textId="617EA08E" w:rsidR="002C3E9B" w:rsidRDefault="002C3E9B" w:rsidP="002C3E9B">
      <w:pPr>
        <w:tabs>
          <w:tab w:val="left" w:pos="4536"/>
          <w:tab w:val="right" w:pos="9072"/>
        </w:tabs>
        <w:spacing w:before="100" w:beforeAutospacing="1" w:after="100" w:afterAutospacing="1"/>
        <w:ind w:right="91"/>
      </w:pPr>
      <w:r w:rsidRPr="00F023AB">
        <w:t>The</w:t>
      </w:r>
      <w:r>
        <w:t xml:space="preserve"> </w:t>
      </w:r>
      <w:r w:rsidR="00AA0288">
        <w:t xml:space="preserve">Amending </w:t>
      </w:r>
      <w:proofErr w:type="spellStart"/>
      <w:r>
        <w:t>R</w:t>
      </w:r>
      <w:r w:rsidRPr="00F023AB">
        <w:t>egulation</w:t>
      </w:r>
      <w:r w:rsidR="002F7A95">
        <w:t>Regulation</w:t>
      </w:r>
      <w:proofErr w:type="spellEnd"/>
      <w:r w:rsidRPr="00F023AB">
        <w:t xml:space="preserve"> </w:t>
      </w:r>
      <w:r w:rsidR="0003203E">
        <w:t>is</w:t>
      </w:r>
      <w:r w:rsidRPr="00F023AB">
        <w:t xml:space="preserve"> a legislative instrument for the purposes of the </w:t>
      </w:r>
      <w:r w:rsidRPr="00402CB1">
        <w:rPr>
          <w:i/>
        </w:rPr>
        <w:t xml:space="preserve">Legislative Instruments </w:t>
      </w:r>
      <w:r w:rsidR="0073763E" w:rsidRPr="00402CB1">
        <w:rPr>
          <w:i/>
        </w:rPr>
        <w:t>Act</w:t>
      </w:r>
      <w:r w:rsidR="0073763E">
        <w:rPr>
          <w:i/>
        </w:rPr>
        <w:t> </w:t>
      </w:r>
      <w:r w:rsidRPr="00402CB1">
        <w:rPr>
          <w:i/>
        </w:rPr>
        <w:t>2003</w:t>
      </w:r>
      <w:r w:rsidRPr="00F023AB">
        <w:t>.</w:t>
      </w:r>
    </w:p>
    <w:p w14:paraId="5A6FB844" w14:textId="51E24518" w:rsidR="002C3E9B" w:rsidRDefault="002C3E9B" w:rsidP="002C3E9B">
      <w:pPr>
        <w:spacing w:before="100" w:beforeAutospacing="1" w:after="100" w:afterAutospacing="1"/>
      </w:pPr>
      <w:r>
        <w:t xml:space="preserve">The </w:t>
      </w:r>
      <w:r w:rsidR="00AA0288">
        <w:t xml:space="preserve">Amending </w:t>
      </w:r>
      <w:r>
        <w:t>Regulation</w:t>
      </w:r>
      <w:r w:rsidR="00401F2C">
        <w:t xml:space="preserve"> </w:t>
      </w:r>
      <w:r>
        <w:t>commence</w:t>
      </w:r>
      <w:r w:rsidR="00453F71">
        <w:t>s</w:t>
      </w:r>
      <w:r>
        <w:t xml:space="preserve"> on the day after registration.  </w:t>
      </w:r>
    </w:p>
    <w:p w14:paraId="55B5BEC6" w14:textId="7C72BD2C" w:rsidR="0025400D" w:rsidRDefault="002C3E9B" w:rsidP="0025400D">
      <w:pPr>
        <w:spacing w:before="100" w:beforeAutospacing="1" w:after="100" w:afterAutospacing="1"/>
        <w:sectPr w:rsidR="0025400D" w:rsidSect="00B13C75">
          <w:headerReference w:type="default" r:id="rId11"/>
          <w:headerReference w:type="first" r:id="rId12"/>
          <w:pgSz w:w="11906" w:h="16838"/>
          <w:pgMar w:top="1440" w:right="1440" w:bottom="1440" w:left="1440" w:header="708" w:footer="708" w:gutter="0"/>
          <w:pgNumType w:start="1"/>
          <w:cols w:space="708"/>
          <w:titlePg/>
          <w:docGrid w:linePitch="360"/>
        </w:sectPr>
      </w:pPr>
      <w:r w:rsidRPr="00065331">
        <w:t xml:space="preserve">The amendments to the </w:t>
      </w:r>
      <w:proofErr w:type="spellStart"/>
      <w:r>
        <w:t>ITAA</w:t>
      </w:r>
      <w:proofErr w:type="spellEnd"/>
      <w:r>
        <w:t xml:space="preserve"> 1997 Regulations</w:t>
      </w:r>
      <w:r w:rsidRPr="00065331">
        <w:t xml:space="preserve"> apply on and after 1 July 2012.  The retrospective date of effect ensure</w:t>
      </w:r>
      <w:r w:rsidR="00401F2C">
        <w:t>s</w:t>
      </w:r>
      <w:r w:rsidRPr="00065331">
        <w:t xml:space="preserve"> that there is a method provided for determining defined benefit contributions for the 2012</w:t>
      </w:r>
      <w:r w:rsidRPr="00065331">
        <w:noBreakHyphen/>
        <w:t>13 financial year</w:t>
      </w:r>
      <w:r w:rsidR="002572DD">
        <w:t xml:space="preserve"> and is specifically permitted by subsection 293-115(6) of the </w:t>
      </w:r>
      <w:proofErr w:type="spellStart"/>
      <w:r w:rsidR="002572DD">
        <w:t>ITAA</w:t>
      </w:r>
      <w:proofErr w:type="spellEnd"/>
      <w:r w:rsidR="002572DD">
        <w:t xml:space="preserve"> 1997</w:t>
      </w:r>
      <w:r>
        <w:t>.</w:t>
      </w:r>
    </w:p>
    <w:p w14:paraId="179B1628" w14:textId="77777777" w:rsidR="00486EE8" w:rsidRPr="001550FB" w:rsidRDefault="00F72954" w:rsidP="00645718">
      <w:pPr>
        <w:tabs>
          <w:tab w:val="right" w:pos="9072"/>
        </w:tabs>
        <w:ind w:right="91"/>
        <w:jc w:val="right"/>
        <w:rPr>
          <w:b/>
          <w:u w:val="single"/>
        </w:rPr>
      </w:pPr>
      <w:r w:rsidRPr="001550FB">
        <w:rPr>
          <w:b/>
          <w:u w:val="single"/>
        </w:rPr>
        <w:lastRenderedPageBreak/>
        <w:t>ATTACHMENT</w:t>
      </w:r>
    </w:p>
    <w:p w14:paraId="179B1629" w14:textId="77777777" w:rsidR="00F72954" w:rsidRDefault="00F72954" w:rsidP="00F72954">
      <w:pPr>
        <w:tabs>
          <w:tab w:val="right" w:pos="9072"/>
        </w:tabs>
        <w:ind w:right="91"/>
        <w:rPr>
          <w:u w:val="single"/>
        </w:rPr>
      </w:pPr>
    </w:p>
    <w:p w14:paraId="0DC2577F" w14:textId="5ED7580B" w:rsidR="007F7C8F" w:rsidRDefault="007F7C8F" w:rsidP="007F7C8F">
      <w:pPr>
        <w:keepNext/>
        <w:spacing w:before="120" w:after="240"/>
        <w:outlineLvl w:val="1"/>
        <w:rPr>
          <w:b/>
          <w:szCs w:val="24"/>
          <w:u w:val="single"/>
        </w:rPr>
      </w:pPr>
      <w:r w:rsidRPr="006E297B">
        <w:rPr>
          <w:b/>
          <w:szCs w:val="24"/>
          <w:u w:val="single"/>
        </w:rPr>
        <w:t xml:space="preserve">Details of the </w:t>
      </w:r>
      <w:r w:rsidRPr="00AD69F5">
        <w:rPr>
          <w:b/>
          <w:i/>
          <w:szCs w:val="24"/>
          <w:u w:val="single"/>
        </w:rPr>
        <w:t xml:space="preserve">Tax and </w:t>
      </w:r>
      <w:r w:rsidRPr="005F2B1B">
        <w:rPr>
          <w:b/>
          <w:i/>
          <w:szCs w:val="24"/>
          <w:u w:val="single"/>
        </w:rPr>
        <w:t>Superannuation L</w:t>
      </w:r>
      <w:r w:rsidR="006638EE">
        <w:rPr>
          <w:b/>
          <w:i/>
          <w:szCs w:val="24"/>
          <w:u w:val="single"/>
        </w:rPr>
        <w:t>aws</w:t>
      </w:r>
      <w:r w:rsidRPr="005F2B1B">
        <w:rPr>
          <w:b/>
          <w:i/>
          <w:szCs w:val="24"/>
          <w:u w:val="single"/>
        </w:rPr>
        <w:t xml:space="preserve"> Amendment </w:t>
      </w:r>
      <w:r w:rsidR="0073763E">
        <w:rPr>
          <w:b/>
          <w:i/>
          <w:szCs w:val="24"/>
          <w:u w:val="single"/>
        </w:rPr>
        <w:t>(</w:t>
      </w:r>
      <w:r w:rsidRPr="005F2B1B">
        <w:rPr>
          <w:b/>
          <w:i/>
          <w:szCs w:val="24"/>
          <w:u w:val="single"/>
        </w:rPr>
        <w:t>2014 Measures No. 1) Regulation 2014</w:t>
      </w:r>
    </w:p>
    <w:p w14:paraId="73A3491F" w14:textId="77777777" w:rsidR="007F7C8F" w:rsidRDefault="007F7C8F" w:rsidP="007F7C8F">
      <w:pPr>
        <w:keepNext/>
        <w:spacing w:before="120" w:after="240"/>
        <w:outlineLvl w:val="1"/>
      </w:pPr>
      <w:r>
        <w:rPr>
          <w:u w:val="single"/>
        </w:rPr>
        <w:t>Section 1 – Name of Regulation</w:t>
      </w:r>
    </w:p>
    <w:p w14:paraId="5A392DFC" w14:textId="70819DEE" w:rsidR="007F7C8F" w:rsidRDefault="007F7C8F" w:rsidP="007F7C8F">
      <w:pPr>
        <w:spacing w:before="240"/>
        <w:ind w:right="91"/>
      </w:pPr>
      <w:r>
        <w:t>This section provides</w:t>
      </w:r>
      <w:r w:rsidR="00021934">
        <w:t xml:space="preserve"> that the title of the </w:t>
      </w:r>
      <w:r>
        <w:t xml:space="preserve">Regulation is the </w:t>
      </w:r>
      <w:r w:rsidRPr="00AD69F5">
        <w:rPr>
          <w:i/>
        </w:rPr>
        <w:t xml:space="preserve">Tax and </w:t>
      </w:r>
      <w:r w:rsidRPr="003C2391">
        <w:rPr>
          <w:i/>
        </w:rPr>
        <w:t>Superannuation L</w:t>
      </w:r>
      <w:r w:rsidR="006638EE">
        <w:rPr>
          <w:i/>
        </w:rPr>
        <w:t>aws</w:t>
      </w:r>
      <w:r w:rsidRPr="003C2391">
        <w:rPr>
          <w:i/>
        </w:rPr>
        <w:t xml:space="preserve"> Amendment (2014 Measures No. 1) Regulation 2014</w:t>
      </w:r>
      <w:r w:rsidR="0073763E">
        <w:rPr>
          <w:i/>
        </w:rPr>
        <w:t xml:space="preserve"> </w:t>
      </w:r>
      <w:r w:rsidR="0073763E" w:rsidRPr="00BE2E72">
        <w:t>(the</w:t>
      </w:r>
      <w:r w:rsidR="00875328">
        <w:t xml:space="preserve"> Amending</w:t>
      </w:r>
      <w:r w:rsidR="0073763E" w:rsidRPr="00BE2E72">
        <w:t xml:space="preserve"> Regulation)</w:t>
      </w:r>
      <w:r>
        <w:rPr>
          <w:i/>
        </w:rPr>
        <w:t>.</w:t>
      </w:r>
    </w:p>
    <w:p w14:paraId="5EA602D3" w14:textId="77777777" w:rsidR="007F7C8F" w:rsidRDefault="007F7C8F" w:rsidP="007F7C8F">
      <w:pPr>
        <w:spacing w:before="240"/>
        <w:ind w:right="91"/>
        <w:rPr>
          <w:u w:val="single"/>
        </w:rPr>
      </w:pPr>
      <w:r>
        <w:rPr>
          <w:u w:val="single"/>
        </w:rPr>
        <w:t>Section 2 – Commencement</w:t>
      </w:r>
    </w:p>
    <w:p w14:paraId="21C7302C" w14:textId="325FA1AC" w:rsidR="007F7C8F" w:rsidRDefault="007F7C8F" w:rsidP="007F7C8F">
      <w:pPr>
        <w:spacing w:before="240"/>
        <w:ind w:right="91"/>
        <w:rPr>
          <w:szCs w:val="24"/>
        </w:rPr>
      </w:pPr>
      <w:r>
        <w:t>This sec</w:t>
      </w:r>
      <w:r w:rsidR="00021934">
        <w:t xml:space="preserve">tion provides that the </w:t>
      </w:r>
      <w:r>
        <w:t xml:space="preserve">Regulation </w:t>
      </w:r>
      <w:r>
        <w:rPr>
          <w:szCs w:val="24"/>
        </w:rPr>
        <w:t>commences the day after it is registered.</w:t>
      </w:r>
    </w:p>
    <w:p w14:paraId="718FC174" w14:textId="77777777" w:rsidR="007F7C8F" w:rsidRDefault="007F7C8F" w:rsidP="007F7C8F">
      <w:pPr>
        <w:spacing w:before="240"/>
        <w:ind w:right="91"/>
      </w:pPr>
      <w:r>
        <w:rPr>
          <w:u w:val="single"/>
        </w:rPr>
        <w:t>Section 3 – Authority</w:t>
      </w:r>
    </w:p>
    <w:p w14:paraId="32FD6532" w14:textId="61C5FAD8" w:rsidR="007F7C8F" w:rsidRDefault="007F7C8F" w:rsidP="007F7C8F">
      <w:pPr>
        <w:spacing w:before="240"/>
        <w:ind w:right="91"/>
      </w:pPr>
      <w:r>
        <w:t>This sec</w:t>
      </w:r>
      <w:r w:rsidR="00021934">
        <w:t xml:space="preserve">tion provides that the </w:t>
      </w:r>
      <w:r>
        <w:t xml:space="preserve">Regulation is made under the </w:t>
      </w:r>
      <w:r>
        <w:rPr>
          <w:i/>
        </w:rPr>
        <w:t>Income Tax Assessment Act</w:t>
      </w:r>
      <w:r w:rsidR="0073763E">
        <w:rPr>
          <w:i/>
        </w:rPr>
        <w:t> </w:t>
      </w:r>
      <w:r>
        <w:rPr>
          <w:i/>
        </w:rPr>
        <w:t xml:space="preserve">1997 </w:t>
      </w:r>
      <w:r w:rsidRPr="003F0C3A">
        <w:t>(</w:t>
      </w:r>
      <w:proofErr w:type="spellStart"/>
      <w:r>
        <w:t>ITAA</w:t>
      </w:r>
      <w:proofErr w:type="spellEnd"/>
      <w:r>
        <w:t xml:space="preserve"> 1997</w:t>
      </w:r>
      <w:r w:rsidRPr="003F0C3A">
        <w:t>)</w:t>
      </w:r>
      <w:r>
        <w:t xml:space="preserve"> and the </w:t>
      </w:r>
      <w:r>
        <w:rPr>
          <w:i/>
        </w:rPr>
        <w:t>Superannua</w:t>
      </w:r>
      <w:r w:rsidR="00DF3EE5">
        <w:rPr>
          <w:i/>
        </w:rPr>
        <w:t xml:space="preserve">tion Guarantee (Administration) </w:t>
      </w:r>
      <w:r>
        <w:rPr>
          <w:i/>
        </w:rPr>
        <w:t>Act 1992</w:t>
      </w:r>
      <w:r>
        <w:t xml:space="preserve"> (</w:t>
      </w:r>
      <w:r w:rsidR="0073763E">
        <w:t>SG </w:t>
      </w:r>
      <w:r>
        <w:t>Act).</w:t>
      </w:r>
    </w:p>
    <w:p w14:paraId="3E1FF1C7" w14:textId="77777777" w:rsidR="007F7C8F" w:rsidRDefault="007F7C8F" w:rsidP="007F7C8F">
      <w:pPr>
        <w:keepNext/>
        <w:spacing w:before="240"/>
        <w:rPr>
          <w:u w:val="single"/>
        </w:rPr>
      </w:pPr>
      <w:r>
        <w:rPr>
          <w:u w:val="single"/>
        </w:rPr>
        <w:t>Section 4 – Schedules</w:t>
      </w:r>
    </w:p>
    <w:p w14:paraId="6A8B2520" w14:textId="6708FE08" w:rsidR="007F7C8F" w:rsidRDefault="007F7C8F" w:rsidP="007F7C8F">
      <w:pPr>
        <w:spacing w:before="240"/>
      </w:pPr>
      <w:r>
        <w:t>This section provides that each instrument that is specifi</w:t>
      </w:r>
      <w:r w:rsidR="00021934">
        <w:t>ed in a Schedule to the</w:t>
      </w:r>
      <w:r>
        <w:t xml:space="preserve"> Regulation is amended or repealed as set out in the applicable items in the Schedule concerned, and any other item in a Schedule to this instrument has effect according to its terms.</w:t>
      </w:r>
    </w:p>
    <w:p w14:paraId="771C218D" w14:textId="77777777" w:rsidR="007F7C8F" w:rsidRPr="005F2B1B" w:rsidRDefault="007F7C8F" w:rsidP="007F7C8F">
      <w:pPr>
        <w:keepNext/>
        <w:spacing w:before="240"/>
        <w:ind w:right="91"/>
        <w:rPr>
          <w:b/>
        </w:rPr>
      </w:pPr>
      <w:r w:rsidRPr="005F2B1B">
        <w:rPr>
          <w:b/>
        </w:rPr>
        <w:t>Amendments</w:t>
      </w:r>
    </w:p>
    <w:p w14:paraId="0D4011C4" w14:textId="77777777" w:rsidR="007F7C8F" w:rsidRPr="00061DF8" w:rsidRDefault="007F7C8F" w:rsidP="007F7C8F">
      <w:pPr>
        <w:keepNext/>
        <w:spacing w:before="240"/>
        <w:ind w:right="91"/>
      </w:pPr>
      <w:r>
        <w:rPr>
          <w:u w:val="single"/>
        </w:rPr>
        <w:t>Schedule 1 – Calculating defined benefit contributions</w:t>
      </w:r>
    </w:p>
    <w:p w14:paraId="6DF64320" w14:textId="67E79239" w:rsidR="007F7C8F" w:rsidRDefault="007F7C8F" w:rsidP="007F7C8F">
      <w:pPr>
        <w:tabs>
          <w:tab w:val="left" w:pos="1701"/>
          <w:tab w:val="right" w:pos="9072"/>
        </w:tabs>
        <w:spacing w:before="100" w:beforeAutospacing="1" w:after="100" w:afterAutospacing="1"/>
        <w:ind w:right="91"/>
      </w:pPr>
      <w:r>
        <w:t xml:space="preserve">The </w:t>
      </w:r>
      <w:proofErr w:type="spellStart"/>
      <w:r>
        <w:t>ITAA</w:t>
      </w:r>
      <w:proofErr w:type="spellEnd"/>
      <w:r>
        <w:t xml:space="preserve"> 1997 imposes tax on certain superannuation contributions of high income earners (Division 293 tax); broadly those whose adjusted taxable income and </w:t>
      </w:r>
      <w:proofErr w:type="spellStart"/>
      <w:r>
        <w:t>concessionally</w:t>
      </w:r>
      <w:proofErr w:type="spellEnd"/>
      <w:r>
        <w:t xml:space="preserve"> taxed superannuation contributions exceed $300,000 in an income year. </w:t>
      </w:r>
      <w:r w:rsidR="0073763E">
        <w:t xml:space="preserve"> </w:t>
      </w:r>
      <w:r>
        <w:t>The tax is designed to</w:t>
      </w:r>
      <w:r w:rsidRPr="00A92F13">
        <w:t xml:space="preserve"> ensure that the tax concession received by these individuals </w:t>
      </w:r>
      <w:r>
        <w:t xml:space="preserve">on superannuation contributions </w:t>
      </w:r>
      <w:r w:rsidRPr="00A92F13">
        <w:t xml:space="preserve">is more closely aligned with the concession received by average income earners.  </w:t>
      </w:r>
    </w:p>
    <w:p w14:paraId="1B7A01F0" w14:textId="1C00739D" w:rsidR="007F7C8F" w:rsidRDefault="007F7C8F" w:rsidP="007F7C8F">
      <w:pPr>
        <w:tabs>
          <w:tab w:val="left" w:pos="1701"/>
          <w:tab w:val="right" w:pos="9072"/>
        </w:tabs>
        <w:spacing w:before="100" w:beforeAutospacing="1" w:after="100" w:afterAutospacing="1"/>
        <w:ind w:right="91"/>
      </w:pPr>
      <w:r>
        <w:t xml:space="preserve">A ‘defined benefit’ superannuation scheme provides retirement benefits based on factors other than contributions to the scheme, such as the individual’s pre-retirement salary, and can be funded by means such as direct payments by an employer or the government. </w:t>
      </w:r>
      <w:r w:rsidR="0073763E">
        <w:t xml:space="preserve"> </w:t>
      </w:r>
      <w:r>
        <w:t xml:space="preserve">To calculate an individual’s </w:t>
      </w:r>
      <w:r w:rsidR="003045C2">
        <w:t xml:space="preserve">Division 293 tax </w:t>
      </w:r>
      <w:r>
        <w:t xml:space="preserve">liability where the individual has an interest in a defined benefit scheme, it is necessary to determine an individual’s amount of ‘defined benefit contributions’.  The </w:t>
      </w:r>
      <w:r w:rsidR="00DF3EE5" w:rsidRPr="00A92F13">
        <w:rPr>
          <w:i/>
        </w:rPr>
        <w:t>Income Tax Assessment Regulations 1997</w:t>
      </w:r>
      <w:r w:rsidR="00DF3EE5">
        <w:t xml:space="preserve"> (the </w:t>
      </w:r>
      <w:proofErr w:type="spellStart"/>
      <w:r w:rsidR="00DF3EE5">
        <w:t>ITAA</w:t>
      </w:r>
      <w:proofErr w:type="spellEnd"/>
      <w:r w:rsidR="00DF3EE5">
        <w:t xml:space="preserve"> 1997 Regulations)</w:t>
      </w:r>
      <w:r>
        <w:t xml:space="preserve"> do not yet provide a method for determining the amount of an individual’s defined benefit contributions.</w:t>
      </w:r>
    </w:p>
    <w:p w14:paraId="32A90976" w14:textId="13476851" w:rsidR="007F7C8F" w:rsidRDefault="007F7C8F" w:rsidP="007F7C8F">
      <w:pPr>
        <w:tabs>
          <w:tab w:val="left" w:pos="1987"/>
        </w:tabs>
        <w:spacing w:before="240"/>
      </w:pPr>
      <w:r>
        <w:t>The</w:t>
      </w:r>
      <w:r w:rsidRPr="00061DF8">
        <w:t xml:space="preserve"> </w:t>
      </w:r>
      <w:r w:rsidR="00F676ED">
        <w:t xml:space="preserve">Amending </w:t>
      </w:r>
      <w:r w:rsidRPr="00061DF8">
        <w:t>Regulation</w:t>
      </w:r>
      <w:r w:rsidR="001550FB">
        <w:t xml:space="preserve"> </w:t>
      </w:r>
      <w:r>
        <w:t>amend</w:t>
      </w:r>
      <w:r w:rsidR="001550FB">
        <w:t>s</w:t>
      </w:r>
      <w:r w:rsidR="00DF3EE5">
        <w:t xml:space="preserve"> </w:t>
      </w:r>
      <w:r>
        <w:t xml:space="preserve">the </w:t>
      </w:r>
      <w:proofErr w:type="spellStart"/>
      <w:r>
        <w:t>ITAA</w:t>
      </w:r>
      <w:proofErr w:type="spellEnd"/>
      <w:r>
        <w:t xml:space="preserve"> 1997</w:t>
      </w:r>
      <w:r w:rsidR="00DF3EE5">
        <w:t xml:space="preserve"> Regulations</w:t>
      </w:r>
      <w:r w:rsidRPr="00A92F13">
        <w:t xml:space="preserve"> </w:t>
      </w:r>
      <w:r>
        <w:t>to prescribe the method</w:t>
      </w:r>
      <w:r w:rsidRPr="00061DF8">
        <w:t xml:space="preserve"> that must be </w:t>
      </w:r>
      <w:r>
        <w:t>us</w:t>
      </w:r>
      <w:r w:rsidRPr="00061DF8">
        <w:t>ed to determine the amount of an individual’s defined benefit co</w:t>
      </w:r>
      <w:r>
        <w:t>ntributions for the 2012</w:t>
      </w:r>
      <w:r w:rsidR="0073763E">
        <w:noBreakHyphen/>
        <w:t>13 </w:t>
      </w:r>
      <w:r>
        <w:t>financial year</w:t>
      </w:r>
      <w:r w:rsidRPr="00061DF8">
        <w:t xml:space="preserve"> in respec</w:t>
      </w:r>
      <w:r>
        <w:t>t of a defined benefit interest.</w:t>
      </w:r>
    </w:p>
    <w:p w14:paraId="19DCD354" w14:textId="6897A557" w:rsidR="007F7C8F" w:rsidRDefault="007F7C8F" w:rsidP="009F42FD">
      <w:pPr>
        <w:keepNext/>
        <w:keepLines/>
        <w:tabs>
          <w:tab w:val="left" w:pos="1987"/>
        </w:tabs>
        <w:spacing w:before="240"/>
      </w:pPr>
      <w:r>
        <w:lastRenderedPageBreak/>
        <w:t xml:space="preserve">Regulation 293-115.01 </w:t>
      </w:r>
      <w:r w:rsidR="00F676ED">
        <w:t xml:space="preserve">of the </w:t>
      </w:r>
      <w:proofErr w:type="spellStart"/>
      <w:r w:rsidR="00F676ED">
        <w:t>ITAA</w:t>
      </w:r>
      <w:proofErr w:type="spellEnd"/>
      <w:r w:rsidR="00F676ED">
        <w:t xml:space="preserve"> 1997 Regulations </w:t>
      </w:r>
      <w:r>
        <w:t xml:space="preserve">sets out the method for determining defined benefit contributions for the 2012-13 financial year. </w:t>
      </w:r>
      <w:r w:rsidR="0073763E">
        <w:t xml:space="preserve"> </w:t>
      </w:r>
      <w:r>
        <w:t xml:space="preserve">The method is intended to be an interim arrangement for the 2012-13 financial year only.  It is intended that an ongoing method would be prescribed for the 2013-14 and subsequent financial years. </w:t>
      </w:r>
    </w:p>
    <w:p w14:paraId="47A400BA" w14:textId="5C8DF241" w:rsidR="007F7C8F" w:rsidRDefault="007F7C8F" w:rsidP="007F7C8F">
      <w:pPr>
        <w:keepNext/>
        <w:spacing w:before="240"/>
        <w:ind w:right="91"/>
        <w:rPr>
          <w:szCs w:val="23"/>
        </w:rPr>
      </w:pPr>
      <w:r>
        <w:t>The interim method provide</w:t>
      </w:r>
      <w:r w:rsidR="005428C6">
        <w:t>s</w:t>
      </w:r>
      <w:r>
        <w:t xml:space="preserve"> that an individual’s defined benefit contributions for a defined benefit interest for the 2012-13 financial year is equal to their </w:t>
      </w:r>
      <w:r w:rsidRPr="00C50D28">
        <w:t>notional taxed contributions</w:t>
      </w:r>
      <w:r>
        <w:t xml:space="preserve"> for that interest for the 2012</w:t>
      </w:r>
      <w:r w:rsidR="0073763E">
        <w:t>-</w:t>
      </w:r>
      <w:r>
        <w:t xml:space="preserve">13 financial year.  </w:t>
      </w:r>
      <w:r>
        <w:rPr>
          <w:szCs w:val="23"/>
        </w:rPr>
        <w:t xml:space="preserve">Section 292-170 of the </w:t>
      </w:r>
      <w:proofErr w:type="spellStart"/>
      <w:r>
        <w:rPr>
          <w:szCs w:val="23"/>
        </w:rPr>
        <w:t>ITAA</w:t>
      </w:r>
      <w:proofErr w:type="spellEnd"/>
      <w:r>
        <w:rPr>
          <w:szCs w:val="23"/>
        </w:rPr>
        <w:t> 1997 provides that an individual’s notional taxed contributions for a financial year has the meaning in the regulations and sets out that regulations made for this purpose may prescribe a method for determining the amount of notional taxed contributions.</w:t>
      </w:r>
    </w:p>
    <w:p w14:paraId="79BCB6C9" w14:textId="046FB380" w:rsidR="007F7C8F" w:rsidRDefault="007F7C8F" w:rsidP="007F7C8F">
      <w:pPr>
        <w:spacing w:before="240"/>
        <w:rPr>
          <w:szCs w:val="23"/>
        </w:rPr>
      </w:pPr>
      <w:r>
        <w:rPr>
          <w:szCs w:val="23"/>
        </w:rPr>
        <w:t xml:space="preserve">Subdivision 292-D of the </w:t>
      </w:r>
      <w:proofErr w:type="spellStart"/>
      <w:r>
        <w:t>ITAA</w:t>
      </w:r>
      <w:proofErr w:type="spellEnd"/>
      <w:r>
        <w:t xml:space="preserve"> 1997</w:t>
      </w:r>
      <w:r w:rsidRPr="00A92F13">
        <w:t xml:space="preserve"> Regulations</w:t>
      </w:r>
      <w:r>
        <w:rPr>
          <w:szCs w:val="23"/>
        </w:rPr>
        <w:t xml:space="preserve"> sets out the meaning of notional taxed contributions, and Schedule 1A to the </w:t>
      </w:r>
      <w:proofErr w:type="spellStart"/>
      <w:r>
        <w:t>ITAA</w:t>
      </w:r>
      <w:proofErr w:type="spellEnd"/>
      <w:r>
        <w:t xml:space="preserve"> 1997</w:t>
      </w:r>
      <w:r w:rsidRPr="00A92F13">
        <w:t xml:space="preserve"> Regulations</w:t>
      </w:r>
      <w:r>
        <w:rPr>
          <w:szCs w:val="23"/>
        </w:rPr>
        <w:t xml:space="preserve"> prescribes the method by which they are to be determined.  </w:t>
      </w:r>
      <w:r>
        <w:t>Notional taxed contributions are an estimate, using prescribed assumptions, of the amount of concessional contributions that would have been paid into the superannuation fund if the relevant part of the interest w</w:t>
      </w:r>
      <w:r w:rsidR="005E7513">
        <w:t>as</w:t>
      </w:r>
      <w:r>
        <w:t xml:space="preserve"> funded </w:t>
      </w:r>
      <w:r w:rsidR="005E7513">
        <w:t>periodically</w:t>
      </w:r>
      <w:r>
        <w:t xml:space="preserve"> over the period of membership of the fund.</w:t>
      </w:r>
    </w:p>
    <w:p w14:paraId="57BD2757" w14:textId="4C45EE4C" w:rsidR="007F7C8F" w:rsidRDefault="007F7C8F" w:rsidP="007F7C8F">
      <w:pPr>
        <w:spacing w:before="240"/>
        <w:rPr>
          <w:szCs w:val="23"/>
        </w:rPr>
      </w:pPr>
      <w:r>
        <w:rPr>
          <w:szCs w:val="23"/>
        </w:rPr>
        <w:t>As notional taxed contributions are already reported to the Australian Taxation Office (</w:t>
      </w:r>
      <w:proofErr w:type="spellStart"/>
      <w:r>
        <w:rPr>
          <w:szCs w:val="23"/>
        </w:rPr>
        <w:t>ATO</w:t>
      </w:r>
      <w:proofErr w:type="spellEnd"/>
      <w:r>
        <w:rPr>
          <w:szCs w:val="23"/>
        </w:rPr>
        <w:t>) by defined benefit funds, the adoption of this amount as the amount of defined benefit contributions for the pu</w:t>
      </w:r>
      <w:r w:rsidR="00103B7C">
        <w:rPr>
          <w:szCs w:val="23"/>
        </w:rPr>
        <w:t xml:space="preserve">rposes of Division 293 tax </w:t>
      </w:r>
      <w:r>
        <w:rPr>
          <w:szCs w:val="23"/>
        </w:rPr>
        <w:t>mean</w:t>
      </w:r>
      <w:r w:rsidR="00103B7C">
        <w:rPr>
          <w:szCs w:val="23"/>
        </w:rPr>
        <w:t>s</w:t>
      </w:r>
      <w:r>
        <w:rPr>
          <w:szCs w:val="23"/>
        </w:rPr>
        <w:t xml:space="preserve"> that funds will not have to report an additional amount for the 2012-13 financial year.  </w:t>
      </w:r>
    </w:p>
    <w:p w14:paraId="0E9B2B38" w14:textId="05850A73" w:rsidR="007F7C8F" w:rsidRDefault="007F7C8F" w:rsidP="007F7C8F">
      <w:pPr>
        <w:pStyle w:val="base-text-paragraph"/>
        <w:spacing w:before="240" w:after="0"/>
        <w:ind w:left="0"/>
        <w:rPr>
          <w:szCs w:val="23"/>
        </w:rPr>
      </w:pPr>
      <w:r w:rsidRPr="003F0C3A">
        <w:t>As there are no notional taxed contributions for defined benefit interests in constitutionally protected funds, individuals with defined benefit interests in</w:t>
      </w:r>
      <w:r w:rsidR="00103B7C">
        <w:t xml:space="preserve"> these funds</w:t>
      </w:r>
      <w:r w:rsidRPr="003F0C3A">
        <w:t xml:space="preserve"> have ‘nil’ defined benefit contributions for the 2012-13 financial year.</w:t>
      </w:r>
      <w:r w:rsidRPr="00236860">
        <w:rPr>
          <w:szCs w:val="23"/>
        </w:rPr>
        <w:t xml:space="preserve"> </w:t>
      </w:r>
    </w:p>
    <w:p w14:paraId="71D5CB6C" w14:textId="1FC66967" w:rsidR="007F7C8F" w:rsidRDefault="007F7C8F" w:rsidP="007F7C8F">
      <w:pPr>
        <w:pStyle w:val="base-text-paragraph"/>
        <w:spacing w:before="240" w:after="0"/>
        <w:ind w:left="0"/>
        <w:rPr>
          <w:szCs w:val="23"/>
        </w:rPr>
      </w:pPr>
      <w:r>
        <w:rPr>
          <w:szCs w:val="23"/>
        </w:rPr>
        <w:t>Subd</w:t>
      </w:r>
      <w:r w:rsidRPr="00F76622">
        <w:rPr>
          <w:szCs w:val="23"/>
        </w:rPr>
        <w:t xml:space="preserve">ivision 292-D of the </w:t>
      </w:r>
      <w:r>
        <w:rPr>
          <w:szCs w:val="23"/>
        </w:rPr>
        <w:t>Act</w:t>
      </w:r>
      <w:r w:rsidRPr="00F76622">
        <w:rPr>
          <w:szCs w:val="23"/>
        </w:rPr>
        <w:t xml:space="preserve"> also states that </w:t>
      </w:r>
      <w:r w:rsidR="00B50BE8">
        <w:rPr>
          <w:szCs w:val="23"/>
        </w:rPr>
        <w:t>an individual’s</w:t>
      </w:r>
      <w:r w:rsidRPr="00F76622">
        <w:rPr>
          <w:szCs w:val="23"/>
        </w:rPr>
        <w:t xml:space="preserve"> notional taxed contributions for a financial year in respect of a defined benefit interest are equal to </w:t>
      </w:r>
      <w:r w:rsidR="00B50BE8">
        <w:rPr>
          <w:szCs w:val="23"/>
        </w:rPr>
        <w:t>their</w:t>
      </w:r>
      <w:r w:rsidRPr="00F76622">
        <w:rPr>
          <w:szCs w:val="23"/>
        </w:rPr>
        <w:t xml:space="preserve"> concessional contributions cap for the financial year if certain conditions are satisfied.  As the amount of an individual’s defined benefit contributions for the 2012-13 financial year is the individual’s notional taxed contributions, if these provisions apply for the purposes of determining excess concessional contributions, they will also apply for defined benefit contributions.</w:t>
      </w:r>
    </w:p>
    <w:p w14:paraId="31E9E466" w14:textId="509533A0" w:rsidR="007F7C8F" w:rsidRDefault="008F3858" w:rsidP="007F7C8F">
      <w:pPr>
        <w:spacing w:before="240"/>
        <w:ind w:right="91"/>
        <w:rPr>
          <w:szCs w:val="24"/>
        </w:rPr>
      </w:pPr>
      <w:r>
        <w:t xml:space="preserve">The </w:t>
      </w:r>
      <w:r w:rsidR="007F7C8F">
        <w:t xml:space="preserve">amendment made by item 1 of Schedule 1 </w:t>
      </w:r>
      <w:r w:rsidR="0031040C">
        <w:t>applies</w:t>
      </w:r>
      <w:r w:rsidR="007F7C8F">
        <w:t xml:space="preserve"> for the 2012</w:t>
      </w:r>
      <w:r w:rsidR="007F7C8F">
        <w:noBreakHyphen/>
        <w:t>13 financial year only.</w:t>
      </w:r>
      <w:r w:rsidR="007F7C8F" w:rsidRPr="00FC4700">
        <w:rPr>
          <w:szCs w:val="24"/>
        </w:rPr>
        <w:t xml:space="preserve"> </w:t>
      </w:r>
      <w:r w:rsidR="007F7C8F">
        <w:rPr>
          <w:szCs w:val="24"/>
        </w:rPr>
        <w:t xml:space="preserve"> Subsection 293-115(6) of the </w:t>
      </w:r>
      <w:proofErr w:type="spellStart"/>
      <w:r w:rsidR="007F7C8F">
        <w:rPr>
          <w:szCs w:val="24"/>
        </w:rPr>
        <w:t>ITAA</w:t>
      </w:r>
      <w:proofErr w:type="spellEnd"/>
      <w:r w:rsidR="007F7C8F">
        <w:rPr>
          <w:szCs w:val="24"/>
        </w:rPr>
        <w:t xml:space="preserve"> 1997 provides that regulations made under section 293-115 may be take effect at any time on or after 1 July 2012.</w:t>
      </w:r>
    </w:p>
    <w:p w14:paraId="74EBE1C3" w14:textId="77777777" w:rsidR="007F7C8F" w:rsidRDefault="007F7C8F" w:rsidP="007F7C8F">
      <w:pPr>
        <w:spacing w:before="240"/>
      </w:pPr>
      <w:r>
        <w:t>Without a retrospective application date there would be no method provided for determining defined benefit contributions for the 2012</w:t>
      </w:r>
      <w:r>
        <w:noBreakHyphen/>
        <w:t>13 financial year and Division 293 tax could not operate in respect of defined benefit interests for the 2012</w:t>
      </w:r>
      <w:r>
        <w:noBreakHyphen/>
        <w:t xml:space="preserve">13 financial year.  </w:t>
      </w:r>
    </w:p>
    <w:p w14:paraId="1840E556" w14:textId="77777777" w:rsidR="007F7C8F" w:rsidRDefault="007F7C8F" w:rsidP="007F7C8F">
      <w:pPr>
        <w:tabs>
          <w:tab w:val="right" w:pos="9072"/>
        </w:tabs>
        <w:ind w:right="91"/>
        <w:rPr>
          <w:b/>
        </w:rPr>
      </w:pPr>
    </w:p>
    <w:p w14:paraId="0CAAD283" w14:textId="77777777" w:rsidR="007F7C8F" w:rsidRPr="001D5452" w:rsidRDefault="007F7C8F" w:rsidP="007F7C8F">
      <w:pPr>
        <w:tabs>
          <w:tab w:val="right" w:pos="9072"/>
        </w:tabs>
        <w:ind w:right="91"/>
        <w:rPr>
          <w:u w:val="single"/>
        </w:rPr>
      </w:pPr>
      <w:r>
        <w:rPr>
          <w:u w:val="single"/>
        </w:rPr>
        <w:t>Schedule 2</w:t>
      </w:r>
      <w:r w:rsidRPr="001D5452">
        <w:rPr>
          <w:u w:val="single"/>
        </w:rPr>
        <w:t xml:space="preserve"> – </w:t>
      </w:r>
      <w:r w:rsidRPr="00CD613C">
        <w:rPr>
          <w:u w:val="single"/>
        </w:rPr>
        <w:t>Public Sector superannuation funds</w:t>
      </w:r>
    </w:p>
    <w:p w14:paraId="105A9CE5" w14:textId="77777777" w:rsidR="007F7C8F" w:rsidRDefault="007F7C8F" w:rsidP="007F7C8F">
      <w:pPr>
        <w:tabs>
          <w:tab w:val="right" w:pos="9072"/>
        </w:tabs>
        <w:ind w:right="91"/>
        <w:rPr>
          <w:b/>
        </w:rPr>
      </w:pPr>
    </w:p>
    <w:p w14:paraId="7F41C498" w14:textId="06B8564D" w:rsidR="007F7C8F" w:rsidRDefault="007F7C8F" w:rsidP="007F7C8F">
      <w:pPr>
        <w:tabs>
          <w:tab w:val="right" w:pos="9072"/>
        </w:tabs>
        <w:ind w:right="91"/>
      </w:pPr>
      <w:r>
        <w:t xml:space="preserve">To satisfy choice of fund requirements for the purposes of the SG Act, employers must provide their employees with a choice of superannuation fund to which the employer will make contributions on behalf of the employee. </w:t>
      </w:r>
      <w:r w:rsidR="0073763E">
        <w:t xml:space="preserve"> </w:t>
      </w:r>
      <w:r>
        <w:t xml:space="preserve">Subsection 32C(9) of the SG Act provides that contributions made under a Commonwealth, State or Territory law that is prescribed under the </w:t>
      </w:r>
      <w:r>
        <w:rPr>
          <w:i/>
        </w:rPr>
        <w:t>Superannuation Guarantee (Administration) Regulations 1993</w:t>
      </w:r>
      <w:r>
        <w:t xml:space="preserve"> (SG Regulations) are taken to satisfy the choice of fund requirements.  Certain public sector superannuation </w:t>
      </w:r>
      <w:r>
        <w:lastRenderedPageBreak/>
        <w:t>schemes are administered under such laws.  Regulation 9B of the SG Regulations currently provides that the Commonwealth, State and Territory laws mentioned in Schedule 2 are prescribed.</w:t>
      </w:r>
    </w:p>
    <w:p w14:paraId="191FFF65" w14:textId="77777777" w:rsidR="007F7C8F" w:rsidRDefault="007F7C8F" w:rsidP="007F7C8F">
      <w:pPr>
        <w:tabs>
          <w:tab w:val="right" w:pos="9072"/>
        </w:tabs>
        <w:ind w:right="91"/>
      </w:pPr>
    </w:p>
    <w:p w14:paraId="7B95890C" w14:textId="182A9A90" w:rsidR="007F7C8F" w:rsidRDefault="008C09C7" w:rsidP="007F7C8F">
      <w:pPr>
        <w:tabs>
          <w:tab w:val="right" w:pos="9072"/>
        </w:tabs>
        <w:ind w:right="91"/>
      </w:pPr>
      <w:r>
        <w:t xml:space="preserve">The </w:t>
      </w:r>
      <w:r w:rsidR="00F676ED">
        <w:t xml:space="preserve">Amending </w:t>
      </w:r>
      <w:r w:rsidR="007F7C8F">
        <w:t>Regulation</w:t>
      </w:r>
      <w:r>
        <w:t xml:space="preserve"> </w:t>
      </w:r>
      <w:r w:rsidR="007F7C8F">
        <w:t>move</w:t>
      </w:r>
      <w:r>
        <w:t>s</w:t>
      </w:r>
      <w:r w:rsidR="007F7C8F">
        <w:t xml:space="preserve"> the lists of prescribed legislation from Schedule 2 </w:t>
      </w:r>
      <w:r w:rsidR="00BE0830">
        <w:t>to</w:t>
      </w:r>
      <w:r w:rsidR="007F7C8F">
        <w:t xml:space="preserve"> the </w:t>
      </w:r>
      <w:r w:rsidR="0073763E">
        <w:t>SG </w:t>
      </w:r>
      <w:r w:rsidR="007F7C8F">
        <w:t xml:space="preserve">Regulations to Regulation </w:t>
      </w:r>
      <w:r>
        <w:t xml:space="preserve">9B.  It </w:t>
      </w:r>
      <w:r w:rsidR="007F7C8F">
        <w:t>also omit</w:t>
      </w:r>
      <w:r>
        <w:t>s</w:t>
      </w:r>
      <w:r w:rsidR="007F7C8F">
        <w:t xml:space="preserve"> from the lists the references to State and Territory Acts and Regulations which are no longer required because they ar</w:t>
      </w:r>
      <w:r>
        <w:t xml:space="preserve">e spent or redundant, and </w:t>
      </w:r>
      <w:r w:rsidR="007F7C8F">
        <w:t>add</w:t>
      </w:r>
      <w:r>
        <w:t>s</w:t>
      </w:r>
      <w:r w:rsidR="007F7C8F">
        <w:t xml:space="preserve"> new listings. </w:t>
      </w:r>
      <w:r w:rsidR="0073763E">
        <w:t xml:space="preserve"> </w:t>
      </w:r>
      <w:r w:rsidR="007F7C8F">
        <w:t>The period during which contributions made under the prescribed Acts and Regulations will comply with the c</w:t>
      </w:r>
      <w:r>
        <w:t>hoice of fund requirements is also</w:t>
      </w:r>
      <w:r w:rsidR="007F7C8F">
        <w:t xml:space="preserve"> specified.</w:t>
      </w:r>
    </w:p>
    <w:p w14:paraId="32B79CE1" w14:textId="77777777" w:rsidR="007F7C8F" w:rsidRDefault="007F7C8F" w:rsidP="007F7C8F">
      <w:pPr>
        <w:tabs>
          <w:tab w:val="right" w:pos="9072"/>
        </w:tabs>
        <w:ind w:right="91"/>
      </w:pPr>
    </w:p>
    <w:p w14:paraId="490A1F75" w14:textId="77777777" w:rsidR="007F7C8F" w:rsidRPr="00F057C7" w:rsidRDefault="007F7C8F" w:rsidP="007F7C8F">
      <w:pPr>
        <w:tabs>
          <w:tab w:val="right" w:pos="9072"/>
        </w:tabs>
        <w:ind w:right="91"/>
        <w:rPr>
          <w:u w:val="single"/>
        </w:rPr>
      </w:pPr>
      <w:r w:rsidRPr="00F057C7">
        <w:rPr>
          <w:u w:val="single"/>
        </w:rPr>
        <w:t>Victoria</w:t>
      </w:r>
    </w:p>
    <w:p w14:paraId="24659C6E" w14:textId="77777777" w:rsidR="007F7C8F" w:rsidRDefault="007F7C8F" w:rsidP="007F7C8F">
      <w:pPr>
        <w:tabs>
          <w:tab w:val="right" w:pos="9072"/>
        </w:tabs>
        <w:ind w:right="91"/>
        <w:rPr>
          <w:b/>
        </w:rPr>
      </w:pPr>
    </w:p>
    <w:p w14:paraId="692EE207" w14:textId="6942F54B" w:rsidR="007F7C8F" w:rsidRDefault="007F7C8F" w:rsidP="007F7C8F">
      <w:pPr>
        <w:tabs>
          <w:tab w:val="right" w:pos="9072"/>
        </w:tabs>
        <w:ind w:right="91"/>
      </w:pPr>
      <w:r>
        <w:t xml:space="preserve">The reference to the </w:t>
      </w:r>
      <w:r>
        <w:rPr>
          <w:i/>
        </w:rPr>
        <w:t xml:space="preserve">Parliamentary Contributory Superannuation Act 1962 </w:t>
      </w:r>
      <w:r w:rsidR="008C09C7">
        <w:t>(Vic) is</w:t>
      </w:r>
      <w:r>
        <w:t xml:space="preserve"> omitted because it is redundant, and the reference to the </w:t>
      </w:r>
      <w:r>
        <w:rPr>
          <w:i/>
        </w:rPr>
        <w:t>Parliamentary Salaries and Superannuation Act 1968</w:t>
      </w:r>
      <w:r w:rsidR="008C09C7">
        <w:t xml:space="preserve"> (Vic) is</w:t>
      </w:r>
      <w:r>
        <w:t xml:space="preserve"> added, applying from 1 July 2005.</w:t>
      </w:r>
    </w:p>
    <w:p w14:paraId="46A21DFB" w14:textId="77777777" w:rsidR="007F7C8F" w:rsidRDefault="007F7C8F" w:rsidP="007F7C8F">
      <w:pPr>
        <w:tabs>
          <w:tab w:val="right" w:pos="9072"/>
        </w:tabs>
        <w:ind w:right="91"/>
      </w:pPr>
    </w:p>
    <w:p w14:paraId="5464EE30" w14:textId="77777777" w:rsidR="007F7C8F" w:rsidRDefault="007F7C8F" w:rsidP="007F7C8F">
      <w:pPr>
        <w:tabs>
          <w:tab w:val="right" w:pos="9072"/>
        </w:tabs>
        <w:ind w:right="91"/>
        <w:rPr>
          <w:u w:val="single"/>
        </w:rPr>
      </w:pPr>
      <w:r>
        <w:rPr>
          <w:u w:val="single"/>
        </w:rPr>
        <w:t>Queensland</w:t>
      </w:r>
    </w:p>
    <w:p w14:paraId="3F1296A2" w14:textId="77777777" w:rsidR="007F7C8F" w:rsidRDefault="007F7C8F" w:rsidP="007F7C8F">
      <w:pPr>
        <w:tabs>
          <w:tab w:val="right" w:pos="9072"/>
        </w:tabs>
        <w:ind w:right="91"/>
        <w:rPr>
          <w:u w:val="single"/>
        </w:rPr>
      </w:pPr>
    </w:p>
    <w:p w14:paraId="47298D9B" w14:textId="4FE24594" w:rsidR="007F7C8F" w:rsidRPr="00126FF7" w:rsidRDefault="007F7C8F" w:rsidP="007F7C8F">
      <w:pPr>
        <w:tabs>
          <w:tab w:val="right" w:pos="9072"/>
        </w:tabs>
        <w:ind w:right="91"/>
      </w:pPr>
      <w:r>
        <w:t>The r</w:t>
      </w:r>
      <w:r w:rsidRPr="00126FF7">
        <w:t>eference to the</w:t>
      </w:r>
      <w:r>
        <w:t xml:space="preserve"> </w:t>
      </w:r>
      <w:r>
        <w:rPr>
          <w:i/>
        </w:rPr>
        <w:t xml:space="preserve">Local Government Act 1993 </w:t>
      </w:r>
      <w:r w:rsidR="008C09C7">
        <w:t>(Qld) is</w:t>
      </w:r>
      <w:r w:rsidR="004E100C">
        <w:t xml:space="preserve"> omitted because it is </w:t>
      </w:r>
      <w:r>
        <w:t xml:space="preserve">redundant, and reference to the </w:t>
      </w:r>
      <w:r>
        <w:rPr>
          <w:i/>
        </w:rPr>
        <w:t>Local Government Act 2009</w:t>
      </w:r>
      <w:r w:rsidR="008C09C7">
        <w:t xml:space="preserve"> (Qld) is</w:t>
      </w:r>
      <w:r>
        <w:t xml:space="preserve"> added, applying from 1 July 2010 (the date from which the </w:t>
      </w:r>
      <w:r>
        <w:rPr>
          <w:i/>
        </w:rPr>
        <w:t>Local Government Act 2009</w:t>
      </w:r>
      <w:r>
        <w:t xml:space="preserve"> (Qld) applies).</w:t>
      </w:r>
    </w:p>
    <w:p w14:paraId="202A5B76" w14:textId="77777777" w:rsidR="007F7C8F" w:rsidRDefault="007F7C8F" w:rsidP="007F7C8F">
      <w:pPr>
        <w:tabs>
          <w:tab w:val="right" w:pos="9072"/>
        </w:tabs>
        <w:ind w:right="91"/>
      </w:pPr>
    </w:p>
    <w:p w14:paraId="140383C7" w14:textId="77777777" w:rsidR="007F7C8F" w:rsidRPr="0041458E" w:rsidRDefault="007F7C8F" w:rsidP="007F7C8F">
      <w:pPr>
        <w:tabs>
          <w:tab w:val="right" w:pos="9072"/>
        </w:tabs>
        <w:ind w:right="91"/>
        <w:rPr>
          <w:u w:val="single"/>
        </w:rPr>
      </w:pPr>
      <w:r w:rsidRPr="0041458E">
        <w:rPr>
          <w:u w:val="single"/>
        </w:rPr>
        <w:t>Western Australia</w:t>
      </w:r>
    </w:p>
    <w:p w14:paraId="65E32ED3" w14:textId="77777777" w:rsidR="007F7C8F" w:rsidRDefault="007F7C8F" w:rsidP="007F7C8F">
      <w:pPr>
        <w:tabs>
          <w:tab w:val="right" w:pos="9072"/>
        </w:tabs>
        <w:ind w:right="91"/>
        <w:rPr>
          <w:b/>
        </w:rPr>
      </w:pPr>
    </w:p>
    <w:p w14:paraId="57884412" w14:textId="35784E65" w:rsidR="007F7C8F" w:rsidRDefault="007F7C8F" w:rsidP="007F7C8F">
      <w:pPr>
        <w:tabs>
          <w:tab w:val="right" w:pos="9072"/>
        </w:tabs>
        <w:ind w:right="91"/>
      </w:pPr>
      <w:r>
        <w:t xml:space="preserve">Reference to the </w:t>
      </w:r>
      <w:r>
        <w:rPr>
          <w:i/>
        </w:rPr>
        <w:t>Coal Industry Superannuation Act 1989</w:t>
      </w:r>
      <w:r w:rsidR="008C09C7">
        <w:t xml:space="preserve"> (WA) is</w:t>
      </w:r>
      <w:r>
        <w:t xml:space="preserve"> added, applying from </w:t>
      </w:r>
      <w:r w:rsidR="005D7992">
        <w:t>1 </w:t>
      </w:r>
      <w:r>
        <w:t>July 2005.</w:t>
      </w:r>
    </w:p>
    <w:p w14:paraId="21A84434" w14:textId="77777777" w:rsidR="007F7C8F" w:rsidRDefault="007F7C8F" w:rsidP="007F7C8F">
      <w:pPr>
        <w:tabs>
          <w:tab w:val="right" w:pos="9072"/>
        </w:tabs>
        <w:ind w:right="91"/>
      </w:pPr>
    </w:p>
    <w:p w14:paraId="4F4D3450" w14:textId="77777777" w:rsidR="007F7C8F" w:rsidRDefault="007F7C8F" w:rsidP="007F7C8F">
      <w:pPr>
        <w:tabs>
          <w:tab w:val="right" w:pos="9072"/>
        </w:tabs>
        <w:ind w:right="91"/>
        <w:rPr>
          <w:u w:val="single"/>
        </w:rPr>
      </w:pPr>
      <w:r>
        <w:rPr>
          <w:u w:val="single"/>
        </w:rPr>
        <w:t>South Australia</w:t>
      </w:r>
    </w:p>
    <w:p w14:paraId="5FDCCE75" w14:textId="77777777" w:rsidR="007F7C8F" w:rsidRDefault="007F7C8F" w:rsidP="007F7C8F">
      <w:pPr>
        <w:tabs>
          <w:tab w:val="right" w:pos="9072"/>
        </w:tabs>
        <w:ind w:right="91"/>
        <w:rPr>
          <w:u w:val="single"/>
        </w:rPr>
      </w:pPr>
    </w:p>
    <w:p w14:paraId="34E93FD6" w14:textId="48C93C80" w:rsidR="007F7C8F" w:rsidRDefault="007F7C8F" w:rsidP="007F7C8F">
      <w:pPr>
        <w:tabs>
          <w:tab w:val="right" w:pos="9072"/>
        </w:tabs>
        <w:ind w:right="91"/>
      </w:pPr>
      <w:r>
        <w:t xml:space="preserve">The reference to the </w:t>
      </w:r>
      <w:r>
        <w:rPr>
          <w:i/>
        </w:rPr>
        <w:t xml:space="preserve">Southern State Superannuation Act 1994 </w:t>
      </w:r>
      <w:r w:rsidR="008C09C7">
        <w:t>(SA) is</w:t>
      </w:r>
      <w:r>
        <w:t xml:space="preserve"> omitted because it is redundant.  Reference to the </w:t>
      </w:r>
      <w:r>
        <w:rPr>
          <w:i/>
        </w:rPr>
        <w:t>Southern State Superannuation Act 2009</w:t>
      </w:r>
      <w:r w:rsidR="008C09C7">
        <w:t xml:space="preserve"> (SA) is</w:t>
      </w:r>
      <w:r>
        <w:t xml:space="preserve"> added, applying from 1 August 2009 (the date from which the </w:t>
      </w:r>
      <w:r>
        <w:rPr>
          <w:i/>
        </w:rPr>
        <w:t>South State Superannuation Act 2009</w:t>
      </w:r>
      <w:r>
        <w:t xml:space="preserve"> (SA) applies).</w:t>
      </w:r>
    </w:p>
    <w:p w14:paraId="7342CCB5" w14:textId="77777777" w:rsidR="007F7C8F" w:rsidRDefault="007F7C8F" w:rsidP="007F7C8F">
      <w:pPr>
        <w:tabs>
          <w:tab w:val="right" w:pos="9072"/>
        </w:tabs>
        <w:ind w:right="91"/>
      </w:pPr>
    </w:p>
    <w:p w14:paraId="64B41F08" w14:textId="77777777" w:rsidR="007F7C8F" w:rsidRDefault="007F7C8F" w:rsidP="007F7C8F">
      <w:pPr>
        <w:tabs>
          <w:tab w:val="right" w:pos="9072"/>
        </w:tabs>
        <w:ind w:right="91"/>
      </w:pPr>
      <w:r>
        <w:rPr>
          <w:u w:val="single"/>
        </w:rPr>
        <w:t>Tasmania</w:t>
      </w:r>
    </w:p>
    <w:p w14:paraId="6D1769AB" w14:textId="77777777" w:rsidR="007F7C8F" w:rsidRDefault="007F7C8F" w:rsidP="007F7C8F">
      <w:pPr>
        <w:tabs>
          <w:tab w:val="right" w:pos="9072"/>
        </w:tabs>
        <w:ind w:right="91"/>
      </w:pPr>
    </w:p>
    <w:p w14:paraId="363DB750" w14:textId="6B22D6CF" w:rsidR="007F7C8F" w:rsidRDefault="007F7C8F" w:rsidP="007F7C8F">
      <w:pPr>
        <w:tabs>
          <w:tab w:val="right" w:pos="9072"/>
        </w:tabs>
        <w:ind w:right="91"/>
      </w:pPr>
      <w:r>
        <w:t>The reference</w:t>
      </w:r>
      <w:r w:rsidR="0039119B">
        <w:t>s to the following Acts are</w:t>
      </w:r>
      <w:r>
        <w:t xml:space="preserve"> omitted because they are redundant:</w:t>
      </w:r>
    </w:p>
    <w:p w14:paraId="78AE4B01" w14:textId="77777777" w:rsidR="007F7C8F" w:rsidRDefault="007F7C8F" w:rsidP="007F7C8F">
      <w:pPr>
        <w:tabs>
          <w:tab w:val="right" w:pos="9072"/>
        </w:tabs>
        <w:ind w:right="91"/>
      </w:pPr>
    </w:p>
    <w:p w14:paraId="5180687D" w14:textId="2819DDE7" w:rsidR="007F7C8F" w:rsidRDefault="007F7C8F" w:rsidP="00645718">
      <w:pPr>
        <w:pStyle w:val="Bullet"/>
        <w:tabs>
          <w:tab w:val="clear" w:pos="1701"/>
          <w:tab w:val="num" w:pos="567"/>
          <w:tab w:val="left" w:pos="1134"/>
        </w:tabs>
        <w:ind w:left="567" w:firstLine="0"/>
      </w:pPr>
      <w:r>
        <w:rPr>
          <w:i/>
        </w:rPr>
        <w:t>Ambulance Service Act 1982</w:t>
      </w:r>
      <w:r w:rsidR="00DF3EE5">
        <w:t xml:space="preserve"> (</w:t>
      </w:r>
      <w:proofErr w:type="spellStart"/>
      <w:r w:rsidR="00DF3EE5">
        <w:t>Tas</w:t>
      </w:r>
      <w:proofErr w:type="spellEnd"/>
      <w:r w:rsidR="00DF3EE5">
        <w:t xml:space="preserve">); </w:t>
      </w:r>
      <w:r>
        <w:t>and</w:t>
      </w:r>
    </w:p>
    <w:p w14:paraId="4635584E" w14:textId="77777777" w:rsidR="007F7C8F" w:rsidRPr="00357FAC" w:rsidRDefault="007F7C8F" w:rsidP="007F7C8F">
      <w:pPr>
        <w:pStyle w:val="Bullet"/>
        <w:tabs>
          <w:tab w:val="num" w:pos="1701"/>
        </w:tabs>
        <w:ind w:left="1701" w:hanging="1134"/>
      </w:pPr>
      <w:r>
        <w:rPr>
          <w:i/>
        </w:rPr>
        <w:t xml:space="preserve">Retirement Benefits (Parliamentary Superannuation) Regulations 2002 </w:t>
      </w:r>
      <w:r w:rsidRPr="00467A3A">
        <w:t>(</w:t>
      </w:r>
      <w:proofErr w:type="spellStart"/>
      <w:r w:rsidRPr="00467A3A">
        <w:t>Tas</w:t>
      </w:r>
      <w:proofErr w:type="spellEnd"/>
      <w:r w:rsidRPr="00467A3A">
        <w:t>).</w:t>
      </w:r>
    </w:p>
    <w:p w14:paraId="07897A76" w14:textId="77777777" w:rsidR="007F7C8F" w:rsidRDefault="007F7C8F" w:rsidP="007F7C8F">
      <w:pPr>
        <w:pStyle w:val="Bullet"/>
        <w:numPr>
          <w:ilvl w:val="0"/>
          <w:numId w:val="0"/>
        </w:numPr>
        <w:ind w:left="567" w:hanging="567"/>
        <w:rPr>
          <w:i/>
        </w:rPr>
      </w:pPr>
    </w:p>
    <w:p w14:paraId="402BB757" w14:textId="3297BB03" w:rsidR="007F7C8F" w:rsidRDefault="007F7C8F" w:rsidP="007F7C8F">
      <w:pPr>
        <w:pStyle w:val="Bullet"/>
        <w:numPr>
          <w:ilvl w:val="0"/>
          <w:numId w:val="0"/>
        </w:numPr>
        <w:ind w:left="567" w:hanging="567"/>
      </w:pPr>
      <w:r>
        <w:t>References to the followi</w:t>
      </w:r>
      <w:r w:rsidR="0039119B">
        <w:t>ng Acts and Regulations are</w:t>
      </w:r>
      <w:r>
        <w:t xml:space="preserve"> added:</w:t>
      </w:r>
    </w:p>
    <w:p w14:paraId="68256077" w14:textId="77777777" w:rsidR="007F7C8F" w:rsidRDefault="007F7C8F" w:rsidP="007F7C8F">
      <w:pPr>
        <w:pStyle w:val="Bullet"/>
        <w:numPr>
          <w:ilvl w:val="0"/>
          <w:numId w:val="0"/>
        </w:numPr>
      </w:pPr>
    </w:p>
    <w:p w14:paraId="0461096F" w14:textId="6364487D" w:rsidR="007F7C8F" w:rsidRDefault="007F7C8F" w:rsidP="00B13C75">
      <w:pPr>
        <w:pStyle w:val="Bullet"/>
        <w:tabs>
          <w:tab w:val="clear" w:pos="1701"/>
        </w:tabs>
      </w:pPr>
      <w:r>
        <w:rPr>
          <w:i/>
        </w:rPr>
        <w:t>Public Sector Superannuation Reform Act 1999</w:t>
      </w:r>
      <w:r>
        <w:t xml:space="preserve"> (</w:t>
      </w:r>
      <w:proofErr w:type="spellStart"/>
      <w:r>
        <w:t>Tas</w:t>
      </w:r>
      <w:proofErr w:type="spellEnd"/>
      <w:r>
        <w:t>), applying from 1 July</w:t>
      </w:r>
      <w:r w:rsidR="005D7992">
        <w:t> </w:t>
      </w:r>
      <w:r>
        <w:t>2005.</w:t>
      </w:r>
    </w:p>
    <w:p w14:paraId="19B3994E" w14:textId="77777777" w:rsidR="007F7C8F" w:rsidRDefault="007F7C8F" w:rsidP="00B13C75">
      <w:pPr>
        <w:pStyle w:val="Bullet"/>
        <w:tabs>
          <w:tab w:val="clear" w:pos="1701"/>
        </w:tabs>
      </w:pPr>
      <w:r>
        <w:rPr>
          <w:i/>
        </w:rPr>
        <w:t xml:space="preserve">Retirement Benefits (Parliamentary Superannuation) Regulations 2012 </w:t>
      </w:r>
      <w:r>
        <w:t>(</w:t>
      </w:r>
      <w:proofErr w:type="spellStart"/>
      <w:r>
        <w:t>Tas</w:t>
      </w:r>
      <w:proofErr w:type="spellEnd"/>
      <w:r>
        <w:t>), applying from 25 December 2012.</w:t>
      </w:r>
    </w:p>
    <w:p w14:paraId="1A0CFEBC" w14:textId="77777777" w:rsidR="007F7C8F" w:rsidRDefault="007F7C8F" w:rsidP="007F7C8F">
      <w:pPr>
        <w:pStyle w:val="Bullet"/>
        <w:numPr>
          <w:ilvl w:val="0"/>
          <w:numId w:val="0"/>
        </w:numPr>
        <w:ind w:left="567" w:hanging="567"/>
        <w:rPr>
          <w:i/>
        </w:rPr>
      </w:pPr>
    </w:p>
    <w:p w14:paraId="7F952B04" w14:textId="77777777" w:rsidR="007F7C8F" w:rsidRDefault="007F7C8F" w:rsidP="007F7C8F">
      <w:pPr>
        <w:pStyle w:val="Dash"/>
        <w:ind w:left="2268"/>
      </w:pPr>
      <w:r>
        <w:t xml:space="preserve">The schemes operating under the </w:t>
      </w:r>
      <w:r w:rsidRPr="00E72BD6">
        <w:rPr>
          <w:i/>
        </w:rPr>
        <w:t>Parliamentary Superannuation Act 1973</w:t>
      </w:r>
      <w:r>
        <w:t xml:space="preserve"> (</w:t>
      </w:r>
      <w:proofErr w:type="spellStart"/>
      <w:r>
        <w:t>Tas</w:t>
      </w:r>
      <w:proofErr w:type="spellEnd"/>
      <w:r>
        <w:t xml:space="preserve">) and the </w:t>
      </w:r>
      <w:r w:rsidRPr="00E72BD6">
        <w:rPr>
          <w:i/>
        </w:rPr>
        <w:t>Parliamentary Retiring Benefits Act 1985</w:t>
      </w:r>
      <w:r>
        <w:t xml:space="preserve"> (</w:t>
      </w:r>
      <w:proofErr w:type="spellStart"/>
      <w:r>
        <w:t>Tas</w:t>
      </w:r>
      <w:proofErr w:type="spellEnd"/>
      <w:r>
        <w:t xml:space="preserve">) moved to operating under the </w:t>
      </w:r>
      <w:r w:rsidRPr="00E72BD6">
        <w:rPr>
          <w:i/>
        </w:rPr>
        <w:t xml:space="preserve">Retirement Benefits (Parliamentary </w:t>
      </w:r>
      <w:r w:rsidRPr="00E72BD6">
        <w:rPr>
          <w:i/>
        </w:rPr>
        <w:lastRenderedPageBreak/>
        <w:t>Superannuation) Regulations 2002</w:t>
      </w:r>
      <w:r>
        <w:t xml:space="preserve"> (</w:t>
      </w:r>
      <w:proofErr w:type="spellStart"/>
      <w:r>
        <w:t>Tas</w:t>
      </w:r>
      <w:proofErr w:type="spellEnd"/>
      <w:r>
        <w:t xml:space="preserve">), effective 1 January 2003.  These regulations became the </w:t>
      </w:r>
      <w:r w:rsidRPr="00E72BD6">
        <w:rPr>
          <w:i/>
        </w:rPr>
        <w:t>Retirement Benefits (Parliamentary Superannuation) Regulations 2012</w:t>
      </w:r>
      <w:r>
        <w:t xml:space="preserve"> (</w:t>
      </w:r>
      <w:proofErr w:type="spellStart"/>
      <w:r>
        <w:t>Tas</w:t>
      </w:r>
      <w:proofErr w:type="spellEnd"/>
      <w:r>
        <w:t>), effective 25 December 2012.</w:t>
      </w:r>
    </w:p>
    <w:p w14:paraId="18A0258D" w14:textId="77777777" w:rsidR="007F7C8F" w:rsidRDefault="007F7C8F" w:rsidP="007F7C8F">
      <w:pPr>
        <w:pStyle w:val="Bullet"/>
        <w:numPr>
          <w:ilvl w:val="0"/>
          <w:numId w:val="0"/>
        </w:numPr>
        <w:ind w:left="567" w:hanging="567"/>
      </w:pPr>
    </w:p>
    <w:p w14:paraId="52CD57AE" w14:textId="77777777" w:rsidR="007F7C8F" w:rsidRPr="006356D4" w:rsidRDefault="007F7C8F" w:rsidP="007F7C8F">
      <w:pPr>
        <w:rPr>
          <w:u w:val="single"/>
        </w:rPr>
      </w:pPr>
      <w:r>
        <w:rPr>
          <w:u w:val="single"/>
        </w:rPr>
        <w:t xml:space="preserve">Schedule 3 – </w:t>
      </w:r>
      <w:r w:rsidRPr="003021AC">
        <w:rPr>
          <w:u w:val="single"/>
        </w:rPr>
        <w:t>Clearing houses</w:t>
      </w:r>
    </w:p>
    <w:p w14:paraId="2AA996AA" w14:textId="77777777" w:rsidR="007F7C8F" w:rsidRDefault="007F7C8F" w:rsidP="007F7C8F">
      <w:pPr>
        <w:pStyle w:val="Bullet"/>
        <w:numPr>
          <w:ilvl w:val="0"/>
          <w:numId w:val="0"/>
        </w:numPr>
        <w:ind w:left="567" w:hanging="567"/>
        <w:rPr>
          <w:b/>
        </w:rPr>
      </w:pPr>
    </w:p>
    <w:p w14:paraId="4705B32D" w14:textId="77777777" w:rsidR="007F7C8F" w:rsidRDefault="007F7C8F" w:rsidP="007F7C8F">
      <w:pPr>
        <w:pStyle w:val="Bullet"/>
        <w:numPr>
          <w:ilvl w:val="0"/>
          <w:numId w:val="0"/>
        </w:numPr>
      </w:pPr>
      <w:r>
        <w:t>Under the SG Act, employers are required to make contributions to superannuation funds on behalf of employees.  Instead of making contributions to superannuation funds directly, employers can make the payments to an approved clearing house, which then distributes the payments to the superannuation fund of the employee.  Subsection 79A(3) of the SG Act provides that an approved clearing house means a body specified in the SG Regulations.</w:t>
      </w:r>
    </w:p>
    <w:p w14:paraId="40B7A0C3" w14:textId="77777777" w:rsidR="007F7C8F" w:rsidRDefault="007F7C8F" w:rsidP="007F7C8F">
      <w:pPr>
        <w:pStyle w:val="Bullet"/>
        <w:numPr>
          <w:ilvl w:val="0"/>
          <w:numId w:val="0"/>
        </w:numPr>
      </w:pPr>
    </w:p>
    <w:p w14:paraId="5F9F2364" w14:textId="77777777" w:rsidR="007F7C8F" w:rsidRDefault="007F7C8F" w:rsidP="007F7C8F">
      <w:pPr>
        <w:pStyle w:val="Bullet"/>
        <w:numPr>
          <w:ilvl w:val="0"/>
          <w:numId w:val="0"/>
        </w:numPr>
      </w:pPr>
      <w:r>
        <w:t xml:space="preserve">Regulation 7AE of the SG Regulations currently provides that the Department administered by the Minister administering the </w:t>
      </w:r>
      <w:r w:rsidRPr="004C15C4">
        <w:rPr>
          <w:i/>
        </w:rPr>
        <w:t>Human Services (Medicare) Act 1973</w:t>
      </w:r>
      <w:r>
        <w:t xml:space="preserve"> (the Department of Human Services) is an approved clearing house.</w:t>
      </w:r>
    </w:p>
    <w:p w14:paraId="771DA943" w14:textId="77777777" w:rsidR="007F7C8F" w:rsidRDefault="007F7C8F" w:rsidP="007F7C8F">
      <w:pPr>
        <w:pStyle w:val="Bullet"/>
        <w:numPr>
          <w:ilvl w:val="0"/>
          <w:numId w:val="0"/>
        </w:numPr>
      </w:pPr>
    </w:p>
    <w:p w14:paraId="47F36BCC" w14:textId="193DCE69" w:rsidR="007F7C8F" w:rsidRDefault="007F7C8F" w:rsidP="007F7C8F">
      <w:pPr>
        <w:pStyle w:val="Bullet"/>
        <w:numPr>
          <w:ilvl w:val="0"/>
          <w:numId w:val="0"/>
        </w:numPr>
      </w:pPr>
      <w:r>
        <w:t xml:space="preserve">The </w:t>
      </w:r>
      <w:r w:rsidR="00F676ED">
        <w:t xml:space="preserve">Amending </w:t>
      </w:r>
      <w:r>
        <w:t>Regulation provide</w:t>
      </w:r>
      <w:r w:rsidR="0039119B">
        <w:t>s</w:t>
      </w:r>
      <w:r>
        <w:t xml:space="preserve"> that the Australian Taxation Office</w:t>
      </w:r>
      <w:r w:rsidR="00DF3EE5">
        <w:t xml:space="preserve"> (</w:t>
      </w:r>
      <w:proofErr w:type="spellStart"/>
      <w:r w:rsidR="00DF3EE5">
        <w:t>ATO</w:t>
      </w:r>
      <w:proofErr w:type="spellEnd"/>
      <w:r w:rsidR="00DF3EE5">
        <w:t>)</w:t>
      </w:r>
      <w:r>
        <w:t xml:space="preserve"> is also an approved clearing house for the purposes of subsection 79A(3) of the SG Act.  The </w:t>
      </w:r>
      <w:proofErr w:type="spellStart"/>
      <w:r>
        <w:t>ATO</w:t>
      </w:r>
      <w:proofErr w:type="spellEnd"/>
      <w:r>
        <w:t xml:space="preserve"> is the Government’s principal revenue collection agency and is a body comprising the Commissioner of Taxation, Second Commissioners of Taxation, and officers or employees engaged to assist the Commissioner of Taxation in the performance of his duties.  </w:t>
      </w:r>
    </w:p>
    <w:p w14:paraId="29F84CD5" w14:textId="77777777" w:rsidR="000C65A8" w:rsidRDefault="000C65A8" w:rsidP="007F7C8F">
      <w:pPr>
        <w:pStyle w:val="Bullet"/>
        <w:numPr>
          <w:ilvl w:val="0"/>
          <w:numId w:val="0"/>
        </w:numPr>
      </w:pPr>
    </w:p>
    <w:p w14:paraId="78A159F5" w14:textId="77777777" w:rsidR="001550FB" w:rsidRPr="00486EE8" w:rsidRDefault="001550FB" w:rsidP="001550FB">
      <w:pPr>
        <w:keepNext/>
        <w:tabs>
          <w:tab w:val="left" w:pos="1987"/>
        </w:tabs>
        <w:spacing w:before="240" w:after="120"/>
        <w:jc w:val="center"/>
        <w:outlineLvl w:val="2"/>
        <w:rPr>
          <w:rFonts w:ascii="Helvetica" w:hAnsi="Helvetica"/>
          <w:b/>
          <w:kern w:val="28"/>
        </w:rPr>
      </w:pPr>
      <w:r w:rsidRPr="00486EE8">
        <w:rPr>
          <w:rFonts w:ascii="Helvetica" w:hAnsi="Helvetica"/>
          <w:b/>
          <w:kern w:val="28"/>
        </w:rPr>
        <w:t>Statement of Compatibility with Human Rights</w:t>
      </w:r>
    </w:p>
    <w:p w14:paraId="610502D7" w14:textId="77777777" w:rsidR="001550FB" w:rsidRPr="00486EE8" w:rsidRDefault="001550FB" w:rsidP="001550FB">
      <w:pPr>
        <w:spacing w:before="120" w:after="120"/>
        <w:jc w:val="center"/>
        <w:rPr>
          <w:i/>
        </w:rPr>
      </w:pPr>
      <w:r w:rsidRPr="00486EE8">
        <w:rPr>
          <w:i/>
        </w:rPr>
        <w:t>Prepared in accordance with Part 3 of the Human Rights (Parliamentary Scrutiny) Act 2011</w:t>
      </w:r>
    </w:p>
    <w:p w14:paraId="4B060D06" w14:textId="77777777" w:rsidR="005D7992" w:rsidRDefault="001550FB" w:rsidP="00E60A62">
      <w:pPr>
        <w:spacing w:before="120" w:after="120"/>
        <w:jc w:val="center"/>
        <w:rPr>
          <w:b/>
        </w:rPr>
      </w:pPr>
      <w:r w:rsidRPr="00350102">
        <w:rPr>
          <w:b/>
        </w:rPr>
        <w:t>Tax and Superannuation L</w:t>
      </w:r>
      <w:r w:rsidR="006638EE">
        <w:rPr>
          <w:b/>
        </w:rPr>
        <w:t>aws</w:t>
      </w:r>
      <w:r w:rsidRPr="00350102">
        <w:rPr>
          <w:b/>
        </w:rPr>
        <w:t xml:space="preserve"> Amendment (2014 Measures No. 1) Regulation 2014</w:t>
      </w:r>
    </w:p>
    <w:p w14:paraId="08F78F28" w14:textId="422E6AA2" w:rsidR="001550FB" w:rsidRPr="00486EE8" w:rsidRDefault="001550FB" w:rsidP="001550FB">
      <w:pPr>
        <w:spacing w:before="120" w:after="120"/>
      </w:pPr>
      <w:r w:rsidRPr="00486EE8">
        <w:t xml:space="preserve">This Legislative Instrument is compatible with the human rights and freedoms recognised or declared in the international instruments listed in section 3 of the </w:t>
      </w:r>
      <w:r w:rsidRPr="00486EE8">
        <w:rPr>
          <w:i/>
        </w:rPr>
        <w:t>Human Rights (Parliamentary Scrutiny) Act 2011</w:t>
      </w:r>
      <w:r w:rsidRPr="00486EE8">
        <w:t>.</w:t>
      </w:r>
    </w:p>
    <w:p w14:paraId="1C3BB74B" w14:textId="77777777" w:rsidR="001550FB" w:rsidRDefault="001550FB" w:rsidP="001550FB">
      <w:pPr>
        <w:keepNext/>
        <w:tabs>
          <w:tab w:val="left" w:pos="1987"/>
        </w:tabs>
        <w:spacing w:before="120" w:after="120"/>
        <w:outlineLvl w:val="3"/>
        <w:rPr>
          <w:b/>
          <w:kern w:val="28"/>
        </w:rPr>
      </w:pPr>
      <w:r w:rsidRPr="00486EE8">
        <w:rPr>
          <w:b/>
          <w:kern w:val="28"/>
        </w:rPr>
        <w:t>Overview of the Legislative Instrument</w:t>
      </w:r>
    </w:p>
    <w:p w14:paraId="39F36FD8" w14:textId="7AA4E4E4" w:rsidR="001550FB" w:rsidRPr="00A35070" w:rsidRDefault="001550FB" w:rsidP="001550FB">
      <w:pPr>
        <w:tabs>
          <w:tab w:val="left" w:pos="1418"/>
        </w:tabs>
        <w:spacing w:before="120" w:after="240"/>
        <w:rPr>
          <w:i/>
        </w:rPr>
      </w:pPr>
      <w:r>
        <w:rPr>
          <w:kern w:val="28"/>
        </w:rPr>
        <w:t xml:space="preserve">The </w:t>
      </w:r>
      <w:r w:rsidRPr="007F7C8F">
        <w:rPr>
          <w:i/>
        </w:rPr>
        <w:t>Tax and Superannuation L</w:t>
      </w:r>
      <w:r w:rsidR="006638EE">
        <w:rPr>
          <w:i/>
        </w:rPr>
        <w:t>aws</w:t>
      </w:r>
      <w:r w:rsidRPr="007F7C8F">
        <w:rPr>
          <w:i/>
        </w:rPr>
        <w:t xml:space="preserve"> Amendment (2014 Measures No. 1) Regulation 2014</w:t>
      </w:r>
      <w:r w:rsidR="00E60DCC">
        <w:t xml:space="preserve"> (the Amending Regulation)</w:t>
      </w:r>
      <w:r>
        <w:t xml:space="preserve">: </w:t>
      </w:r>
    </w:p>
    <w:p w14:paraId="4B1682C4" w14:textId="77777777" w:rsidR="001550FB" w:rsidRDefault="001550FB" w:rsidP="001550FB">
      <w:pPr>
        <w:pStyle w:val="Bullet"/>
        <w:spacing w:before="100" w:beforeAutospacing="1" w:after="100" w:afterAutospacing="1" w:line="240" w:lineRule="auto"/>
      </w:pPr>
      <w:r>
        <w:t>prescribes an interim method for calculating the amount of an individual’s ‘defined benefit contributions’ for the purposes of Division 293 tax to enable the Commissioner to determine an individual’s liability for the 2012-13 financial year;</w:t>
      </w:r>
    </w:p>
    <w:p w14:paraId="39A3761D" w14:textId="0F034279" w:rsidR="001550FB" w:rsidRDefault="00185AA1" w:rsidP="001550FB">
      <w:pPr>
        <w:pStyle w:val="Bullet"/>
        <w:spacing w:before="100" w:beforeAutospacing="1" w:after="100" w:afterAutospacing="1" w:line="240" w:lineRule="auto"/>
      </w:pPr>
      <w:r>
        <w:t>updates</w:t>
      </w:r>
      <w:r w:rsidR="001550FB">
        <w:t xml:space="preserve"> the lists of public sector superannuation schemes in the </w:t>
      </w:r>
      <w:r w:rsidR="001550FB" w:rsidRPr="008033C0">
        <w:rPr>
          <w:i/>
        </w:rPr>
        <w:t>Superannuation Guarantee (Administration) Regulations 1993</w:t>
      </w:r>
      <w:r w:rsidR="001550FB">
        <w:t xml:space="preserve"> (SG Regulations); and</w:t>
      </w:r>
    </w:p>
    <w:p w14:paraId="4EF7195D" w14:textId="77777777" w:rsidR="001550FB" w:rsidRDefault="001550FB" w:rsidP="001550FB">
      <w:pPr>
        <w:pStyle w:val="Bullet"/>
        <w:spacing w:before="100" w:beforeAutospacing="1" w:after="100" w:afterAutospacing="1" w:line="240" w:lineRule="auto"/>
      </w:pPr>
      <w:r>
        <w:t>prescribes the Australian Taxation Office (</w:t>
      </w:r>
      <w:proofErr w:type="spellStart"/>
      <w:r>
        <w:t>ATO</w:t>
      </w:r>
      <w:proofErr w:type="spellEnd"/>
      <w:r>
        <w:t>) as an ‘approved clearing house’ for the purposes of the SG Regulations.</w:t>
      </w:r>
      <w:r w:rsidDel="00D629C3">
        <w:t xml:space="preserve"> </w:t>
      </w:r>
    </w:p>
    <w:p w14:paraId="7894F506" w14:textId="77777777" w:rsidR="001550FB" w:rsidRPr="00097ADE" w:rsidRDefault="001550FB" w:rsidP="001550FB">
      <w:pPr>
        <w:tabs>
          <w:tab w:val="left" w:pos="1701"/>
          <w:tab w:val="right" w:pos="9072"/>
        </w:tabs>
        <w:spacing w:before="100" w:beforeAutospacing="1" w:after="100" w:afterAutospacing="1"/>
        <w:ind w:right="91"/>
        <w:rPr>
          <w:u w:val="single"/>
        </w:rPr>
      </w:pPr>
      <w:r>
        <w:rPr>
          <w:u w:val="single"/>
        </w:rPr>
        <w:t>Interim method for defined benefit contributions</w:t>
      </w:r>
    </w:p>
    <w:p w14:paraId="0588EB22" w14:textId="718459C4" w:rsidR="001550FB" w:rsidRDefault="00684A1B" w:rsidP="00B13C75">
      <w:pPr>
        <w:tabs>
          <w:tab w:val="left" w:pos="1701"/>
          <w:tab w:val="right" w:pos="9072"/>
        </w:tabs>
        <w:ind w:right="91"/>
      </w:pPr>
      <w:r>
        <w:t xml:space="preserve">The </w:t>
      </w:r>
      <w:r>
        <w:rPr>
          <w:i/>
        </w:rPr>
        <w:t xml:space="preserve">Income Tax Assessment Act 1997 </w:t>
      </w:r>
      <w:r>
        <w:t>(</w:t>
      </w:r>
      <w:proofErr w:type="spellStart"/>
      <w:r>
        <w:t>ITAA</w:t>
      </w:r>
      <w:proofErr w:type="spellEnd"/>
      <w:r>
        <w:t xml:space="preserve"> 1997) </w:t>
      </w:r>
      <w:r w:rsidR="0075692F">
        <w:t xml:space="preserve"> </w:t>
      </w:r>
      <w:r w:rsidR="001550FB">
        <w:t xml:space="preserve">imposes a 15 per cent </w:t>
      </w:r>
      <w:r w:rsidR="001550FB" w:rsidRPr="00A92F13">
        <w:t xml:space="preserve">tax </w:t>
      </w:r>
      <w:r w:rsidR="001550FB">
        <w:t xml:space="preserve">on the </w:t>
      </w:r>
      <w:proofErr w:type="spellStart"/>
      <w:r w:rsidR="001550FB">
        <w:t>concessionally</w:t>
      </w:r>
      <w:proofErr w:type="spellEnd"/>
      <w:r w:rsidR="001550FB">
        <w:t xml:space="preserve"> taxed superannuation contributions of high income earners</w:t>
      </w:r>
      <w:r w:rsidR="00E60DCC">
        <w:t xml:space="preserve"> (Division 293 tax);</w:t>
      </w:r>
      <w:r w:rsidR="001550FB">
        <w:t xml:space="preserve"> broadly those individuals whose income and </w:t>
      </w:r>
      <w:proofErr w:type="spellStart"/>
      <w:r w:rsidR="001550FB">
        <w:t>concessionally</w:t>
      </w:r>
      <w:proofErr w:type="spellEnd"/>
      <w:r w:rsidR="001550FB">
        <w:t xml:space="preserve"> taxed contributions exceed $300,000. </w:t>
      </w:r>
      <w:r w:rsidR="005D7992">
        <w:t xml:space="preserve"> </w:t>
      </w:r>
      <w:r w:rsidR="001550FB">
        <w:t>The tax is designed to</w:t>
      </w:r>
      <w:r w:rsidR="001550FB" w:rsidRPr="00A92F13">
        <w:t xml:space="preserve"> ensure that the tax concession received by these individuals </w:t>
      </w:r>
      <w:r w:rsidR="001550FB">
        <w:t xml:space="preserve">on superannuation contributions </w:t>
      </w:r>
      <w:r w:rsidR="001550FB" w:rsidRPr="00A92F13">
        <w:t xml:space="preserve">is more closely aligned with the concession received by average income earners.  </w:t>
      </w:r>
    </w:p>
    <w:p w14:paraId="70B125E1" w14:textId="1663DCEC" w:rsidR="001550FB" w:rsidRDefault="001550FB" w:rsidP="001550FB">
      <w:pPr>
        <w:spacing w:before="240"/>
      </w:pPr>
      <w:r>
        <w:lastRenderedPageBreak/>
        <w:t xml:space="preserve">The </w:t>
      </w:r>
      <w:r w:rsidR="00F676ED">
        <w:t xml:space="preserve">Amending </w:t>
      </w:r>
      <w:r>
        <w:t xml:space="preserve">Regulation amends the </w:t>
      </w:r>
      <w:r>
        <w:rPr>
          <w:i/>
        </w:rPr>
        <w:t xml:space="preserve">Income Tax Assessment </w:t>
      </w:r>
      <w:proofErr w:type="spellStart"/>
      <w:r>
        <w:rPr>
          <w:i/>
        </w:rPr>
        <w:t>Regulatons</w:t>
      </w:r>
      <w:proofErr w:type="spellEnd"/>
      <w:r>
        <w:rPr>
          <w:i/>
        </w:rPr>
        <w:t xml:space="preserve"> 1997</w:t>
      </w:r>
      <w:r>
        <w:t xml:space="preserve"> to set out the interim method to determine an individual’s defined benefit contributions for the 2012-13 financial year to calculate an individual’s liability to Division 293 tax. This effectively provides a mechanism to apply Division 293 tax to individuals with defined benefit interests. Further regulations will be put in place to prescribe a more comprehensive method to determine the amount of defined benefit contributions for the 2013-14 financial year and subsequent financial years.</w:t>
      </w:r>
    </w:p>
    <w:p w14:paraId="57072139" w14:textId="101F05C1" w:rsidR="001550FB" w:rsidRDefault="001550FB" w:rsidP="001550FB">
      <w:pPr>
        <w:spacing w:before="240"/>
      </w:pPr>
      <w:r>
        <w:t xml:space="preserve">The function of the </w:t>
      </w:r>
      <w:r w:rsidR="00F676ED">
        <w:t xml:space="preserve">Amending </w:t>
      </w:r>
      <w:r>
        <w:t xml:space="preserve">Regulation is simply to prescribe the methodology to give effect to policy arrangements established under the principal legislation.  </w:t>
      </w:r>
    </w:p>
    <w:p w14:paraId="4792648B" w14:textId="77777777" w:rsidR="001550FB" w:rsidRPr="00097ADE" w:rsidRDefault="001550FB" w:rsidP="001550FB">
      <w:pPr>
        <w:pStyle w:val="Bullet"/>
        <w:numPr>
          <w:ilvl w:val="0"/>
          <w:numId w:val="0"/>
        </w:numPr>
        <w:tabs>
          <w:tab w:val="clear" w:pos="1701"/>
        </w:tabs>
        <w:spacing w:before="100" w:beforeAutospacing="1" w:after="100" w:afterAutospacing="1" w:line="240" w:lineRule="auto"/>
        <w:rPr>
          <w:u w:val="single"/>
        </w:rPr>
      </w:pPr>
      <w:r w:rsidRPr="00920A1B">
        <w:rPr>
          <w:u w:val="single"/>
        </w:rPr>
        <w:t>Lists of public sector superannuation schemes</w:t>
      </w:r>
      <w:r>
        <w:rPr>
          <w:u w:val="single"/>
        </w:rPr>
        <w:t xml:space="preserve"> </w:t>
      </w:r>
    </w:p>
    <w:p w14:paraId="5628045B" w14:textId="07D3FFC1" w:rsidR="001550FB" w:rsidRDefault="001550FB" w:rsidP="001550FB">
      <w:pPr>
        <w:pStyle w:val="Bullet"/>
        <w:numPr>
          <w:ilvl w:val="0"/>
          <w:numId w:val="0"/>
        </w:numPr>
        <w:tabs>
          <w:tab w:val="clear" w:pos="1701"/>
        </w:tabs>
        <w:spacing w:before="100" w:beforeAutospacing="1" w:after="100" w:afterAutospacing="1" w:line="240" w:lineRule="auto"/>
      </w:pPr>
      <w:r>
        <w:t xml:space="preserve">Employers are required to provide their employees with a choice of superannuation fund, into which compulsory superannuation guarantee payments are made by the employer.  Public sector superannuation schemes that are prescribed in the Regulations are taken to satisfy this requirement.  The lists of prescribed schemes are updated periodically to reflect changes by Commonwealth, State and Territory Parliaments to ensure that those government employers continue to comply with the </w:t>
      </w:r>
      <w:r w:rsidR="005D7992">
        <w:t xml:space="preserve">SG </w:t>
      </w:r>
      <w:r>
        <w:t>Act.</w:t>
      </w:r>
    </w:p>
    <w:p w14:paraId="583C0B6C" w14:textId="73BF61CE" w:rsidR="001550FB" w:rsidRDefault="001550FB" w:rsidP="001550FB">
      <w:pPr>
        <w:tabs>
          <w:tab w:val="left" w:pos="1701"/>
          <w:tab w:val="right" w:pos="9072"/>
        </w:tabs>
        <w:spacing w:before="100" w:beforeAutospacing="1" w:after="100" w:afterAutospacing="1"/>
        <w:ind w:right="91"/>
      </w:pPr>
      <w:r>
        <w:t xml:space="preserve">The </w:t>
      </w:r>
      <w:r w:rsidR="00F676ED">
        <w:t xml:space="preserve">Amending </w:t>
      </w:r>
      <w:r>
        <w:t xml:space="preserve">Regulation updates the lists by </w:t>
      </w:r>
      <w:r w:rsidRPr="00D31E95">
        <w:t>repealing listings that are spent or redundant, adding new listings and making minor corrections to listings where required.</w:t>
      </w:r>
      <w:r>
        <w:t xml:space="preserve"> This amendment is minor and machinery in nature.  It gives effect to arrangements already in place.</w:t>
      </w:r>
    </w:p>
    <w:p w14:paraId="128F0B73" w14:textId="77777777" w:rsidR="001550FB" w:rsidRDefault="001550FB" w:rsidP="001550FB">
      <w:pPr>
        <w:pStyle w:val="Bullet"/>
        <w:numPr>
          <w:ilvl w:val="0"/>
          <w:numId w:val="0"/>
        </w:numPr>
        <w:tabs>
          <w:tab w:val="clear" w:pos="1701"/>
        </w:tabs>
        <w:spacing w:before="100" w:beforeAutospacing="1" w:after="100" w:afterAutospacing="1" w:line="240" w:lineRule="auto"/>
        <w:rPr>
          <w:u w:val="single"/>
        </w:rPr>
      </w:pPr>
      <w:r>
        <w:rPr>
          <w:u w:val="single"/>
        </w:rPr>
        <w:t xml:space="preserve">Specifying the </w:t>
      </w:r>
      <w:proofErr w:type="spellStart"/>
      <w:r>
        <w:rPr>
          <w:u w:val="single"/>
        </w:rPr>
        <w:t>ATO</w:t>
      </w:r>
      <w:proofErr w:type="spellEnd"/>
      <w:r>
        <w:rPr>
          <w:u w:val="single"/>
        </w:rPr>
        <w:t xml:space="preserve"> as an ‘approved clearing </w:t>
      </w:r>
      <w:r w:rsidRPr="00920A1B">
        <w:rPr>
          <w:u w:val="single"/>
        </w:rPr>
        <w:t>house</w:t>
      </w:r>
      <w:r>
        <w:rPr>
          <w:u w:val="single"/>
        </w:rPr>
        <w:t>’</w:t>
      </w:r>
    </w:p>
    <w:p w14:paraId="14B6ECC2" w14:textId="49F29376" w:rsidR="001550FB" w:rsidRDefault="00E60DCC" w:rsidP="001550FB">
      <w:pPr>
        <w:tabs>
          <w:tab w:val="left" w:pos="1701"/>
          <w:tab w:val="right" w:pos="9072"/>
        </w:tabs>
        <w:spacing w:before="100" w:beforeAutospacing="1" w:after="100" w:afterAutospacing="1"/>
        <w:ind w:right="91"/>
      </w:pPr>
      <w:r>
        <w:t>E</w:t>
      </w:r>
      <w:r w:rsidR="001550FB">
        <w:t xml:space="preserve">mployers are required to make superannuation contributions to superannuation funds at a prescribed minimum level on behalf of their employees.  Instead of making contributions to superannuation funds directly, certain employers can make a single payment to an ‘approved clearing house’, which then distributes the contributions to each employee’s superannuation fund on behalf of the employer.  </w:t>
      </w:r>
    </w:p>
    <w:p w14:paraId="09C3CB42" w14:textId="2251E857" w:rsidR="001550FB" w:rsidRPr="001550FB" w:rsidRDefault="001550FB" w:rsidP="001550FB">
      <w:pPr>
        <w:pStyle w:val="Bullet"/>
        <w:numPr>
          <w:ilvl w:val="0"/>
          <w:numId w:val="0"/>
        </w:numPr>
        <w:tabs>
          <w:tab w:val="clear" w:pos="1701"/>
        </w:tabs>
        <w:spacing w:before="100" w:beforeAutospacing="1" w:after="100" w:afterAutospacing="1" w:line="240" w:lineRule="auto"/>
      </w:pPr>
      <w:r>
        <w:t xml:space="preserve">The </w:t>
      </w:r>
      <w:r w:rsidR="00F676ED">
        <w:t xml:space="preserve">Amending </w:t>
      </w:r>
      <w:r>
        <w:t xml:space="preserve">Regulation prescribes the </w:t>
      </w:r>
      <w:proofErr w:type="spellStart"/>
      <w:r>
        <w:t>ATO</w:t>
      </w:r>
      <w:proofErr w:type="spellEnd"/>
      <w:r>
        <w:t xml:space="preserve"> as an approved clearing house for the purposes of the SG Act.  This will allow the </w:t>
      </w:r>
      <w:proofErr w:type="spellStart"/>
      <w:r>
        <w:t>ATO</w:t>
      </w:r>
      <w:proofErr w:type="spellEnd"/>
      <w:r>
        <w:t xml:space="preserve"> to administer a clearing house, which effectively replicates a function already in operation.</w:t>
      </w:r>
    </w:p>
    <w:p w14:paraId="448F53EE" w14:textId="375951BC" w:rsidR="001550FB" w:rsidRPr="00486EE8" w:rsidRDefault="001550FB" w:rsidP="001550FB">
      <w:pPr>
        <w:keepNext/>
        <w:tabs>
          <w:tab w:val="left" w:pos="1987"/>
        </w:tabs>
        <w:spacing w:before="120" w:after="120"/>
        <w:outlineLvl w:val="3"/>
        <w:rPr>
          <w:b/>
          <w:kern w:val="28"/>
        </w:rPr>
      </w:pPr>
      <w:r w:rsidRPr="00486EE8">
        <w:rPr>
          <w:b/>
          <w:kern w:val="28"/>
        </w:rPr>
        <w:t>Human rights implications</w:t>
      </w:r>
    </w:p>
    <w:p w14:paraId="4993A29C" w14:textId="77777777" w:rsidR="001550FB" w:rsidRDefault="001550FB" w:rsidP="001550FB">
      <w:pPr>
        <w:autoSpaceDE w:val="0"/>
        <w:autoSpaceDN w:val="0"/>
        <w:adjustRightInd w:val="0"/>
        <w:spacing w:before="240"/>
        <w:rPr>
          <w:iCs/>
          <w:szCs w:val="24"/>
        </w:rPr>
      </w:pPr>
      <w:r>
        <w:rPr>
          <w:szCs w:val="24"/>
        </w:rPr>
        <w:t xml:space="preserve">The interim method for determining defined benefit contributions engages the </w:t>
      </w:r>
      <w:r>
        <w:rPr>
          <w:iCs/>
          <w:szCs w:val="24"/>
        </w:rPr>
        <w:t>R</w:t>
      </w:r>
      <w:r w:rsidRPr="00495267">
        <w:rPr>
          <w:iCs/>
          <w:szCs w:val="24"/>
        </w:rPr>
        <w:t>ight to equality and non-discrimination</w:t>
      </w:r>
      <w:r>
        <w:rPr>
          <w:iCs/>
          <w:szCs w:val="24"/>
        </w:rPr>
        <w:t>.</w:t>
      </w:r>
    </w:p>
    <w:p w14:paraId="3FD209A6" w14:textId="3B4B163E" w:rsidR="001550FB" w:rsidRDefault="001550FB" w:rsidP="001550FB">
      <w:pPr>
        <w:autoSpaceDE w:val="0"/>
        <w:autoSpaceDN w:val="0"/>
        <w:adjustRightInd w:val="0"/>
        <w:spacing w:before="240"/>
      </w:pPr>
      <w:r>
        <w:rPr>
          <w:iCs/>
          <w:szCs w:val="24"/>
        </w:rPr>
        <w:t xml:space="preserve">The </w:t>
      </w:r>
      <w:r w:rsidR="00F676ED">
        <w:rPr>
          <w:iCs/>
          <w:szCs w:val="24"/>
        </w:rPr>
        <w:t xml:space="preserve">Amending </w:t>
      </w:r>
      <w:r>
        <w:rPr>
          <w:iCs/>
          <w:szCs w:val="24"/>
        </w:rPr>
        <w:t xml:space="preserve">Regulation </w:t>
      </w:r>
      <w:r w:rsidRPr="00A92F13">
        <w:t>provide</w:t>
      </w:r>
      <w:r>
        <w:t>s</w:t>
      </w:r>
      <w:r w:rsidRPr="00A92F13">
        <w:t xml:space="preserve"> that an individual’s defined benefit contributions </w:t>
      </w:r>
      <w:r>
        <w:t xml:space="preserve">for a defined benefit interest </w:t>
      </w:r>
      <w:r w:rsidRPr="00A92F13">
        <w:t xml:space="preserve">for the 2012-13 financial year </w:t>
      </w:r>
      <w:r>
        <w:t>are</w:t>
      </w:r>
      <w:r w:rsidRPr="00A92F13">
        <w:t xml:space="preserve"> equal to their notional taxed contributions </w:t>
      </w:r>
      <w:r>
        <w:t xml:space="preserve">for that interest </w:t>
      </w:r>
      <w:r w:rsidRPr="00A92F13">
        <w:t>for the financial year.</w:t>
      </w:r>
      <w:r>
        <w:t xml:space="preserve">  </w:t>
      </w:r>
    </w:p>
    <w:p w14:paraId="77C8EA03" w14:textId="77777777" w:rsidR="001550FB" w:rsidRDefault="001550FB" w:rsidP="001550FB">
      <w:pPr>
        <w:autoSpaceDE w:val="0"/>
        <w:autoSpaceDN w:val="0"/>
        <w:adjustRightInd w:val="0"/>
        <w:spacing w:before="240"/>
      </w:pPr>
      <w:r>
        <w:t xml:space="preserve">Defined benefit interests in constitutionally protected funds, defined benefit interests that are not fully funded and defined benefit interests that meet the criteria for limiting the amount of notional taxed contributions to the concessional contributions cap can have nil or capped notional taxed contributions under the excess contributions tax regime.  </w:t>
      </w:r>
    </w:p>
    <w:p w14:paraId="71C66495" w14:textId="77777777" w:rsidR="001550FB" w:rsidRPr="00495267" w:rsidRDefault="001550FB" w:rsidP="001550FB">
      <w:pPr>
        <w:autoSpaceDE w:val="0"/>
        <w:autoSpaceDN w:val="0"/>
        <w:adjustRightInd w:val="0"/>
        <w:spacing w:before="240"/>
        <w:rPr>
          <w:iCs/>
          <w:szCs w:val="24"/>
        </w:rPr>
      </w:pPr>
      <w:r>
        <w:lastRenderedPageBreak/>
        <w:t>Using notional taxed contributions for Division 293 tax will result in preferential treatment for some individuals holding the above interests compared to individuals with other defined benefit interests.</w:t>
      </w:r>
    </w:p>
    <w:p w14:paraId="630D8CC1" w14:textId="6B073D31" w:rsidR="001550FB" w:rsidRDefault="001550FB" w:rsidP="001550FB">
      <w:pPr>
        <w:spacing w:before="240"/>
      </w:pPr>
      <w:r>
        <w:rPr>
          <w:szCs w:val="24"/>
        </w:rPr>
        <w:t>The provision of preferential tax treatment to certain individuals based on the type of superannuation interest they hold engages Article 26 of the International Covenant on Civil and Political Rights.</w:t>
      </w:r>
      <w:r w:rsidR="005D7992">
        <w:rPr>
          <w:szCs w:val="24"/>
        </w:rPr>
        <w:t xml:space="preserve"> </w:t>
      </w:r>
      <w:r>
        <w:rPr>
          <w:szCs w:val="24"/>
        </w:rPr>
        <w:t xml:space="preserve"> Article 26 guarantees equality before the law and equal protection of the law without any discrimination on a range of grounds. </w:t>
      </w:r>
      <w:r>
        <w:t xml:space="preserve">The objective of this limitation is to allow assessments of Division 293 tax for a past year—the 2012-13 financial year—to be issued by the Commissioner of Taxation. </w:t>
      </w:r>
    </w:p>
    <w:p w14:paraId="19DDC638" w14:textId="77777777" w:rsidR="001550FB" w:rsidRDefault="001550FB" w:rsidP="001550FB">
      <w:pPr>
        <w:spacing w:before="240"/>
      </w:pPr>
      <w:r>
        <w:t>The limitation is reasonable, proportionate and necessary for a single income year because:</w:t>
      </w:r>
    </w:p>
    <w:p w14:paraId="6C0A20B7" w14:textId="77777777" w:rsidR="001550FB" w:rsidRDefault="001550FB" w:rsidP="001550FB">
      <w:pPr>
        <w:pStyle w:val="Bullet"/>
        <w:numPr>
          <w:ilvl w:val="0"/>
          <w:numId w:val="2"/>
        </w:numPr>
        <w:tabs>
          <w:tab w:val="clear" w:pos="1701"/>
          <w:tab w:val="clear" w:pos="9072"/>
        </w:tabs>
        <w:spacing w:before="240" w:line="240" w:lineRule="auto"/>
        <w:ind w:right="0"/>
      </w:pPr>
      <w:r>
        <w:t>it will allow affected taxpayers to finalise their tax affairs for the 2012-13 financial year and provide them with certainty in the absence of a settled on</w:t>
      </w:r>
      <w:r>
        <w:noBreakHyphen/>
        <w:t>going methodology;</w:t>
      </w:r>
    </w:p>
    <w:p w14:paraId="5B960C88" w14:textId="4AA10AAF" w:rsidR="001550FB" w:rsidRDefault="001550FB" w:rsidP="001550FB">
      <w:pPr>
        <w:pStyle w:val="Bullet"/>
        <w:numPr>
          <w:ilvl w:val="0"/>
          <w:numId w:val="2"/>
        </w:numPr>
        <w:tabs>
          <w:tab w:val="clear" w:pos="1701"/>
          <w:tab w:val="clear" w:pos="9072"/>
        </w:tabs>
        <w:spacing w:before="240" w:line="240" w:lineRule="auto"/>
        <w:ind w:right="0"/>
      </w:pPr>
      <w:r>
        <w:t>it avoids the imposition of additional compliance costs on superannuation funds that would otherwise be incurred if funds were required to re-report or report additional information about their members’ defined benefit interests for the 2012-13 financial year (</w:t>
      </w:r>
      <w:r w:rsidR="000E04AC">
        <w:t>t</w:t>
      </w:r>
      <w:r>
        <w:t xml:space="preserve">he due date for funds that hold defined benefit superannuation interests to report their members’ contributions for the 2012-13 financial year to the </w:t>
      </w:r>
      <w:proofErr w:type="spellStart"/>
      <w:r>
        <w:t>ATO</w:t>
      </w:r>
      <w:proofErr w:type="spellEnd"/>
      <w:r>
        <w:t xml:space="preserve"> was </w:t>
      </w:r>
      <w:r w:rsidR="00F676ED">
        <w:t>31 </w:t>
      </w:r>
      <w:r>
        <w:t>October</w:t>
      </w:r>
      <w:r w:rsidR="005D7992">
        <w:t> </w:t>
      </w:r>
      <w:r>
        <w:t>2013)</w:t>
      </w:r>
      <w:r w:rsidR="000E04AC">
        <w:t>; and,</w:t>
      </w:r>
      <w:r>
        <w:t xml:space="preserve">  </w:t>
      </w:r>
    </w:p>
    <w:p w14:paraId="266BA795" w14:textId="77777777" w:rsidR="001550FB" w:rsidRDefault="001550FB" w:rsidP="001550FB">
      <w:pPr>
        <w:pStyle w:val="Bullet"/>
        <w:numPr>
          <w:ilvl w:val="0"/>
          <w:numId w:val="2"/>
        </w:numPr>
        <w:tabs>
          <w:tab w:val="clear" w:pos="1701"/>
          <w:tab w:val="clear" w:pos="9072"/>
        </w:tabs>
        <w:spacing w:before="240" w:line="240" w:lineRule="auto"/>
        <w:ind w:right="0"/>
      </w:pPr>
      <w:r>
        <w:t>it is interim only and so allows time for adequate consultation on an approach which will avoid the preferential treatment of some individuals for the 2013-14 and later financial years.</w:t>
      </w:r>
    </w:p>
    <w:p w14:paraId="0B08C15E" w14:textId="199947E4" w:rsidR="001550FB" w:rsidRPr="00486EE8" w:rsidRDefault="001550FB" w:rsidP="001550FB">
      <w:pPr>
        <w:spacing w:before="120" w:after="120"/>
      </w:pPr>
    </w:p>
    <w:p w14:paraId="69EEFC80" w14:textId="77777777" w:rsidR="001550FB" w:rsidRPr="00486EE8" w:rsidRDefault="001550FB" w:rsidP="001550FB">
      <w:pPr>
        <w:keepNext/>
        <w:tabs>
          <w:tab w:val="left" w:pos="1987"/>
        </w:tabs>
        <w:spacing w:before="120" w:after="120"/>
        <w:outlineLvl w:val="3"/>
        <w:rPr>
          <w:b/>
          <w:kern w:val="28"/>
        </w:rPr>
      </w:pPr>
      <w:r w:rsidRPr="00486EE8">
        <w:rPr>
          <w:b/>
          <w:kern w:val="28"/>
        </w:rPr>
        <w:t>Conclusion</w:t>
      </w:r>
    </w:p>
    <w:p w14:paraId="179B167A" w14:textId="29EF9931" w:rsidR="009F194D" w:rsidRDefault="001550FB" w:rsidP="00073962">
      <w:pPr>
        <w:spacing w:before="120" w:after="120"/>
      </w:pPr>
      <w:r w:rsidRPr="00486EE8">
        <w:t xml:space="preserve">This </w:t>
      </w:r>
      <w:r>
        <w:t>Regulation is compatible with human rights because to the extent that it may limit human rights, the limitation is reasonable, necessary and proportionate, and is aimed at achieving a legitimate purpose.</w:t>
      </w:r>
    </w:p>
    <w:sectPr w:rsidR="009F194D" w:rsidSect="00AD36C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174B7" w14:textId="77777777" w:rsidR="00DD2BD6" w:rsidRDefault="00DD2BD6" w:rsidP="00840633">
      <w:r>
        <w:separator/>
      </w:r>
    </w:p>
  </w:endnote>
  <w:endnote w:type="continuationSeparator" w:id="0">
    <w:p w14:paraId="58FBAF3C" w14:textId="77777777" w:rsidR="00DD2BD6" w:rsidRDefault="00DD2BD6" w:rsidP="0084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701E8" w14:textId="77777777" w:rsidR="00DD2BD6" w:rsidRDefault="00DD2BD6" w:rsidP="00840633">
      <w:r>
        <w:separator/>
      </w:r>
    </w:p>
  </w:footnote>
  <w:footnote w:type="continuationSeparator" w:id="0">
    <w:p w14:paraId="1658428F" w14:textId="77777777" w:rsidR="00DD2BD6" w:rsidRDefault="00DD2BD6" w:rsidP="00840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87594"/>
      <w:docPartObj>
        <w:docPartGallery w:val="Page Numbers (Top of Page)"/>
        <w:docPartUnique/>
      </w:docPartObj>
    </w:sdtPr>
    <w:sdtEndPr>
      <w:rPr>
        <w:noProof/>
      </w:rPr>
    </w:sdtEndPr>
    <w:sdtContent>
      <w:p w14:paraId="179B167F" w14:textId="77777777" w:rsidR="0073763E" w:rsidRDefault="0073763E">
        <w:pPr>
          <w:pStyle w:val="Header"/>
          <w:jc w:val="center"/>
        </w:pPr>
        <w:r>
          <w:fldChar w:fldCharType="begin"/>
        </w:r>
        <w:r>
          <w:instrText xml:space="preserve"> PAGE   \* MERGEFORMAT </w:instrText>
        </w:r>
        <w:r>
          <w:fldChar w:fldCharType="separate"/>
        </w:r>
        <w:r w:rsidR="008B0CBA">
          <w:rPr>
            <w:noProof/>
          </w:rPr>
          <w:t>6</w:t>
        </w:r>
        <w:r>
          <w:rPr>
            <w:noProof/>
          </w:rPr>
          <w:fldChar w:fldCharType="end"/>
        </w:r>
      </w:p>
    </w:sdtContent>
  </w:sdt>
  <w:p w14:paraId="179B1680" w14:textId="77777777" w:rsidR="0073763E" w:rsidRDefault="007376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B1681" w14:textId="77777777" w:rsidR="0073763E" w:rsidRDefault="0073763E">
    <w:pPr>
      <w:pStyle w:val="Header"/>
      <w:jc w:val="center"/>
    </w:pPr>
  </w:p>
  <w:p w14:paraId="179B1682" w14:textId="77777777" w:rsidR="0073763E" w:rsidRDefault="00737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521F4"/>
    <w:multiLevelType w:val="multilevel"/>
    <w:tmpl w:val="9D52E768"/>
    <w:name w:val="StandardBulletedList"/>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1">
    <w:nsid w:val="67A43C0B"/>
    <w:multiLevelType w:val="multilevel"/>
    <w:tmpl w:val="553C586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EA"/>
    <w:rsid w:val="00021934"/>
    <w:rsid w:val="0003039B"/>
    <w:rsid w:val="0003203E"/>
    <w:rsid w:val="00071ECC"/>
    <w:rsid w:val="000728EA"/>
    <w:rsid w:val="00073962"/>
    <w:rsid w:val="00090152"/>
    <w:rsid w:val="000930F7"/>
    <w:rsid w:val="000957EB"/>
    <w:rsid w:val="00097ADE"/>
    <w:rsid w:val="000A13AC"/>
    <w:rsid w:val="000A48A8"/>
    <w:rsid w:val="000C2F51"/>
    <w:rsid w:val="000C431A"/>
    <w:rsid w:val="000C65A8"/>
    <w:rsid w:val="000D0E08"/>
    <w:rsid w:val="000D4852"/>
    <w:rsid w:val="000D5087"/>
    <w:rsid w:val="000E04AC"/>
    <w:rsid w:val="000E446A"/>
    <w:rsid w:val="000F16DE"/>
    <w:rsid w:val="00103B7C"/>
    <w:rsid w:val="00104289"/>
    <w:rsid w:val="00111AA0"/>
    <w:rsid w:val="00122B00"/>
    <w:rsid w:val="001233D4"/>
    <w:rsid w:val="00125E6C"/>
    <w:rsid w:val="00126FF7"/>
    <w:rsid w:val="001454DF"/>
    <w:rsid w:val="00147431"/>
    <w:rsid w:val="001527A6"/>
    <w:rsid w:val="001534F5"/>
    <w:rsid w:val="001550FB"/>
    <w:rsid w:val="00180402"/>
    <w:rsid w:val="00183A6B"/>
    <w:rsid w:val="00185AA1"/>
    <w:rsid w:val="0019385E"/>
    <w:rsid w:val="0019432B"/>
    <w:rsid w:val="001A2D44"/>
    <w:rsid w:val="001A40E4"/>
    <w:rsid w:val="001B064C"/>
    <w:rsid w:val="001B19C2"/>
    <w:rsid w:val="001B3E40"/>
    <w:rsid w:val="001E04E5"/>
    <w:rsid w:val="001F2D46"/>
    <w:rsid w:val="0025400D"/>
    <w:rsid w:val="002572DD"/>
    <w:rsid w:val="002917D9"/>
    <w:rsid w:val="00295BB2"/>
    <w:rsid w:val="002A63CD"/>
    <w:rsid w:val="002B76B0"/>
    <w:rsid w:val="002C3E9B"/>
    <w:rsid w:val="002D0B54"/>
    <w:rsid w:val="002D5994"/>
    <w:rsid w:val="002D5CFC"/>
    <w:rsid w:val="002F7A95"/>
    <w:rsid w:val="002F7FA6"/>
    <w:rsid w:val="00301D15"/>
    <w:rsid w:val="003045C2"/>
    <w:rsid w:val="00305527"/>
    <w:rsid w:val="0031040C"/>
    <w:rsid w:val="00333297"/>
    <w:rsid w:val="00334A0D"/>
    <w:rsid w:val="0034271F"/>
    <w:rsid w:val="00350102"/>
    <w:rsid w:val="0035267B"/>
    <w:rsid w:val="00357FAC"/>
    <w:rsid w:val="00360C2C"/>
    <w:rsid w:val="00363BEB"/>
    <w:rsid w:val="0037396B"/>
    <w:rsid w:val="003823CF"/>
    <w:rsid w:val="003853ED"/>
    <w:rsid w:val="0039119B"/>
    <w:rsid w:val="003931B0"/>
    <w:rsid w:val="003A11A0"/>
    <w:rsid w:val="003D241B"/>
    <w:rsid w:val="003D3E39"/>
    <w:rsid w:val="003F61BF"/>
    <w:rsid w:val="00401F2C"/>
    <w:rsid w:val="00406A28"/>
    <w:rsid w:val="00407375"/>
    <w:rsid w:val="0041458E"/>
    <w:rsid w:val="00422040"/>
    <w:rsid w:val="00422D32"/>
    <w:rsid w:val="004261A7"/>
    <w:rsid w:val="00435D82"/>
    <w:rsid w:val="00437304"/>
    <w:rsid w:val="00444C1D"/>
    <w:rsid w:val="00453F71"/>
    <w:rsid w:val="00467A3A"/>
    <w:rsid w:val="00470AED"/>
    <w:rsid w:val="00480C49"/>
    <w:rsid w:val="004830A0"/>
    <w:rsid w:val="00483120"/>
    <w:rsid w:val="00483C97"/>
    <w:rsid w:val="00486EE8"/>
    <w:rsid w:val="004875A5"/>
    <w:rsid w:val="004A37CD"/>
    <w:rsid w:val="004C6195"/>
    <w:rsid w:val="004D02D7"/>
    <w:rsid w:val="004E100C"/>
    <w:rsid w:val="004F5E7A"/>
    <w:rsid w:val="00514D55"/>
    <w:rsid w:val="00515552"/>
    <w:rsid w:val="005211A3"/>
    <w:rsid w:val="005266FE"/>
    <w:rsid w:val="00532E11"/>
    <w:rsid w:val="005375C3"/>
    <w:rsid w:val="005428C6"/>
    <w:rsid w:val="00544081"/>
    <w:rsid w:val="005638A1"/>
    <w:rsid w:val="0059260F"/>
    <w:rsid w:val="005927CE"/>
    <w:rsid w:val="00597DF1"/>
    <w:rsid w:val="005A1996"/>
    <w:rsid w:val="005B71D5"/>
    <w:rsid w:val="005C2488"/>
    <w:rsid w:val="005D7992"/>
    <w:rsid w:val="005E7513"/>
    <w:rsid w:val="00602522"/>
    <w:rsid w:val="006074D7"/>
    <w:rsid w:val="00611B80"/>
    <w:rsid w:val="006340B2"/>
    <w:rsid w:val="00645718"/>
    <w:rsid w:val="00650D8B"/>
    <w:rsid w:val="006511C5"/>
    <w:rsid w:val="0065241E"/>
    <w:rsid w:val="00656CF9"/>
    <w:rsid w:val="006603EF"/>
    <w:rsid w:val="006624D5"/>
    <w:rsid w:val="006638EE"/>
    <w:rsid w:val="00673A52"/>
    <w:rsid w:val="0067445E"/>
    <w:rsid w:val="00676DA7"/>
    <w:rsid w:val="00683532"/>
    <w:rsid w:val="00684A1B"/>
    <w:rsid w:val="006852AE"/>
    <w:rsid w:val="00686875"/>
    <w:rsid w:val="0069075F"/>
    <w:rsid w:val="00693A7C"/>
    <w:rsid w:val="006A2EB1"/>
    <w:rsid w:val="006C4238"/>
    <w:rsid w:val="006C7B34"/>
    <w:rsid w:val="006C7F06"/>
    <w:rsid w:val="006D289F"/>
    <w:rsid w:val="006E154A"/>
    <w:rsid w:val="006E459B"/>
    <w:rsid w:val="006E7E6E"/>
    <w:rsid w:val="006F7506"/>
    <w:rsid w:val="006F7D96"/>
    <w:rsid w:val="00700E33"/>
    <w:rsid w:val="00722418"/>
    <w:rsid w:val="007372FA"/>
    <w:rsid w:val="0073763E"/>
    <w:rsid w:val="00747118"/>
    <w:rsid w:val="00754094"/>
    <w:rsid w:val="0075692F"/>
    <w:rsid w:val="00770121"/>
    <w:rsid w:val="00773B23"/>
    <w:rsid w:val="00794E8D"/>
    <w:rsid w:val="00797765"/>
    <w:rsid w:val="007A5BCB"/>
    <w:rsid w:val="007B7790"/>
    <w:rsid w:val="007C05F8"/>
    <w:rsid w:val="007C3049"/>
    <w:rsid w:val="007D5231"/>
    <w:rsid w:val="007E3B3E"/>
    <w:rsid w:val="007F7C8F"/>
    <w:rsid w:val="00810998"/>
    <w:rsid w:val="00814E16"/>
    <w:rsid w:val="008317FE"/>
    <w:rsid w:val="0083594E"/>
    <w:rsid w:val="008366B6"/>
    <w:rsid w:val="00840633"/>
    <w:rsid w:val="00842895"/>
    <w:rsid w:val="00844756"/>
    <w:rsid w:val="00855CC0"/>
    <w:rsid w:val="008569EC"/>
    <w:rsid w:val="008601ED"/>
    <w:rsid w:val="008610F3"/>
    <w:rsid w:val="008749F9"/>
    <w:rsid w:val="00875328"/>
    <w:rsid w:val="00875DBC"/>
    <w:rsid w:val="0088272C"/>
    <w:rsid w:val="00885440"/>
    <w:rsid w:val="00894E45"/>
    <w:rsid w:val="00896324"/>
    <w:rsid w:val="008A036E"/>
    <w:rsid w:val="008A3BB8"/>
    <w:rsid w:val="008B0CBA"/>
    <w:rsid w:val="008C09C7"/>
    <w:rsid w:val="008D7076"/>
    <w:rsid w:val="008E291F"/>
    <w:rsid w:val="008E6462"/>
    <w:rsid w:val="008E665B"/>
    <w:rsid w:val="008E7FCB"/>
    <w:rsid w:val="008F0A1C"/>
    <w:rsid w:val="008F3858"/>
    <w:rsid w:val="00922822"/>
    <w:rsid w:val="00926C53"/>
    <w:rsid w:val="00953A53"/>
    <w:rsid w:val="009818BE"/>
    <w:rsid w:val="0098381F"/>
    <w:rsid w:val="00986497"/>
    <w:rsid w:val="009A194C"/>
    <w:rsid w:val="009D4D0B"/>
    <w:rsid w:val="009E11A1"/>
    <w:rsid w:val="009E3432"/>
    <w:rsid w:val="009E4416"/>
    <w:rsid w:val="009F194D"/>
    <w:rsid w:val="009F42FD"/>
    <w:rsid w:val="00A15570"/>
    <w:rsid w:val="00A237C4"/>
    <w:rsid w:val="00A2448A"/>
    <w:rsid w:val="00A26743"/>
    <w:rsid w:val="00A278C8"/>
    <w:rsid w:val="00A35070"/>
    <w:rsid w:val="00A35F0E"/>
    <w:rsid w:val="00A47F6A"/>
    <w:rsid w:val="00A53253"/>
    <w:rsid w:val="00A57789"/>
    <w:rsid w:val="00A85BF8"/>
    <w:rsid w:val="00AA0288"/>
    <w:rsid w:val="00AB3FB4"/>
    <w:rsid w:val="00AC0412"/>
    <w:rsid w:val="00AC543B"/>
    <w:rsid w:val="00AD11AC"/>
    <w:rsid w:val="00AD36C6"/>
    <w:rsid w:val="00AE7585"/>
    <w:rsid w:val="00AE77C0"/>
    <w:rsid w:val="00AF340C"/>
    <w:rsid w:val="00B07F1F"/>
    <w:rsid w:val="00B13C75"/>
    <w:rsid w:val="00B31222"/>
    <w:rsid w:val="00B33A6C"/>
    <w:rsid w:val="00B46633"/>
    <w:rsid w:val="00B50BE8"/>
    <w:rsid w:val="00B6102E"/>
    <w:rsid w:val="00B67565"/>
    <w:rsid w:val="00B94DA4"/>
    <w:rsid w:val="00B97E22"/>
    <w:rsid w:val="00BC7FCF"/>
    <w:rsid w:val="00BD67CE"/>
    <w:rsid w:val="00BE0830"/>
    <w:rsid w:val="00BE0D72"/>
    <w:rsid w:val="00BE123D"/>
    <w:rsid w:val="00BE16DD"/>
    <w:rsid w:val="00BE2E72"/>
    <w:rsid w:val="00BE6768"/>
    <w:rsid w:val="00BF75DA"/>
    <w:rsid w:val="00BF78AE"/>
    <w:rsid w:val="00C01FAA"/>
    <w:rsid w:val="00C02B29"/>
    <w:rsid w:val="00C02C86"/>
    <w:rsid w:val="00C05675"/>
    <w:rsid w:val="00C102BE"/>
    <w:rsid w:val="00C1744D"/>
    <w:rsid w:val="00C212F9"/>
    <w:rsid w:val="00C24F86"/>
    <w:rsid w:val="00C27661"/>
    <w:rsid w:val="00C3269B"/>
    <w:rsid w:val="00C80670"/>
    <w:rsid w:val="00C93AD9"/>
    <w:rsid w:val="00C9511C"/>
    <w:rsid w:val="00CB2E57"/>
    <w:rsid w:val="00CE1749"/>
    <w:rsid w:val="00CE2DD0"/>
    <w:rsid w:val="00CF5633"/>
    <w:rsid w:val="00D049D0"/>
    <w:rsid w:val="00D12638"/>
    <w:rsid w:val="00D13EF9"/>
    <w:rsid w:val="00D221C4"/>
    <w:rsid w:val="00D22C76"/>
    <w:rsid w:val="00D25208"/>
    <w:rsid w:val="00D26325"/>
    <w:rsid w:val="00D36453"/>
    <w:rsid w:val="00D71416"/>
    <w:rsid w:val="00D74962"/>
    <w:rsid w:val="00D7655C"/>
    <w:rsid w:val="00D7787E"/>
    <w:rsid w:val="00D85DCD"/>
    <w:rsid w:val="00D96D27"/>
    <w:rsid w:val="00DA200A"/>
    <w:rsid w:val="00DA20BA"/>
    <w:rsid w:val="00DA321D"/>
    <w:rsid w:val="00DA7F05"/>
    <w:rsid w:val="00DD0F0B"/>
    <w:rsid w:val="00DD2BD6"/>
    <w:rsid w:val="00DD3351"/>
    <w:rsid w:val="00DE3AF9"/>
    <w:rsid w:val="00DE4B41"/>
    <w:rsid w:val="00DE585B"/>
    <w:rsid w:val="00DE753E"/>
    <w:rsid w:val="00DF036C"/>
    <w:rsid w:val="00DF3EE5"/>
    <w:rsid w:val="00DF53F2"/>
    <w:rsid w:val="00E04AB5"/>
    <w:rsid w:val="00E1682C"/>
    <w:rsid w:val="00E42BFA"/>
    <w:rsid w:val="00E43F3E"/>
    <w:rsid w:val="00E60A62"/>
    <w:rsid w:val="00E60DCC"/>
    <w:rsid w:val="00E62441"/>
    <w:rsid w:val="00E72BD6"/>
    <w:rsid w:val="00E8244F"/>
    <w:rsid w:val="00E94FE2"/>
    <w:rsid w:val="00EA5CB9"/>
    <w:rsid w:val="00EA7F69"/>
    <w:rsid w:val="00ED25DA"/>
    <w:rsid w:val="00ED3C0C"/>
    <w:rsid w:val="00ED7A1E"/>
    <w:rsid w:val="00EE079C"/>
    <w:rsid w:val="00EE68AA"/>
    <w:rsid w:val="00EF1453"/>
    <w:rsid w:val="00EF4729"/>
    <w:rsid w:val="00F03FEA"/>
    <w:rsid w:val="00F057C7"/>
    <w:rsid w:val="00F13147"/>
    <w:rsid w:val="00F21454"/>
    <w:rsid w:val="00F24258"/>
    <w:rsid w:val="00F24A2B"/>
    <w:rsid w:val="00F3035E"/>
    <w:rsid w:val="00F560F5"/>
    <w:rsid w:val="00F61001"/>
    <w:rsid w:val="00F66FC8"/>
    <w:rsid w:val="00F676ED"/>
    <w:rsid w:val="00F72954"/>
    <w:rsid w:val="00F94625"/>
    <w:rsid w:val="00FB06E2"/>
    <w:rsid w:val="00FB654D"/>
    <w:rsid w:val="00FC11EA"/>
    <w:rsid w:val="00FC621B"/>
    <w:rsid w:val="00FD19BB"/>
    <w:rsid w:val="00FD4097"/>
    <w:rsid w:val="00FD744A"/>
    <w:rsid w:val="00FE28DC"/>
    <w:rsid w:val="00FE7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9B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70"/>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86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70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6EE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6EE8"/>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840633"/>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40633"/>
    <w:rPr>
      <w:rFonts w:ascii="Times New Roman" w:eastAsia="Times New Roman" w:hAnsi="Times New Roman" w:cs="Times New Roman"/>
      <w:sz w:val="24"/>
      <w:szCs w:val="20"/>
      <w:u w:val="single"/>
      <w:lang w:eastAsia="en-AU"/>
    </w:rPr>
  </w:style>
  <w:style w:type="paragraph" w:customStyle="1" w:styleId="Bullet">
    <w:name w:val="Bullet"/>
    <w:basedOn w:val="Normal"/>
    <w:link w:val="BulletChar"/>
    <w:rsid w:val="00840633"/>
    <w:pPr>
      <w:numPr>
        <w:numId w:val="1"/>
      </w:numPr>
      <w:tabs>
        <w:tab w:val="left" w:pos="1701"/>
        <w:tab w:val="right" w:pos="9072"/>
      </w:tabs>
      <w:spacing w:line="240" w:lineRule="exact"/>
      <w:ind w:right="91"/>
    </w:pPr>
  </w:style>
  <w:style w:type="character" w:customStyle="1" w:styleId="BulletChar">
    <w:name w:val="Bullet Char"/>
    <w:basedOn w:val="DefaultParagraphFont"/>
    <w:link w:val="Bullet"/>
    <w:rsid w:val="00840633"/>
    <w:rPr>
      <w:rFonts w:ascii="Times New Roman" w:eastAsia="Times New Roman" w:hAnsi="Times New Roman" w:cs="Times New Roman"/>
      <w:sz w:val="24"/>
      <w:szCs w:val="20"/>
      <w:lang w:eastAsia="en-AU"/>
    </w:rPr>
  </w:style>
  <w:style w:type="paragraph" w:customStyle="1" w:styleId="Dash">
    <w:name w:val="Dash"/>
    <w:basedOn w:val="Normal"/>
    <w:rsid w:val="00840633"/>
    <w:pPr>
      <w:numPr>
        <w:ilvl w:val="1"/>
        <w:numId w:val="1"/>
      </w:numPr>
      <w:tabs>
        <w:tab w:val="left" w:pos="1701"/>
        <w:tab w:val="right" w:pos="9072"/>
      </w:tabs>
      <w:spacing w:line="240" w:lineRule="exact"/>
      <w:ind w:right="91"/>
    </w:pPr>
  </w:style>
  <w:style w:type="paragraph" w:customStyle="1" w:styleId="DoubleDot">
    <w:name w:val="Double Dot"/>
    <w:basedOn w:val="Normal"/>
    <w:rsid w:val="00840633"/>
    <w:pPr>
      <w:numPr>
        <w:ilvl w:val="2"/>
        <w:numId w:val="1"/>
      </w:numPr>
      <w:tabs>
        <w:tab w:val="right" w:pos="9072"/>
      </w:tabs>
      <w:spacing w:line="240" w:lineRule="exact"/>
      <w:ind w:right="91"/>
    </w:pPr>
  </w:style>
  <w:style w:type="paragraph" w:styleId="FootnoteText">
    <w:name w:val="footnote text"/>
    <w:basedOn w:val="Normal"/>
    <w:link w:val="FootnoteTextChar"/>
    <w:uiPriority w:val="99"/>
    <w:semiHidden/>
    <w:unhideWhenUsed/>
    <w:rsid w:val="00840633"/>
    <w:rPr>
      <w:sz w:val="20"/>
    </w:rPr>
  </w:style>
  <w:style w:type="character" w:customStyle="1" w:styleId="FootnoteTextChar">
    <w:name w:val="Footnote Text Char"/>
    <w:basedOn w:val="DefaultParagraphFont"/>
    <w:link w:val="FootnoteText"/>
    <w:uiPriority w:val="99"/>
    <w:semiHidden/>
    <w:rsid w:val="00840633"/>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840633"/>
    <w:rPr>
      <w:vertAlign w:val="superscript"/>
    </w:rPr>
  </w:style>
  <w:style w:type="paragraph" w:styleId="Header">
    <w:name w:val="header"/>
    <w:basedOn w:val="Normal"/>
    <w:link w:val="HeaderChar"/>
    <w:uiPriority w:val="99"/>
    <w:unhideWhenUsed/>
    <w:rsid w:val="00840633"/>
    <w:pPr>
      <w:tabs>
        <w:tab w:val="center" w:pos="4513"/>
        <w:tab w:val="right" w:pos="9026"/>
      </w:tabs>
    </w:pPr>
  </w:style>
  <w:style w:type="character" w:customStyle="1" w:styleId="HeaderChar">
    <w:name w:val="Header Char"/>
    <w:basedOn w:val="DefaultParagraphFont"/>
    <w:link w:val="Header"/>
    <w:uiPriority w:val="99"/>
    <w:rsid w:val="00840633"/>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8D7076"/>
    <w:rPr>
      <w:rFonts w:asciiTheme="majorHAnsi" w:eastAsiaTheme="majorEastAsia" w:hAnsiTheme="majorHAnsi" w:cstheme="majorBidi"/>
      <w:b/>
      <w:bCs/>
      <w:color w:val="4F81BD" w:themeColor="accent1"/>
      <w:sz w:val="26"/>
      <w:szCs w:val="26"/>
      <w:lang w:eastAsia="en-AU"/>
    </w:rPr>
  </w:style>
  <w:style w:type="character" w:customStyle="1" w:styleId="Heading1Char">
    <w:name w:val="Heading 1 Char"/>
    <w:basedOn w:val="DefaultParagraphFont"/>
    <w:link w:val="Heading1"/>
    <w:uiPriority w:val="9"/>
    <w:rsid w:val="00486EE8"/>
    <w:rPr>
      <w:rFonts w:asciiTheme="majorHAnsi" w:eastAsiaTheme="majorEastAsia" w:hAnsiTheme="majorHAnsi" w:cstheme="majorBidi"/>
      <w:b/>
      <w:bCs/>
      <w:color w:val="365F91" w:themeColor="accent1" w:themeShade="BF"/>
      <w:sz w:val="28"/>
      <w:szCs w:val="28"/>
      <w:lang w:eastAsia="en-AU"/>
    </w:rPr>
  </w:style>
  <w:style w:type="character" w:customStyle="1" w:styleId="Heading3Char">
    <w:name w:val="Heading 3 Char"/>
    <w:basedOn w:val="DefaultParagraphFont"/>
    <w:link w:val="Heading3"/>
    <w:uiPriority w:val="9"/>
    <w:semiHidden/>
    <w:rsid w:val="00486EE8"/>
    <w:rPr>
      <w:rFonts w:asciiTheme="majorHAnsi" w:eastAsiaTheme="majorEastAsia" w:hAnsiTheme="majorHAnsi" w:cstheme="majorBidi"/>
      <w:b/>
      <w:bCs/>
      <w:color w:val="4F81BD" w:themeColor="accent1"/>
      <w:sz w:val="24"/>
      <w:szCs w:val="20"/>
      <w:lang w:eastAsia="en-AU"/>
    </w:rPr>
  </w:style>
  <w:style w:type="character" w:customStyle="1" w:styleId="Heading4Char">
    <w:name w:val="Heading 4 Char"/>
    <w:basedOn w:val="DefaultParagraphFont"/>
    <w:link w:val="Heading4"/>
    <w:uiPriority w:val="9"/>
    <w:semiHidden/>
    <w:rsid w:val="00486EE8"/>
    <w:rPr>
      <w:rFonts w:asciiTheme="majorHAnsi" w:eastAsiaTheme="majorEastAsia" w:hAnsiTheme="majorHAnsi" w:cstheme="majorBidi"/>
      <w:b/>
      <w:bCs/>
      <w:i/>
      <w:iCs/>
      <w:color w:val="4F81BD" w:themeColor="accent1"/>
      <w:sz w:val="24"/>
      <w:szCs w:val="20"/>
      <w:lang w:eastAsia="en-AU"/>
    </w:rPr>
  </w:style>
  <w:style w:type="character" w:styleId="CommentReference">
    <w:name w:val="annotation reference"/>
    <w:basedOn w:val="DefaultParagraphFont"/>
    <w:uiPriority w:val="99"/>
    <w:semiHidden/>
    <w:unhideWhenUsed/>
    <w:rsid w:val="00F13147"/>
    <w:rPr>
      <w:sz w:val="16"/>
      <w:szCs w:val="16"/>
    </w:rPr>
  </w:style>
  <w:style w:type="paragraph" w:styleId="CommentText">
    <w:name w:val="annotation text"/>
    <w:basedOn w:val="Normal"/>
    <w:link w:val="CommentTextChar"/>
    <w:uiPriority w:val="99"/>
    <w:semiHidden/>
    <w:unhideWhenUsed/>
    <w:rsid w:val="00F13147"/>
    <w:rPr>
      <w:sz w:val="20"/>
    </w:rPr>
  </w:style>
  <w:style w:type="character" w:customStyle="1" w:styleId="CommentTextChar">
    <w:name w:val="Comment Text Char"/>
    <w:basedOn w:val="DefaultParagraphFont"/>
    <w:link w:val="CommentText"/>
    <w:uiPriority w:val="99"/>
    <w:semiHidden/>
    <w:rsid w:val="00F1314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13147"/>
    <w:rPr>
      <w:b/>
      <w:bCs/>
    </w:rPr>
  </w:style>
  <w:style w:type="character" w:customStyle="1" w:styleId="CommentSubjectChar">
    <w:name w:val="Comment Subject Char"/>
    <w:basedOn w:val="CommentTextChar"/>
    <w:link w:val="CommentSubject"/>
    <w:uiPriority w:val="99"/>
    <w:semiHidden/>
    <w:rsid w:val="00F1314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F13147"/>
    <w:rPr>
      <w:rFonts w:ascii="Tahoma" w:hAnsi="Tahoma" w:cs="Tahoma"/>
      <w:sz w:val="16"/>
      <w:szCs w:val="16"/>
    </w:rPr>
  </w:style>
  <w:style w:type="character" w:customStyle="1" w:styleId="BalloonTextChar">
    <w:name w:val="Balloon Text Char"/>
    <w:basedOn w:val="DefaultParagraphFont"/>
    <w:link w:val="BalloonText"/>
    <w:uiPriority w:val="99"/>
    <w:semiHidden/>
    <w:rsid w:val="00F13147"/>
    <w:rPr>
      <w:rFonts w:ascii="Tahoma" w:eastAsia="Times New Roman" w:hAnsi="Tahoma" w:cs="Tahoma"/>
      <w:sz w:val="16"/>
      <w:szCs w:val="16"/>
      <w:lang w:eastAsia="en-AU"/>
    </w:rPr>
  </w:style>
  <w:style w:type="paragraph" w:styleId="Revision">
    <w:name w:val="Revision"/>
    <w:hidden/>
    <w:uiPriority w:val="99"/>
    <w:semiHidden/>
    <w:rsid w:val="00676DA7"/>
    <w:pPr>
      <w:spacing w:after="0" w:line="240" w:lineRule="auto"/>
    </w:pPr>
    <w:rPr>
      <w:rFonts w:ascii="Times New Roman" w:eastAsia="Times New Roman" w:hAnsi="Times New Roman" w:cs="Times New Roman"/>
      <w:sz w:val="24"/>
      <w:szCs w:val="20"/>
      <w:lang w:eastAsia="en-AU"/>
    </w:rPr>
  </w:style>
  <w:style w:type="paragraph" w:customStyle="1" w:styleId="base-text-paragraph">
    <w:name w:val="base-text-paragraph"/>
    <w:rsid w:val="00DD3351"/>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25400D"/>
    <w:pPr>
      <w:tabs>
        <w:tab w:val="center" w:pos="4513"/>
        <w:tab w:val="right" w:pos="9026"/>
      </w:tabs>
    </w:pPr>
  </w:style>
  <w:style w:type="character" w:customStyle="1" w:styleId="FooterChar">
    <w:name w:val="Footer Char"/>
    <w:basedOn w:val="DefaultParagraphFont"/>
    <w:link w:val="Footer"/>
    <w:uiPriority w:val="99"/>
    <w:rsid w:val="0025400D"/>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70"/>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86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70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6EE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6EE8"/>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840633"/>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40633"/>
    <w:rPr>
      <w:rFonts w:ascii="Times New Roman" w:eastAsia="Times New Roman" w:hAnsi="Times New Roman" w:cs="Times New Roman"/>
      <w:sz w:val="24"/>
      <w:szCs w:val="20"/>
      <w:u w:val="single"/>
      <w:lang w:eastAsia="en-AU"/>
    </w:rPr>
  </w:style>
  <w:style w:type="paragraph" w:customStyle="1" w:styleId="Bullet">
    <w:name w:val="Bullet"/>
    <w:basedOn w:val="Normal"/>
    <w:link w:val="BulletChar"/>
    <w:rsid w:val="00840633"/>
    <w:pPr>
      <w:numPr>
        <w:numId w:val="1"/>
      </w:numPr>
      <w:tabs>
        <w:tab w:val="left" w:pos="1701"/>
        <w:tab w:val="right" w:pos="9072"/>
      </w:tabs>
      <w:spacing w:line="240" w:lineRule="exact"/>
      <w:ind w:right="91"/>
    </w:pPr>
  </w:style>
  <w:style w:type="character" w:customStyle="1" w:styleId="BulletChar">
    <w:name w:val="Bullet Char"/>
    <w:basedOn w:val="DefaultParagraphFont"/>
    <w:link w:val="Bullet"/>
    <w:rsid w:val="00840633"/>
    <w:rPr>
      <w:rFonts w:ascii="Times New Roman" w:eastAsia="Times New Roman" w:hAnsi="Times New Roman" w:cs="Times New Roman"/>
      <w:sz w:val="24"/>
      <w:szCs w:val="20"/>
      <w:lang w:eastAsia="en-AU"/>
    </w:rPr>
  </w:style>
  <w:style w:type="paragraph" w:customStyle="1" w:styleId="Dash">
    <w:name w:val="Dash"/>
    <w:basedOn w:val="Normal"/>
    <w:rsid w:val="00840633"/>
    <w:pPr>
      <w:numPr>
        <w:ilvl w:val="1"/>
        <w:numId w:val="1"/>
      </w:numPr>
      <w:tabs>
        <w:tab w:val="left" w:pos="1701"/>
        <w:tab w:val="right" w:pos="9072"/>
      </w:tabs>
      <w:spacing w:line="240" w:lineRule="exact"/>
      <w:ind w:right="91"/>
    </w:pPr>
  </w:style>
  <w:style w:type="paragraph" w:customStyle="1" w:styleId="DoubleDot">
    <w:name w:val="Double Dot"/>
    <w:basedOn w:val="Normal"/>
    <w:rsid w:val="00840633"/>
    <w:pPr>
      <w:numPr>
        <w:ilvl w:val="2"/>
        <w:numId w:val="1"/>
      </w:numPr>
      <w:tabs>
        <w:tab w:val="right" w:pos="9072"/>
      </w:tabs>
      <w:spacing w:line="240" w:lineRule="exact"/>
      <w:ind w:right="91"/>
    </w:pPr>
  </w:style>
  <w:style w:type="paragraph" w:styleId="FootnoteText">
    <w:name w:val="footnote text"/>
    <w:basedOn w:val="Normal"/>
    <w:link w:val="FootnoteTextChar"/>
    <w:uiPriority w:val="99"/>
    <w:semiHidden/>
    <w:unhideWhenUsed/>
    <w:rsid w:val="00840633"/>
    <w:rPr>
      <w:sz w:val="20"/>
    </w:rPr>
  </w:style>
  <w:style w:type="character" w:customStyle="1" w:styleId="FootnoteTextChar">
    <w:name w:val="Footnote Text Char"/>
    <w:basedOn w:val="DefaultParagraphFont"/>
    <w:link w:val="FootnoteText"/>
    <w:uiPriority w:val="99"/>
    <w:semiHidden/>
    <w:rsid w:val="00840633"/>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840633"/>
    <w:rPr>
      <w:vertAlign w:val="superscript"/>
    </w:rPr>
  </w:style>
  <w:style w:type="paragraph" w:styleId="Header">
    <w:name w:val="header"/>
    <w:basedOn w:val="Normal"/>
    <w:link w:val="HeaderChar"/>
    <w:uiPriority w:val="99"/>
    <w:unhideWhenUsed/>
    <w:rsid w:val="00840633"/>
    <w:pPr>
      <w:tabs>
        <w:tab w:val="center" w:pos="4513"/>
        <w:tab w:val="right" w:pos="9026"/>
      </w:tabs>
    </w:pPr>
  </w:style>
  <w:style w:type="character" w:customStyle="1" w:styleId="HeaderChar">
    <w:name w:val="Header Char"/>
    <w:basedOn w:val="DefaultParagraphFont"/>
    <w:link w:val="Header"/>
    <w:uiPriority w:val="99"/>
    <w:rsid w:val="00840633"/>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8D7076"/>
    <w:rPr>
      <w:rFonts w:asciiTheme="majorHAnsi" w:eastAsiaTheme="majorEastAsia" w:hAnsiTheme="majorHAnsi" w:cstheme="majorBidi"/>
      <w:b/>
      <w:bCs/>
      <w:color w:val="4F81BD" w:themeColor="accent1"/>
      <w:sz w:val="26"/>
      <w:szCs w:val="26"/>
      <w:lang w:eastAsia="en-AU"/>
    </w:rPr>
  </w:style>
  <w:style w:type="character" w:customStyle="1" w:styleId="Heading1Char">
    <w:name w:val="Heading 1 Char"/>
    <w:basedOn w:val="DefaultParagraphFont"/>
    <w:link w:val="Heading1"/>
    <w:uiPriority w:val="9"/>
    <w:rsid w:val="00486EE8"/>
    <w:rPr>
      <w:rFonts w:asciiTheme="majorHAnsi" w:eastAsiaTheme="majorEastAsia" w:hAnsiTheme="majorHAnsi" w:cstheme="majorBidi"/>
      <w:b/>
      <w:bCs/>
      <w:color w:val="365F91" w:themeColor="accent1" w:themeShade="BF"/>
      <w:sz w:val="28"/>
      <w:szCs w:val="28"/>
      <w:lang w:eastAsia="en-AU"/>
    </w:rPr>
  </w:style>
  <w:style w:type="character" w:customStyle="1" w:styleId="Heading3Char">
    <w:name w:val="Heading 3 Char"/>
    <w:basedOn w:val="DefaultParagraphFont"/>
    <w:link w:val="Heading3"/>
    <w:uiPriority w:val="9"/>
    <w:semiHidden/>
    <w:rsid w:val="00486EE8"/>
    <w:rPr>
      <w:rFonts w:asciiTheme="majorHAnsi" w:eastAsiaTheme="majorEastAsia" w:hAnsiTheme="majorHAnsi" w:cstheme="majorBidi"/>
      <w:b/>
      <w:bCs/>
      <w:color w:val="4F81BD" w:themeColor="accent1"/>
      <w:sz w:val="24"/>
      <w:szCs w:val="20"/>
      <w:lang w:eastAsia="en-AU"/>
    </w:rPr>
  </w:style>
  <w:style w:type="character" w:customStyle="1" w:styleId="Heading4Char">
    <w:name w:val="Heading 4 Char"/>
    <w:basedOn w:val="DefaultParagraphFont"/>
    <w:link w:val="Heading4"/>
    <w:uiPriority w:val="9"/>
    <w:semiHidden/>
    <w:rsid w:val="00486EE8"/>
    <w:rPr>
      <w:rFonts w:asciiTheme="majorHAnsi" w:eastAsiaTheme="majorEastAsia" w:hAnsiTheme="majorHAnsi" w:cstheme="majorBidi"/>
      <w:b/>
      <w:bCs/>
      <w:i/>
      <w:iCs/>
      <w:color w:val="4F81BD" w:themeColor="accent1"/>
      <w:sz w:val="24"/>
      <w:szCs w:val="20"/>
      <w:lang w:eastAsia="en-AU"/>
    </w:rPr>
  </w:style>
  <w:style w:type="character" w:styleId="CommentReference">
    <w:name w:val="annotation reference"/>
    <w:basedOn w:val="DefaultParagraphFont"/>
    <w:uiPriority w:val="99"/>
    <w:semiHidden/>
    <w:unhideWhenUsed/>
    <w:rsid w:val="00F13147"/>
    <w:rPr>
      <w:sz w:val="16"/>
      <w:szCs w:val="16"/>
    </w:rPr>
  </w:style>
  <w:style w:type="paragraph" w:styleId="CommentText">
    <w:name w:val="annotation text"/>
    <w:basedOn w:val="Normal"/>
    <w:link w:val="CommentTextChar"/>
    <w:uiPriority w:val="99"/>
    <w:semiHidden/>
    <w:unhideWhenUsed/>
    <w:rsid w:val="00F13147"/>
    <w:rPr>
      <w:sz w:val="20"/>
    </w:rPr>
  </w:style>
  <w:style w:type="character" w:customStyle="1" w:styleId="CommentTextChar">
    <w:name w:val="Comment Text Char"/>
    <w:basedOn w:val="DefaultParagraphFont"/>
    <w:link w:val="CommentText"/>
    <w:uiPriority w:val="99"/>
    <w:semiHidden/>
    <w:rsid w:val="00F1314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13147"/>
    <w:rPr>
      <w:b/>
      <w:bCs/>
    </w:rPr>
  </w:style>
  <w:style w:type="character" w:customStyle="1" w:styleId="CommentSubjectChar">
    <w:name w:val="Comment Subject Char"/>
    <w:basedOn w:val="CommentTextChar"/>
    <w:link w:val="CommentSubject"/>
    <w:uiPriority w:val="99"/>
    <w:semiHidden/>
    <w:rsid w:val="00F1314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F13147"/>
    <w:rPr>
      <w:rFonts w:ascii="Tahoma" w:hAnsi="Tahoma" w:cs="Tahoma"/>
      <w:sz w:val="16"/>
      <w:szCs w:val="16"/>
    </w:rPr>
  </w:style>
  <w:style w:type="character" w:customStyle="1" w:styleId="BalloonTextChar">
    <w:name w:val="Balloon Text Char"/>
    <w:basedOn w:val="DefaultParagraphFont"/>
    <w:link w:val="BalloonText"/>
    <w:uiPriority w:val="99"/>
    <w:semiHidden/>
    <w:rsid w:val="00F13147"/>
    <w:rPr>
      <w:rFonts w:ascii="Tahoma" w:eastAsia="Times New Roman" w:hAnsi="Tahoma" w:cs="Tahoma"/>
      <w:sz w:val="16"/>
      <w:szCs w:val="16"/>
      <w:lang w:eastAsia="en-AU"/>
    </w:rPr>
  </w:style>
  <w:style w:type="paragraph" w:styleId="Revision">
    <w:name w:val="Revision"/>
    <w:hidden/>
    <w:uiPriority w:val="99"/>
    <w:semiHidden/>
    <w:rsid w:val="00676DA7"/>
    <w:pPr>
      <w:spacing w:after="0" w:line="240" w:lineRule="auto"/>
    </w:pPr>
    <w:rPr>
      <w:rFonts w:ascii="Times New Roman" w:eastAsia="Times New Roman" w:hAnsi="Times New Roman" w:cs="Times New Roman"/>
      <w:sz w:val="24"/>
      <w:szCs w:val="20"/>
      <w:lang w:eastAsia="en-AU"/>
    </w:rPr>
  </w:style>
  <w:style w:type="paragraph" w:customStyle="1" w:styleId="base-text-paragraph">
    <w:name w:val="base-text-paragraph"/>
    <w:rsid w:val="00DD3351"/>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25400D"/>
    <w:pPr>
      <w:tabs>
        <w:tab w:val="center" w:pos="4513"/>
        <w:tab w:val="right" w:pos="9026"/>
      </w:tabs>
    </w:pPr>
  </w:style>
  <w:style w:type="character" w:customStyle="1" w:styleId="FooterChar">
    <w:name w:val="Footer Char"/>
    <w:basedOn w:val="DefaultParagraphFont"/>
    <w:link w:val="Footer"/>
    <w:uiPriority w:val="99"/>
    <w:rsid w:val="0025400D"/>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8b04f6-f261-4499-b462-41ddd755ff66">2014RG-166-3992</_dlc_DocId>
    <_dlc_DocIdUrl xmlns="378b04f6-f261-4499-b462-41ddd755ff66">
      <Url>http://tweb/sites/rg/ldp/lmu/_layouts/DocIdRedir.aspx?ID=2014RG-166-3992</Url>
      <Description>2014RG-166-3992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 Content" ma:contentTypeID="0x010100E726210826AA43828690450C811EB923009CA11FFD1E014DF4B1FA162D0F61129800CF323374F19B0B49950C762793D73A06" ma:contentTypeVersion="0" ma:contentTypeDescription="If you are creating a Word, PowerPoint or Excel document use the options available in the drop down list; for all other documents leave the content type as General Content." ma:contentTypeScope="" ma:versionID="71803f3e1588341194a73a19971b1296">
  <xsd:schema xmlns:xsd="http://www.w3.org/2001/XMLSchema" xmlns:xs="http://www.w3.org/2001/XMLSchema" xmlns:p="http://schemas.microsoft.com/office/2006/metadata/properties" xmlns:ns2="378b04f6-f261-4499-b462-41ddd755ff66" targetNamespace="http://schemas.microsoft.com/office/2006/metadata/properties" ma:root="true" ma:fieldsID="5a77130d46d0b9f2e1e396ca2583d828" ns2:_="">
    <xsd:import namespace="378b04f6-f261-4499-b462-41ddd755f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04f6-f261-4499-b462-41ddd755f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B639C-6755-40FF-A5EB-F7031460D9EC}">
  <ds:schemaRefs>
    <ds:schemaRef ds:uri="378b04f6-f261-4499-b462-41ddd755ff66"/>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43612C2-D968-433A-8469-2A618BF1A186}">
  <ds:schemaRefs>
    <ds:schemaRef ds:uri="http://schemas.microsoft.com/sharepoint/v3/contenttype/forms"/>
  </ds:schemaRefs>
</ds:datastoreItem>
</file>

<file path=customXml/itemProps3.xml><?xml version="1.0" encoding="utf-8"?>
<ds:datastoreItem xmlns:ds="http://schemas.openxmlformats.org/officeDocument/2006/customXml" ds:itemID="{7D343169-E91F-401B-BB97-DA74D404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04f6-f261-4499-b462-41ddd755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3580</Words>
  <Characters>20411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Eric</dc:creator>
  <cp:lastModifiedBy>Doyle, Simone</cp:lastModifiedBy>
  <cp:revision>3</cp:revision>
  <cp:lastPrinted>2014-02-02T21:08:00Z</cp:lastPrinted>
  <dcterms:created xsi:type="dcterms:W3CDTF">2014-02-13T05:04:00Z</dcterms:created>
  <dcterms:modified xsi:type="dcterms:W3CDTF">2014-02-13T22:18:00Z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0x010100E726210826AA43828690450C811EB923009CA11FFD1E014DF4B1FA162D0F61129800CF323374F19B0B49950C762793D73A06</vt:lpwstr>
  </property>
  <property fmtid="{D5CDD505-2E9C-101B-9397-08002B2CF9AE}" pid="3" name="_dlc_DocIdItemGuid">
    <vt:lpwstr>0eca04dc-149b-4033-b567-aecacc6cef81</vt:lpwstr>
  </property>
  <property fmtid="{D5CDD505-2E9C-101B-9397-08002B2CF9AE}" pid="4" name="_AdHocReviewCycleID">
    <vt:i4>-160904092</vt:i4>
  </property>
  <property fmtid="{D5CDD505-2E9C-101B-9397-08002B2CF9AE}" pid="5" name="_NewReviewCycle">
    <vt:lpwstr/>
  </property>
  <property fmtid="{D5CDD505-2E9C-101B-9397-08002B2CF9AE}" pid="6" name="_EmailSubject">
    <vt:lpwstr>ES [DLM=Sensitive:Legal]</vt:lpwstr>
  </property>
  <property fmtid="{D5CDD505-2E9C-101B-9397-08002B2CF9AE}" pid="7" name="_AuthorEmail">
    <vt:lpwstr>Kevin.Hogan@TREASURY.GOV.AU</vt:lpwstr>
  </property>
  <property fmtid="{D5CDD505-2E9C-101B-9397-08002B2CF9AE}" pid="8" name="_AuthorEmailDisplayName">
    <vt:lpwstr>Hogan, Kevin</vt:lpwstr>
  </property>
  <property fmtid="{D5CDD505-2E9C-101B-9397-08002B2CF9AE}" pid="9" name="_PreviousAdHocReviewCycleID">
    <vt:i4>-2125801908</vt:i4>
  </property>
  <property fmtid="{D5CDD505-2E9C-101B-9397-08002B2CF9AE}" pid="10" name="_ReviewingToolsShownOnce">
    <vt:lpwstr/>
  </property>
</Properties>
</file>