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C3" w:rsidRPr="00651F58" w:rsidRDefault="002D65C3" w:rsidP="002D65C3">
      <w:pPr>
        <w:pStyle w:val="Title"/>
        <w:rPr>
          <w:sz w:val="24"/>
          <w:szCs w:val="24"/>
        </w:rPr>
      </w:pPr>
      <w:bookmarkStart w:id="0" w:name="_GoBack"/>
      <w:bookmarkEnd w:id="0"/>
      <w:r w:rsidRPr="00651F58">
        <w:rPr>
          <w:sz w:val="24"/>
          <w:szCs w:val="24"/>
        </w:rPr>
        <w:t>Explanatory Statement</w:t>
      </w:r>
    </w:p>
    <w:p w:rsidR="002D65C3" w:rsidRPr="00651F58" w:rsidRDefault="002D65C3" w:rsidP="002D65C3">
      <w:pPr>
        <w:pStyle w:val="Subtitle"/>
        <w:rPr>
          <w:sz w:val="24"/>
          <w:szCs w:val="24"/>
        </w:rPr>
      </w:pPr>
    </w:p>
    <w:p w:rsidR="002D65C3" w:rsidRPr="00651F58" w:rsidRDefault="002D65C3" w:rsidP="002D65C3">
      <w:pPr>
        <w:pStyle w:val="Subtitle"/>
        <w:rPr>
          <w:sz w:val="24"/>
          <w:szCs w:val="24"/>
        </w:rPr>
      </w:pPr>
      <w:r w:rsidRPr="00651F58">
        <w:rPr>
          <w:sz w:val="24"/>
          <w:szCs w:val="24"/>
        </w:rPr>
        <w:t>Currency Act 1965</w:t>
      </w:r>
    </w:p>
    <w:p w:rsidR="002D65C3" w:rsidRPr="00651F58" w:rsidRDefault="002D65C3" w:rsidP="002D65C3">
      <w:pPr>
        <w:pStyle w:val="Subtitle"/>
        <w:rPr>
          <w:sz w:val="24"/>
          <w:szCs w:val="24"/>
        </w:rPr>
      </w:pPr>
    </w:p>
    <w:p w:rsidR="002D65C3" w:rsidRPr="00651F58" w:rsidRDefault="002D65C3" w:rsidP="002D65C3">
      <w:pPr>
        <w:jc w:val="center"/>
        <w:rPr>
          <w:b/>
          <w:sz w:val="24"/>
          <w:szCs w:val="24"/>
        </w:rPr>
      </w:pPr>
      <w:r w:rsidRPr="00651F58">
        <w:rPr>
          <w:b/>
          <w:sz w:val="24"/>
          <w:szCs w:val="24"/>
        </w:rPr>
        <w:t>Currency (Royal Australian Mint) Determination 201</w:t>
      </w:r>
      <w:r w:rsidR="00253E12">
        <w:rPr>
          <w:b/>
          <w:sz w:val="24"/>
          <w:szCs w:val="24"/>
        </w:rPr>
        <w:t>4</w:t>
      </w:r>
      <w:r w:rsidRPr="00651F58">
        <w:rPr>
          <w:b/>
          <w:sz w:val="24"/>
          <w:szCs w:val="24"/>
        </w:rPr>
        <w:t xml:space="preserve"> (No. </w:t>
      </w:r>
      <w:r w:rsidR="00253E12">
        <w:rPr>
          <w:b/>
          <w:sz w:val="24"/>
          <w:szCs w:val="24"/>
        </w:rPr>
        <w:t>1</w:t>
      </w:r>
      <w:r w:rsidRPr="00651F58">
        <w:rPr>
          <w:b/>
          <w:sz w:val="24"/>
          <w:szCs w:val="24"/>
        </w:rPr>
        <w:t>)</w:t>
      </w:r>
    </w:p>
    <w:p w:rsidR="002D65C3" w:rsidRPr="00651F58" w:rsidRDefault="002D65C3" w:rsidP="002D65C3">
      <w:pPr>
        <w:jc w:val="center"/>
        <w:rPr>
          <w:b/>
          <w:sz w:val="24"/>
          <w:szCs w:val="24"/>
        </w:rPr>
      </w:pPr>
    </w:p>
    <w:p w:rsidR="002D65C3" w:rsidRPr="00651F58" w:rsidRDefault="002D65C3" w:rsidP="002D65C3">
      <w:pPr>
        <w:spacing w:after="240"/>
        <w:rPr>
          <w:b/>
          <w:sz w:val="24"/>
          <w:szCs w:val="24"/>
        </w:rPr>
      </w:pPr>
      <w:r w:rsidRPr="00651F58">
        <w:rPr>
          <w:sz w:val="24"/>
          <w:szCs w:val="24"/>
        </w:rPr>
        <w:t xml:space="preserve">Under subsection 13A (1) of the </w:t>
      </w:r>
      <w:r w:rsidRPr="00651F58">
        <w:rPr>
          <w:i/>
          <w:sz w:val="24"/>
          <w:szCs w:val="24"/>
        </w:rPr>
        <w:t>Currency Act 1965</w:t>
      </w:r>
      <w:r w:rsidRPr="00651F58">
        <w:rPr>
          <w:sz w:val="24"/>
          <w:szCs w:val="24"/>
        </w:rPr>
        <w:t xml:space="preserve">, the Parliamentary Secretary to the Treasurer, </w:t>
      </w:r>
      <w:r w:rsidR="005A5F9A">
        <w:rPr>
          <w:sz w:val="24"/>
          <w:szCs w:val="24"/>
        </w:rPr>
        <w:t>Steven Ciobo</w:t>
      </w:r>
      <w:r w:rsidRPr="00651F58">
        <w:rPr>
          <w:sz w:val="24"/>
          <w:szCs w:val="24"/>
        </w:rPr>
        <w:t>, has made a determination regarding the specification of coins proposed to be issued by the Royal Australian Mint.</w:t>
      </w:r>
    </w:p>
    <w:p w:rsidR="002D65C3" w:rsidRPr="00651F58" w:rsidRDefault="002D65C3" w:rsidP="002D65C3">
      <w:pPr>
        <w:spacing w:after="240"/>
        <w:rPr>
          <w:sz w:val="24"/>
          <w:szCs w:val="24"/>
        </w:rPr>
      </w:pPr>
      <w:r w:rsidRPr="00651F58">
        <w:rPr>
          <w:sz w:val="24"/>
          <w:szCs w:val="24"/>
        </w:rPr>
        <w:t xml:space="preserve">Subsection 13A (1) of the </w:t>
      </w:r>
      <w:r w:rsidRPr="00651F58">
        <w:rPr>
          <w:i/>
          <w:sz w:val="24"/>
          <w:szCs w:val="24"/>
        </w:rPr>
        <w:t>Currency Act 1965</w:t>
      </w:r>
      <w:r w:rsidRPr="00651F58">
        <w:rPr>
          <w:sz w:val="24"/>
          <w:szCs w:val="24"/>
        </w:rPr>
        <w:t xml:space="preserve"> requires that the determination provides details of the coins’ characteristics, including standard composition, standard weight, allowable variation from standard weight, design and dimensions.</w:t>
      </w:r>
    </w:p>
    <w:p w:rsidR="002D65C3" w:rsidRPr="00651F58" w:rsidRDefault="002D65C3" w:rsidP="002D65C3">
      <w:pPr>
        <w:spacing w:after="240"/>
        <w:rPr>
          <w:sz w:val="24"/>
          <w:szCs w:val="24"/>
        </w:rPr>
      </w:pPr>
      <w:r w:rsidRPr="00651F58">
        <w:rPr>
          <w:sz w:val="24"/>
          <w:szCs w:val="24"/>
        </w:rPr>
        <w:t xml:space="preserve">This determination is a disallowable instrument for the purposes of section 42 of the </w:t>
      </w:r>
      <w:r w:rsidRPr="00651F58">
        <w:rPr>
          <w:i/>
          <w:sz w:val="24"/>
          <w:szCs w:val="24"/>
        </w:rPr>
        <w:t>Legislative Instruments Act 2003.</w:t>
      </w:r>
      <w:r w:rsidRPr="00651F58">
        <w:rPr>
          <w:sz w:val="24"/>
          <w:szCs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101"/>
        <w:gridCol w:w="7421"/>
      </w:tblGrid>
      <w:tr w:rsidR="005A5F9A" w:rsidRPr="007C361D" w:rsidTr="005A5F9A">
        <w:trPr>
          <w:cantSplit/>
        </w:trPr>
        <w:tc>
          <w:tcPr>
            <w:tcW w:w="1101" w:type="dxa"/>
            <w:tcBorders>
              <w:top w:val="single" w:sz="4" w:space="0" w:color="auto"/>
              <w:left w:val="single" w:sz="4" w:space="0" w:color="auto"/>
              <w:bottom w:val="single" w:sz="4" w:space="0" w:color="auto"/>
              <w:right w:val="single" w:sz="4" w:space="0" w:color="auto"/>
            </w:tcBorders>
            <w:hideMark/>
          </w:tcPr>
          <w:p w:rsidR="005A5F9A" w:rsidRPr="007C361D" w:rsidRDefault="005A5F9A">
            <w:pPr>
              <w:rPr>
                <w:b/>
                <w:sz w:val="18"/>
                <w:szCs w:val="18"/>
              </w:rPr>
            </w:pPr>
            <w:r w:rsidRPr="007C361D">
              <w:rPr>
                <w:b/>
                <w:sz w:val="18"/>
                <w:szCs w:val="18"/>
              </w:rPr>
              <w:t xml:space="preserve">Item 1 </w:t>
            </w:r>
          </w:p>
        </w:tc>
        <w:tc>
          <w:tcPr>
            <w:tcW w:w="7421" w:type="dxa"/>
            <w:tcBorders>
              <w:top w:val="single" w:sz="4" w:space="0" w:color="auto"/>
              <w:left w:val="single" w:sz="4" w:space="0" w:color="auto"/>
              <w:bottom w:val="single" w:sz="4" w:space="0" w:color="auto"/>
              <w:right w:val="single" w:sz="4" w:space="0" w:color="auto"/>
            </w:tcBorders>
          </w:tcPr>
          <w:p w:rsidR="005A5F9A" w:rsidRPr="007C361D" w:rsidRDefault="00253E12">
            <w:pPr>
              <w:rPr>
                <w:b/>
                <w:sz w:val="18"/>
                <w:szCs w:val="18"/>
              </w:rPr>
            </w:pPr>
            <w:r w:rsidRPr="007C361D">
              <w:rPr>
                <w:b/>
                <w:sz w:val="18"/>
                <w:szCs w:val="18"/>
              </w:rPr>
              <w:t xml:space="preserve">$5 </w:t>
            </w:r>
            <w:r w:rsidR="005A5F9A" w:rsidRPr="007C361D">
              <w:rPr>
                <w:b/>
                <w:sz w:val="18"/>
                <w:szCs w:val="18"/>
              </w:rPr>
              <w:t xml:space="preserve">Silver Coin – </w:t>
            </w:r>
            <w:r w:rsidR="00CB482C" w:rsidRPr="007C361D">
              <w:rPr>
                <w:b/>
                <w:sz w:val="18"/>
                <w:szCs w:val="18"/>
              </w:rPr>
              <w:t>Lest We Forget</w:t>
            </w:r>
          </w:p>
          <w:p w:rsidR="005A5F9A" w:rsidRPr="007C361D" w:rsidRDefault="005A5F9A">
            <w:pPr>
              <w:rPr>
                <w:b/>
                <w:sz w:val="18"/>
                <w:szCs w:val="18"/>
              </w:rPr>
            </w:pPr>
          </w:p>
          <w:p w:rsidR="005A5F9A" w:rsidRPr="007C361D" w:rsidRDefault="005A5F9A">
            <w:pPr>
              <w:rPr>
                <w:b/>
                <w:sz w:val="18"/>
                <w:szCs w:val="18"/>
              </w:rPr>
            </w:pPr>
            <w:r w:rsidRPr="007C361D">
              <w:rPr>
                <w:b/>
                <w:sz w:val="18"/>
                <w:szCs w:val="18"/>
              </w:rPr>
              <w:t>Reverse</w:t>
            </w:r>
          </w:p>
          <w:p w:rsidR="005A5F9A" w:rsidRPr="007C361D" w:rsidRDefault="00253E12" w:rsidP="00253E12">
            <w:pPr>
              <w:pStyle w:val="TableText"/>
              <w:autoSpaceDE w:val="0"/>
              <w:autoSpaceDN w:val="0"/>
              <w:adjustRightInd w:val="0"/>
              <w:spacing w:beforeLines="20" w:before="48" w:afterLines="20" w:after="48"/>
              <w:rPr>
                <w:sz w:val="18"/>
                <w:szCs w:val="18"/>
              </w:rPr>
            </w:pPr>
            <w:r w:rsidRPr="007C361D">
              <w:rPr>
                <w:sz w:val="18"/>
                <w:szCs w:val="18"/>
              </w:rPr>
              <w:t xml:space="preserve">A representation of a triangle with rounded corners, containing a representation of poppies </w:t>
            </w:r>
            <w:r w:rsidR="001A359B">
              <w:rPr>
                <w:sz w:val="18"/>
                <w:szCs w:val="18"/>
              </w:rPr>
              <w:t>and fields</w:t>
            </w:r>
            <w:r w:rsidRPr="007C361D">
              <w:rPr>
                <w:sz w:val="18"/>
                <w:szCs w:val="18"/>
              </w:rPr>
              <w:t>. The design includes the inscriptions ‘AT THE GOING DOWN OF THE SUN AND IN THE MORNING WE WILL REMEMBER THEM and ‘5 DOLLARS’</w:t>
            </w:r>
            <w:r w:rsidR="005A5F9A" w:rsidRPr="007C361D">
              <w:rPr>
                <w:sz w:val="18"/>
                <w:szCs w:val="18"/>
              </w:rPr>
              <w:t xml:space="preserve">. </w:t>
            </w:r>
          </w:p>
          <w:p w:rsidR="005A5F9A" w:rsidRPr="007C361D" w:rsidRDefault="005A5F9A">
            <w:pPr>
              <w:rPr>
                <w:sz w:val="18"/>
                <w:szCs w:val="18"/>
              </w:rPr>
            </w:pPr>
          </w:p>
          <w:p w:rsidR="005A5F9A" w:rsidRPr="007C361D" w:rsidRDefault="005A5F9A">
            <w:pPr>
              <w:rPr>
                <w:b/>
                <w:sz w:val="18"/>
                <w:szCs w:val="18"/>
              </w:rPr>
            </w:pPr>
            <w:r w:rsidRPr="007C361D">
              <w:rPr>
                <w:b/>
                <w:sz w:val="18"/>
                <w:szCs w:val="18"/>
              </w:rPr>
              <w:t>Obverse</w:t>
            </w:r>
          </w:p>
          <w:p w:rsidR="005A5F9A" w:rsidRPr="007C361D" w:rsidRDefault="005A5F9A">
            <w:pPr>
              <w:rPr>
                <w:sz w:val="18"/>
                <w:szCs w:val="18"/>
              </w:rPr>
            </w:pPr>
            <w:r w:rsidRPr="007C361D">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5A5F9A" w:rsidRPr="007C361D" w:rsidTr="005A5F9A">
        <w:trPr>
          <w:cantSplit/>
        </w:trPr>
        <w:tc>
          <w:tcPr>
            <w:tcW w:w="1101" w:type="dxa"/>
            <w:tcBorders>
              <w:top w:val="single" w:sz="4" w:space="0" w:color="auto"/>
              <w:left w:val="single" w:sz="4" w:space="0" w:color="auto"/>
              <w:bottom w:val="single" w:sz="4" w:space="0" w:color="auto"/>
              <w:right w:val="single" w:sz="4" w:space="0" w:color="auto"/>
            </w:tcBorders>
            <w:hideMark/>
          </w:tcPr>
          <w:p w:rsidR="005A5F9A" w:rsidRPr="007C361D" w:rsidRDefault="005A5F9A">
            <w:pPr>
              <w:rPr>
                <w:b/>
                <w:sz w:val="18"/>
                <w:szCs w:val="18"/>
              </w:rPr>
            </w:pPr>
            <w:r w:rsidRPr="007C361D">
              <w:rPr>
                <w:b/>
                <w:sz w:val="18"/>
                <w:szCs w:val="18"/>
              </w:rPr>
              <w:t>Item 2</w:t>
            </w:r>
          </w:p>
        </w:tc>
        <w:tc>
          <w:tcPr>
            <w:tcW w:w="7421" w:type="dxa"/>
            <w:tcBorders>
              <w:top w:val="single" w:sz="4" w:space="0" w:color="auto"/>
              <w:left w:val="single" w:sz="4" w:space="0" w:color="auto"/>
              <w:bottom w:val="single" w:sz="4" w:space="0" w:color="auto"/>
              <w:right w:val="single" w:sz="4" w:space="0" w:color="auto"/>
            </w:tcBorders>
          </w:tcPr>
          <w:p w:rsidR="005A5F9A" w:rsidRPr="007C361D" w:rsidRDefault="00B1577F" w:rsidP="005A5F9A">
            <w:pPr>
              <w:rPr>
                <w:b/>
                <w:sz w:val="18"/>
                <w:szCs w:val="18"/>
              </w:rPr>
            </w:pPr>
            <w:r w:rsidRPr="007C361D">
              <w:rPr>
                <w:b/>
                <w:sz w:val="18"/>
                <w:szCs w:val="18"/>
              </w:rPr>
              <w:t>$1</w:t>
            </w:r>
            <w:r w:rsidR="005A5F9A" w:rsidRPr="007C361D">
              <w:rPr>
                <w:b/>
                <w:sz w:val="18"/>
                <w:szCs w:val="18"/>
              </w:rPr>
              <w:t xml:space="preserve"> Silver </w:t>
            </w:r>
            <w:r w:rsidR="00CB482C" w:rsidRPr="007C361D">
              <w:rPr>
                <w:b/>
                <w:sz w:val="18"/>
                <w:szCs w:val="18"/>
              </w:rPr>
              <w:t xml:space="preserve">High Relief </w:t>
            </w:r>
            <w:r w:rsidR="005A5F9A" w:rsidRPr="007C361D">
              <w:rPr>
                <w:b/>
                <w:sz w:val="18"/>
                <w:szCs w:val="18"/>
              </w:rPr>
              <w:t xml:space="preserve">Coin </w:t>
            </w:r>
            <w:r w:rsidR="00CB482C" w:rsidRPr="007C361D">
              <w:rPr>
                <w:b/>
                <w:sz w:val="18"/>
                <w:szCs w:val="18"/>
              </w:rPr>
              <w:t xml:space="preserve">– </w:t>
            </w:r>
            <w:r w:rsidR="00646F1D">
              <w:rPr>
                <w:b/>
                <w:sz w:val="18"/>
                <w:szCs w:val="18"/>
              </w:rPr>
              <w:t>Mob of Roos</w:t>
            </w:r>
          </w:p>
          <w:p w:rsidR="005A5F9A" w:rsidRPr="007C361D" w:rsidRDefault="005A5F9A">
            <w:pPr>
              <w:rPr>
                <w:b/>
                <w:sz w:val="18"/>
                <w:szCs w:val="18"/>
              </w:rPr>
            </w:pPr>
          </w:p>
          <w:p w:rsidR="005A5F9A" w:rsidRPr="007C361D" w:rsidRDefault="005A5F9A">
            <w:pPr>
              <w:rPr>
                <w:b/>
                <w:sz w:val="18"/>
                <w:szCs w:val="18"/>
              </w:rPr>
            </w:pPr>
            <w:r w:rsidRPr="007C361D">
              <w:rPr>
                <w:b/>
                <w:sz w:val="18"/>
                <w:szCs w:val="18"/>
              </w:rPr>
              <w:t>Reverse</w:t>
            </w:r>
          </w:p>
          <w:p w:rsidR="005A5F9A" w:rsidRPr="007C361D" w:rsidRDefault="005A5F9A" w:rsidP="00E263BC">
            <w:pPr>
              <w:pStyle w:val="TableText"/>
              <w:tabs>
                <w:tab w:val="left" w:pos="615"/>
              </w:tabs>
              <w:spacing w:beforeLines="20" w:before="48" w:afterLines="20" w:after="48"/>
              <w:rPr>
                <w:sz w:val="18"/>
                <w:szCs w:val="18"/>
              </w:rPr>
            </w:pPr>
            <w:r w:rsidRPr="007C361D">
              <w:rPr>
                <w:sz w:val="18"/>
                <w:szCs w:val="18"/>
              </w:rPr>
              <w:t xml:space="preserve">A representation of </w:t>
            </w:r>
            <w:r w:rsidR="00E263BC" w:rsidRPr="007C361D">
              <w:rPr>
                <w:sz w:val="18"/>
                <w:szCs w:val="18"/>
              </w:rPr>
              <w:t>5 kangaroos and the inscription ‘1 DOLLAR’</w:t>
            </w:r>
            <w:r w:rsidR="00BB5005" w:rsidRPr="007C361D">
              <w:rPr>
                <w:sz w:val="18"/>
                <w:szCs w:val="18"/>
              </w:rPr>
              <w:t>.</w:t>
            </w:r>
          </w:p>
          <w:p w:rsidR="005A5F9A" w:rsidRPr="007C361D" w:rsidRDefault="005A5F9A">
            <w:pPr>
              <w:rPr>
                <w:sz w:val="18"/>
                <w:szCs w:val="18"/>
              </w:rPr>
            </w:pPr>
          </w:p>
          <w:p w:rsidR="005A5F9A" w:rsidRPr="007C361D" w:rsidRDefault="005A5F9A">
            <w:pPr>
              <w:rPr>
                <w:b/>
                <w:sz w:val="18"/>
                <w:szCs w:val="18"/>
              </w:rPr>
            </w:pPr>
            <w:r w:rsidRPr="007C361D">
              <w:rPr>
                <w:b/>
                <w:sz w:val="18"/>
                <w:szCs w:val="18"/>
              </w:rPr>
              <w:t>Obverse</w:t>
            </w:r>
          </w:p>
          <w:p w:rsidR="005A5F9A" w:rsidRPr="007C361D" w:rsidRDefault="00CB482C">
            <w:pPr>
              <w:rPr>
                <w:color w:val="FF0000"/>
                <w:sz w:val="18"/>
                <w:szCs w:val="18"/>
              </w:rPr>
            </w:pPr>
            <w:r w:rsidRPr="007C361D">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AD1086" w:rsidRPr="007C361D" w:rsidTr="00FC55BB">
        <w:trPr>
          <w:cantSplit/>
        </w:trPr>
        <w:tc>
          <w:tcPr>
            <w:tcW w:w="1101" w:type="dxa"/>
          </w:tcPr>
          <w:p w:rsidR="00AD1086" w:rsidRPr="007C361D" w:rsidRDefault="00AD1086" w:rsidP="00BB5005">
            <w:pPr>
              <w:rPr>
                <w:b/>
                <w:sz w:val="18"/>
                <w:szCs w:val="18"/>
              </w:rPr>
            </w:pPr>
            <w:r w:rsidRPr="007C361D">
              <w:rPr>
                <w:b/>
                <w:sz w:val="18"/>
                <w:szCs w:val="18"/>
              </w:rPr>
              <w:t>Item 3</w:t>
            </w:r>
          </w:p>
        </w:tc>
        <w:tc>
          <w:tcPr>
            <w:tcW w:w="7421" w:type="dxa"/>
          </w:tcPr>
          <w:p w:rsidR="00AD1086" w:rsidRPr="007C361D" w:rsidRDefault="00AD1086" w:rsidP="004E7C24">
            <w:pPr>
              <w:rPr>
                <w:b/>
                <w:sz w:val="18"/>
                <w:szCs w:val="18"/>
              </w:rPr>
            </w:pPr>
            <w:r w:rsidRPr="007C361D">
              <w:rPr>
                <w:b/>
                <w:sz w:val="18"/>
                <w:szCs w:val="18"/>
              </w:rPr>
              <w:t>50c Copper and Nickel Coin – German New Guinea 1914</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Reverse</w:t>
            </w:r>
          </w:p>
          <w:p w:rsidR="00AD1086" w:rsidRPr="007C361D" w:rsidRDefault="00AD1086" w:rsidP="004E7C24">
            <w:pPr>
              <w:pStyle w:val="TableText"/>
              <w:spacing w:beforeLines="20" w:before="48"/>
              <w:rPr>
                <w:sz w:val="18"/>
                <w:szCs w:val="18"/>
              </w:rPr>
            </w:pPr>
            <w:r w:rsidRPr="007C361D">
              <w:rPr>
                <w:sz w:val="18"/>
                <w:szCs w:val="18"/>
              </w:rPr>
              <w:t xml:space="preserve">A representation of a part of the H.M.A.S. Warrego (I) and a part of the map of the world. The design includes a stylised representation of an arrow and a representation of 10 concentric circles emanating from a tower. The inscriptions ‘GERMAN NEW GUINEA 1914’, ‘50’ and the initials of the designer Wojciech Pietranic ‘WP’ are also included in the design. </w:t>
            </w:r>
          </w:p>
          <w:p w:rsidR="00AD1086" w:rsidRPr="007C361D" w:rsidRDefault="00AD1086" w:rsidP="004E7C24">
            <w:pPr>
              <w:pStyle w:val="TableText"/>
              <w:spacing w:beforeLines="20" w:before="48" w:afterLines="20" w:after="48"/>
              <w:rPr>
                <w:sz w:val="18"/>
                <w:szCs w:val="18"/>
              </w:rPr>
            </w:pPr>
          </w:p>
          <w:p w:rsidR="00AD1086" w:rsidRPr="007C361D" w:rsidRDefault="00AD1086" w:rsidP="004E7C24">
            <w:pPr>
              <w:rPr>
                <w:b/>
                <w:sz w:val="18"/>
                <w:szCs w:val="18"/>
              </w:rPr>
            </w:pPr>
            <w:r w:rsidRPr="007C361D">
              <w:rPr>
                <w:b/>
                <w:sz w:val="18"/>
                <w:szCs w:val="18"/>
              </w:rPr>
              <w:t>Obverse</w:t>
            </w:r>
          </w:p>
          <w:p w:rsidR="00AD1086" w:rsidRPr="007C361D" w:rsidRDefault="00AD1086" w:rsidP="004E7C24">
            <w:pPr>
              <w:rPr>
                <w:b/>
                <w:color w:val="FF0000"/>
                <w:sz w:val="18"/>
                <w:szCs w:val="18"/>
              </w:rPr>
            </w:pPr>
            <w:r w:rsidRPr="007C361D">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AD1086" w:rsidRPr="007C361D" w:rsidTr="00FC55BB">
        <w:trPr>
          <w:cantSplit/>
        </w:trPr>
        <w:tc>
          <w:tcPr>
            <w:tcW w:w="1101" w:type="dxa"/>
          </w:tcPr>
          <w:p w:rsidR="00AD1086" w:rsidRPr="007C361D" w:rsidRDefault="00AD1086" w:rsidP="00BB5005">
            <w:pPr>
              <w:rPr>
                <w:b/>
                <w:sz w:val="18"/>
                <w:szCs w:val="18"/>
              </w:rPr>
            </w:pPr>
            <w:r w:rsidRPr="007C361D">
              <w:rPr>
                <w:b/>
                <w:sz w:val="18"/>
                <w:szCs w:val="18"/>
              </w:rPr>
              <w:lastRenderedPageBreak/>
              <w:t xml:space="preserve">Item 4 </w:t>
            </w:r>
          </w:p>
        </w:tc>
        <w:tc>
          <w:tcPr>
            <w:tcW w:w="7421" w:type="dxa"/>
          </w:tcPr>
          <w:p w:rsidR="00AD1086" w:rsidRPr="007C361D" w:rsidRDefault="00AD1086" w:rsidP="004E7C24">
            <w:pPr>
              <w:rPr>
                <w:b/>
                <w:sz w:val="18"/>
                <w:szCs w:val="18"/>
              </w:rPr>
            </w:pPr>
            <w:r w:rsidRPr="007C361D">
              <w:rPr>
                <w:b/>
                <w:sz w:val="18"/>
                <w:szCs w:val="18"/>
              </w:rPr>
              <w:t>50c Copper and Nickel Coin – Battle of Cocos Island</w:t>
            </w:r>
            <w:r w:rsidR="00431D05">
              <w:rPr>
                <w:b/>
                <w:sz w:val="18"/>
                <w:szCs w:val="18"/>
              </w:rPr>
              <w:t>s</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Reverse</w:t>
            </w:r>
          </w:p>
          <w:p w:rsidR="00AD1086" w:rsidRPr="007C361D" w:rsidRDefault="00AD1086" w:rsidP="00FA3BA7">
            <w:pPr>
              <w:pStyle w:val="TableText"/>
              <w:spacing w:beforeLines="20" w:before="48"/>
              <w:rPr>
                <w:sz w:val="18"/>
                <w:szCs w:val="18"/>
              </w:rPr>
            </w:pPr>
            <w:r w:rsidRPr="007C361D">
              <w:rPr>
                <w:sz w:val="18"/>
                <w:szCs w:val="18"/>
              </w:rPr>
              <w:t>A representation of</w:t>
            </w:r>
            <w:r w:rsidR="00FF3BD7">
              <w:rPr>
                <w:sz w:val="18"/>
                <w:szCs w:val="18"/>
              </w:rPr>
              <w:t xml:space="preserve"> </w:t>
            </w:r>
            <w:r w:rsidR="00431D05">
              <w:rPr>
                <w:sz w:val="18"/>
                <w:szCs w:val="18"/>
              </w:rPr>
              <w:t>H.M.A.S Sydney (1912)</w:t>
            </w:r>
            <w:r w:rsidR="00FA3BA7" w:rsidRPr="007C361D">
              <w:rPr>
                <w:sz w:val="18"/>
                <w:szCs w:val="18"/>
              </w:rPr>
              <w:t xml:space="preserve"> in the upper sector, a horizontal line and an inverted representation of </w:t>
            </w:r>
            <w:r w:rsidR="00431D05">
              <w:rPr>
                <w:sz w:val="18"/>
                <w:szCs w:val="18"/>
              </w:rPr>
              <w:t xml:space="preserve">S.M.S. Emden (1908) </w:t>
            </w:r>
            <w:r w:rsidR="00FA3BA7" w:rsidRPr="007C361D">
              <w:rPr>
                <w:sz w:val="18"/>
                <w:szCs w:val="18"/>
              </w:rPr>
              <w:t>in the lower sector. The design includes a vertical line</w:t>
            </w:r>
            <w:r w:rsidR="00646F1D">
              <w:rPr>
                <w:sz w:val="18"/>
                <w:szCs w:val="18"/>
              </w:rPr>
              <w:t>, a stylised representation of the sea</w:t>
            </w:r>
            <w:r w:rsidR="00FA3BA7" w:rsidRPr="007C361D">
              <w:rPr>
                <w:sz w:val="18"/>
                <w:szCs w:val="18"/>
              </w:rPr>
              <w:t xml:space="preserve"> and a representation of a </w:t>
            </w:r>
            <w:r w:rsidR="001A359B">
              <w:rPr>
                <w:sz w:val="18"/>
                <w:szCs w:val="18"/>
              </w:rPr>
              <w:t>map of some of the Cocos (Keeling) Islands</w:t>
            </w:r>
            <w:r w:rsidR="00FA3BA7" w:rsidRPr="007C361D">
              <w:rPr>
                <w:sz w:val="18"/>
                <w:szCs w:val="18"/>
              </w:rPr>
              <w:t>. The inscriptions ‘BATTLE OF COCOS ISLAND</w:t>
            </w:r>
            <w:r w:rsidR="00431D05">
              <w:rPr>
                <w:sz w:val="18"/>
                <w:szCs w:val="18"/>
              </w:rPr>
              <w:t>S</w:t>
            </w:r>
            <w:r w:rsidR="00FA3BA7" w:rsidRPr="007C361D">
              <w:rPr>
                <w:sz w:val="18"/>
                <w:szCs w:val="18"/>
              </w:rPr>
              <w:t xml:space="preserve"> 1914’, ‘HMAS SYDNEY’, ‘SMS EMDEN’, ‘96</w:t>
            </w:r>
            <w:r w:rsidR="00FA3BA7" w:rsidRPr="007C361D">
              <w:rPr>
                <w:sz w:val="18"/>
                <w:szCs w:val="18"/>
              </w:rPr>
              <w:sym w:font="Symbol" w:char="F0B0"/>
            </w:r>
            <w:r w:rsidR="00FA3BA7" w:rsidRPr="007C361D">
              <w:rPr>
                <w:sz w:val="18"/>
                <w:szCs w:val="18"/>
              </w:rPr>
              <w:t>50’E’, ‘12</w:t>
            </w:r>
            <w:r w:rsidR="00FA3BA7" w:rsidRPr="007C361D">
              <w:rPr>
                <w:sz w:val="18"/>
                <w:szCs w:val="18"/>
              </w:rPr>
              <w:sym w:font="Symbol" w:char="F0B0"/>
            </w:r>
            <w:r w:rsidR="00FA3BA7" w:rsidRPr="007C361D">
              <w:rPr>
                <w:sz w:val="18"/>
                <w:szCs w:val="18"/>
              </w:rPr>
              <w:t>10’S’</w:t>
            </w:r>
            <w:r w:rsidR="00646F1D">
              <w:rPr>
                <w:sz w:val="18"/>
                <w:szCs w:val="18"/>
              </w:rPr>
              <w:t xml:space="preserve">, </w:t>
            </w:r>
            <w:r w:rsidR="00FA3BA7" w:rsidRPr="007C361D">
              <w:rPr>
                <w:sz w:val="18"/>
                <w:szCs w:val="18"/>
              </w:rPr>
              <w:t xml:space="preserve">‘50’ </w:t>
            </w:r>
            <w:r w:rsidR="00646F1D">
              <w:rPr>
                <w:sz w:val="18"/>
                <w:szCs w:val="18"/>
              </w:rPr>
              <w:t xml:space="preserve">and </w:t>
            </w:r>
            <w:r w:rsidR="00646F1D" w:rsidRPr="007C361D">
              <w:rPr>
                <w:sz w:val="18"/>
                <w:szCs w:val="18"/>
              </w:rPr>
              <w:t xml:space="preserve">the initials of the designer Wojciech Pietranic ‘WP’ </w:t>
            </w:r>
            <w:r w:rsidR="00FA3BA7" w:rsidRPr="007C361D">
              <w:rPr>
                <w:sz w:val="18"/>
                <w:szCs w:val="18"/>
              </w:rPr>
              <w:t>are also included in the reverse design.</w:t>
            </w:r>
          </w:p>
          <w:p w:rsidR="00AD1086" w:rsidRPr="007C361D" w:rsidRDefault="00AD1086" w:rsidP="004E7C24">
            <w:pPr>
              <w:pStyle w:val="TableText"/>
              <w:spacing w:beforeLines="20" w:before="48" w:afterLines="20" w:after="48"/>
              <w:rPr>
                <w:sz w:val="18"/>
                <w:szCs w:val="18"/>
              </w:rPr>
            </w:pPr>
          </w:p>
          <w:p w:rsidR="00AD1086" w:rsidRPr="007C361D" w:rsidRDefault="00AD1086" w:rsidP="004E7C24">
            <w:pPr>
              <w:rPr>
                <w:b/>
                <w:sz w:val="18"/>
                <w:szCs w:val="18"/>
              </w:rPr>
            </w:pPr>
            <w:r w:rsidRPr="007C361D">
              <w:rPr>
                <w:b/>
                <w:sz w:val="18"/>
                <w:szCs w:val="18"/>
              </w:rPr>
              <w:t>Obverse</w:t>
            </w:r>
          </w:p>
          <w:p w:rsidR="00AD1086" w:rsidRPr="007C361D" w:rsidRDefault="00AD1086" w:rsidP="004E7C24">
            <w:pPr>
              <w:rPr>
                <w:b/>
                <w:color w:val="FF0000"/>
                <w:sz w:val="18"/>
                <w:szCs w:val="18"/>
              </w:rPr>
            </w:pPr>
            <w:r w:rsidRPr="007C361D">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AD1086" w:rsidRPr="007C361D" w:rsidTr="00FC55BB">
        <w:trPr>
          <w:cantSplit/>
        </w:trPr>
        <w:tc>
          <w:tcPr>
            <w:tcW w:w="1101" w:type="dxa"/>
          </w:tcPr>
          <w:p w:rsidR="00AD1086" w:rsidRPr="007C361D" w:rsidRDefault="00AD1086" w:rsidP="004E7C24">
            <w:pPr>
              <w:rPr>
                <w:b/>
                <w:sz w:val="18"/>
                <w:szCs w:val="18"/>
              </w:rPr>
            </w:pPr>
            <w:r w:rsidRPr="007C361D">
              <w:rPr>
                <w:b/>
                <w:sz w:val="18"/>
                <w:szCs w:val="18"/>
              </w:rPr>
              <w:t>Item 5</w:t>
            </w:r>
          </w:p>
        </w:tc>
        <w:tc>
          <w:tcPr>
            <w:tcW w:w="7421" w:type="dxa"/>
          </w:tcPr>
          <w:p w:rsidR="00AD1086" w:rsidRPr="007C361D" w:rsidRDefault="00AD1086" w:rsidP="004E7C24">
            <w:pPr>
              <w:rPr>
                <w:b/>
                <w:sz w:val="18"/>
                <w:szCs w:val="18"/>
              </w:rPr>
            </w:pPr>
            <w:r w:rsidRPr="007C361D">
              <w:rPr>
                <w:b/>
                <w:sz w:val="18"/>
                <w:szCs w:val="18"/>
              </w:rPr>
              <w:t>$1 Copper, Aluminium and Nickel  Coin – G for George</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Reverse</w:t>
            </w:r>
          </w:p>
          <w:p w:rsidR="00AD1086" w:rsidRPr="007C361D" w:rsidRDefault="00AD1086" w:rsidP="004E7C24">
            <w:pPr>
              <w:pStyle w:val="TableText"/>
              <w:spacing w:beforeLines="20" w:before="48"/>
              <w:rPr>
                <w:sz w:val="18"/>
                <w:szCs w:val="18"/>
              </w:rPr>
            </w:pPr>
            <w:r w:rsidRPr="007C361D">
              <w:rPr>
                <w:sz w:val="18"/>
                <w:szCs w:val="18"/>
              </w:rPr>
              <w:t>A representation of a bomber. In the background, a central circle enclosing a stylised representations of bombs</w:t>
            </w:r>
            <w:r w:rsidR="002E6787" w:rsidRPr="007C361D">
              <w:rPr>
                <w:sz w:val="18"/>
                <w:szCs w:val="18"/>
              </w:rPr>
              <w:t xml:space="preserve"> and </w:t>
            </w:r>
            <w:r w:rsidRPr="007C361D">
              <w:rPr>
                <w:sz w:val="18"/>
                <w:szCs w:val="18"/>
              </w:rPr>
              <w:t xml:space="preserve">a flag. Surrounding the central circle, a circular border containing a circle of dots, an ornamental design element, an arrowhead and the numbers ‘140’, ‘160’, ‘180’, ‘200’ and ‘220’. The design also includes the </w:t>
            </w:r>
            <w:r w:rsidR="002E6787" w:rsidRPr="007C361D">
              <w:rPr>
                <w:sz w:val="18"/>
                <w:szCs w:val="18"/>
              </w:rPr>
              <w:t xml:space="preserve">an ornamental horizontal line, </w:t>
            </w:r>
            <w:r w:rsidRPr="007C361D">
              <w:rPr>
                <w:sz w:val="18"/>
                <w:szCs w:val="18"/>
              </w:rPr>
              <w:t>inscriptions ‘G for GEORGE’, ‘FROM’, ‘1942’, ‘MISSIONS’, ‘90’, ‘TO’, ‘1944’, ‘ONE DOLLAR’ and the initials of the designer Aleksandra Stokic ‘AS’.</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Obverse</w:t>
            </w:r>
          </w:p>
          <w:p w:rsidR="00AD1086" w:rsidRPr="007C361D" w:rsidRDefault="00AD1086" w:rsidP="004E7C24">
            <w:pPr>
              <w:rPr>
                <w:b/>
                <w:sz w:val="18"/>
                <w:szCs w:val="18"/>
              </w:rPr>
            </w:pPr>
            <w:r w:rsidRPr="007C361D">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AD1086" w:rsidRPr="007C361D" w:rsidTr="00FC55BB">
        <w:trPr>
          <w:cantSplit/>
        </w:trPr>
        <w:tc>
          <w:tcPr>
            <w:tcW w:w="1101" w:type="dxa"/>
          </w:tcPr>
          <w:p w:rsidR="00AD1086" w:rsidRPr="007C361D" w:rsidRDefault="00AD1086" w:rsidP="00BB5005">
            <w:pPr>
              <w:rPr>
                <w:b/>
                <w:sz w:val="18"/>
                <w:szCs w:val="18"/>
              </w:rPr>
            </w:pPr>
            <w:r w:rsidRPr="007C361D">
              <w:rPr>
                <w:b/>
                <w:sz w:val="18"/>
                <w:szCs w:val="18"/>
              </w:rPr>
              <w:t>Item 6</w:t>
            </w:r>
          </w:p>
        </w:tc>
        <w:tc>
          <w:tcPr>
            <w:tcW w:w="7421" w:type="dxa"/>
          </w:tcPr>
          <w:p w:rsidR="00AD1086" w:rsidRPr="007C361D" w:rsidRDefault="00AD1086" w:rsidP="004E7C24">
            <w:pPr>
              <w:rPr>
                <w:b/>
                <w:sz w:val="18"/>
                <w:szCs w:val="18"/>
              </w:rPr>
            </w:pPr>
            <w:r w:rsidRPr="007C361D">
              <w:rPr>
                <w:b/>
                <w:sz w:val="18"/>
                <w:szCs w:val="18"/>
              </w:rPr>
              <w:t xml:space="preserve">$1 Silver Coin – Centenary of the First AIF </w:t>
            </w:r>
            <w:r w:rsidR="00C3761F" w:rsidRPr="007C361D">
              <w:rPr>
                <w:b/>
                <w:sz w:val="18"/>
                <w:szCs w:val="18"/>
              </w:rPr>
              <w:t>Convoy</w:t>
            </w:r>
          </w:p>
          <w:p w:rsidR="00AD1086" w:rsidRPr="007C361D" w:rsidRDefault="00AD1086" w:rsidP="004E7C24">
            <w:pPr>
              <w:rPr>
                <w:b/>
                <w:sz w:val="18"/>
                <w:szCs w:val="18"/>
              </w:rPr>
            </w:pPr>
            <w:r w:rsidRPr="007C361D">
              <w:rPr>
                <w:b/>
                <w:sz w:val="18"/>
                <w:szCs w:val="18"/>
              </w:rPr>
              <w:t>Reverse</w:t>
            </w:r>
          </w:p>
          <w:p w:rsidR="00AD1086" w:rsidRPr="007C361D" w:rsidRDefault="00AD1086" w:rsidP="004E7C24">
            <w:pPr>
              <w:pStyle w:val="TableText"/>
              <w:spacing w:beforeLines="20" w:before="48"/>
              <w:rPr>
                <w:b/>
                <w:sz w:val="18"/>
                <w:szCs w:val="18"/>
              </w:rPr>
            </w:pPr>
            <w:r w:rsidRPr="007C361D">
              <w:rPr>
                <w:sz w:val="18"/>
                <w:szCs w:val="18"/>
              </w:rPr>
              <w:t>In the upp</w:t>
            </w:r>
            <w:r w:rsidR="001A359B">
              <w:rPr>
                <w:sz w:val="18"/>
                <w:szCs w:val="18"/>
              </w:rPr>
              <w:t>er sector, a representation of 39</w:t>
            </w:r>
            <w:r w:rsidRPr="007C361D">
              <w:rPr>
                <w:sz w:val="18"/>
                <w:szCs w:val="18"/>
              </w:rPr>
              <w:t xml:space="preserve"> ships and a line drawing representation of a soldier riding a horse. In the lower sector, a representation of soldiers positioned in 3 rows and facing left. The design includes the inscriptions ‘FROM ALBANY TO EGYPT’</w:t>
            </w:r>
            <w:r w:rsidR="00646F1D">
              <w:rPr>
                <w:sz w:val="18"/>
                <w:szCs w:val="18"/>
              </w:rPr>
              <w:t xml:space="preserve">, </w:t>
            </w:r>
            <w:r w:rsidR="00C3761F" w:rsidRPr="007C361D">
              <w:rPr>
                <w:sz w:val="18"/>
                <w:szCs w:val="18"/>
              </w:rPr>
              <w:t>‘CENTENARY OF THE FIRST AIF CONVOY</w:t>
            </w:r>
            <w:r w:rsidRPr="007C361D">
              <w:rPr>
                <w:sz w:val="18"/>
                <w:szCs w:val="18"/>
              </w:rPr>
              <w:t>’</w:t>
            </w:r>
            <w:r w:rsidR="00646F1D">
              <w:rPr>
                <w:sz w:val="18"/>
                <w:szCs w:val="18"/>
              </w:rPr>
              <w:t xml:space="preserve"> and </w:t>
            </w:r>
            <w:r w:rsidR="00646F1D" w:rsidRPr="007C361D">
              <w:rPr>
                <w:sz w:val="18"/>
                <w:szCs w:val="18"/>
              </w:rPr>
              <w:t>the initials of the designer Wojciech Pietranic ‘WP’</w:t>
            </w:r>
            <w:r w:rsidR="00646F1D">
              <w:rPr>
                <w:sz w:val="18"/>
                <w:szCs w:val="18"/>
              </w:rPr>
              <w:t>.</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Obverse</w:t>
            </w:r>
          </w:p>
          <w:p w:rsidR="00AD1086" w:rsidRPr="007C361D" w:rsidRDefault="00AD1086" w:rsidP="004E7C24">
            <w:pPr>
              <w:rPr>
                <w:b/>
                <w:sz w:val="18"/>
                <w:szCs w:val="18"/>
              </w:rPr>
            </w:pPr>
            <w:r w:rsidRPr="007C361D">
              <w:rPr>
                <w:sz w:val="18"/>
                <w:szCs w:val="18"/>
              </w:rPr>
              <w:t>Consistent with all Australian legal tender coinage, an effigy of Her Majesty Queen Elizabeth II will appear on the obverse side of the coin together with the inscriptions ‘ELIZABETH II’, ‘AUSTRALIA’, ‘1 DOLLAR’, 2 representations of a dot and the inscription, in numerals, of a year. The obverse design includes the initials of the designer Ian Rank-Broadley ‘IRB’.</w:t>
            </w:r>
          </w:p>
        </w:tc>
      </w:tr>
      <w:tr w:rsidR="00AD1086" w:rsidRPr="007C361D" w:rsidTr="00FC55BB">
        <w:trPr>
          <w:cantSplit/>
        </w:trPr>
        <w:tc>
          <w:tcPr>
            <w:tcW w:w="1101" w:type="dxa"/>
          </w:tcPr>
          <w:p w:rsidR="00AD1086" w:rsidRPr="007C361D" w:rsidRDefault="00AD1086" w:rsidP="00C80D8B">
            <w:pPr>
              <w:rPr>
                <w:b/>
                <w:sz w:val="18"/>
                <w:szCs w:val="18"/>
              </w:rPr>
            </w:pPr>
            <w:r w:rsidRPr="007C361D">
              <w:rPr>
                <w:b/>
                <w:sz w:val="18"/>
                <w:szCs w:val="18"/>
              </w:rPr>
              <w:t xml:space="preserve">Item 7 </w:t>
            </w:r>
          </w:p>
        </w:tc>
        <w:tc>
          <w:tcPr>
            <w:tcW w:w="7421" w:type="dxa"/>
          </w:tcPr>
          <w:p w:rsidR="00AD1086" w:rsidRPr="007C361D" w:rsidRDefault="00AD1086" w:rsidP="004E7C24">
            <w:pPr>
              <w:rPr>
                <w:b/>
                <w:sz w:val="18"/>
                <w:szCs w:val="18"/>
              </w:rPr>
            </w:pPr>
            <w:r w:rsidRPr="007C361D">
              <w:rPr>
                <w:b/>
                <w:sz w:val="18"/>
                <w:szCs w:val="18"/>
              </w:rPr>
              <w:t>$10 Gold Coin – Centenary of the F</w:t>
            </w:r>
            <w:r w:rsidR="00C3761F" w:rsidRPr="007C361D">
              <w:rPr>
                <w:b/>
                <w:sz w:val="18"/>
                <w:szCs w:val="18"/>
              </w:rPr>
              <w:t>irst AIF Convoy</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Reverse</w:t>
            </w:r>
          </w:p>
          <w:p w:rsidR="00AD1086" w:rsidRPr="007C361D" w:rsidRDefault="00AD1086" w:rsidP="004E7C24">
            <w:pPr>
              <w:pStyle w:val="TableText"/>
              <w:spacing w:beforeLines="20" w:before="48"/>
              <w:rPr>
                <w:b/>
                <w:sz w:val="18"/>
                <w:szCs w:val="18"/>
              </w:rPr>
            </w:pPr>
            <w:r w:rsidRPr="007C361D">
              <w:rPr>
                <w:sz w:val="18"/>
                <w:szCs w:val="18"/>
              </w:rPr>
              <w:t xml:space="preserve">In the upper sector, a representation of </w:t>
            </w:r>
            <w:r w:rsidR="001A359B">
              <w:rPr>
                <w:sz w:val="18"/>
                <w:szCs w:val="18"/>
              </w:rPr>
              <w:t>39</w:t>
            </w:r>
            <w:r w:rsidRPr="007C361D">
              <w:rPr>
                <w:sz w:val="18"/>
                <w:szCs w:val="18"/>
              </w:rPr>
              <w:t xml:space="preserve"> ships and a line drawing representation of a soldier riding a horse. In the lower sector, a representation of soldiers positioned in 3 rows and facing left. The design includes the inscriptions ‘FROM ALBANY TO EGYPT’</w:t>
            </w:r>
            <w:r w:rsidR="00646F1D">
              <w:rPr>
                <w:sz w:val="18"/>
                <w:szCs w:val="18"/>
              </w:rPr>
              <w:t xml:space="preserve">, </w:t>
            </w:r>
            <w:r w:rsidRPr="007C361D">
              <w:rPr>
                <w:sz w:val="18"/>
                <w:szCs w:val="18"/>
              </w:rPr>
              <w:t>‘CENTENARY OF THE FIRST AIF CONVOY’</w:t>
            </w:r>
            <w:r w:rsidR="00646F1D">
              <w:rPr>
                <w:sz w:val="18"/>
                <w:szCs w:val="18"/>
              </w:rPr>
              <w:t xml:space="preserve"> and </w:t>
            </w:r>
            <w:r w:rsidR="00646F1D" w:rsidRPr="007C361D">
              <w:rPr>
                <w:sz w:val="18"/>
                <w:szCs w:val="18"/>
              </w:rPr>
              <w:t>the initials of the designer Wojciech Pietranic ‘WP’</w:t>
            </w:r>
            <w:r w:rsidR="00646F1D">
              <w:rPr>
                <w:sz w:val="18"/>
                <w:szCs w:val="18"/>
              </w:rPr>
              <w:t>.</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Obverse</w:t>
            </w:r>
          </w:p>
          <w:p w:rsidR="00AD1086" w:rsidRPr="007C361D" w:rsidRDefault="00AD1086" w:rsidP="004E7C24">
            <w:pPr>
              <w:rPr>
                <w:b/>
                <w:sz w:val="18"/>
                <w:szCs w:val="18"/>
              </w:rPr>
            </w:pPr>
            <w:r w:rsidRPr="007C361D">
              <w:rPr>
                <w:sz w:val="18"/>
                <w:szCs w:val="18"/>
              </w:rPr>
              <w:t>Consistent with all Australian legal tender coinage, an effigy of Her Majesty Queen Elizabeth II will appear on the obverse side of the coin together with the inscriptions ‘ELIZABETH II’, ‘AUSTRALIA’, ‘10 DOLLARS’, 2 representations of a dot and the inscription, in numerals, of a year. The obverse design includes the initials of the designer Ian Rank-Broadley ‘IRB’.</w:t>
            </w:r>
          </w:p>
        </w:tc>
      </w:tr>
      <w:tr w:rsidR="00AD1086" w:rsidRPr="007C361D" w:rsidTr="00FC55BB">
        <w:trPr>
          <w:cantSplit/>
        </w:trPr>
        <w:tc>
          <w:tcPr>
            <w:tcW w:w="1101" w:type="dxa"/>
          </w:tcPr>
          <w:p w:rsidR="00AD1086" w:rsidRPr="007C361D" w:rsidRDefault="00AD1086" w:rsidP="00C80D8B">
            <w:pPr>
              <w:rPr>
                <w:b/>
                <w:sz w:val="18"/>
                <w:szCs w:val="18"/>
              </w:rPr>
            </w:pPr>
            <w:r w:rsidRPr="007C361D">
              <w:rPr>
                <w:b/>
                <w:sz w:val="18"/>
                <w:szCs w:val="18"/>
              </w:rPr>
              <w:lastRenderedPageBreak/>
              <w:t>Items 9</w:t>
            </w:r>
          </w:p>
        </w:tc>
        <w:tc>
          <w:tcPr>
            <w:tcW w:w="7421" w:type="dxa"/>
          </w:tcPr>
          <w:p w:rsidR="00AD1086" w:rsidRPr="007C361D" w:rsidRDefault="00AD1086" w:rsidP="004E7C24">
            <w:pPr>
              <w:rPr>
                <w:b/>
                <w:sz w:val="18"/>
                <w:szCs w:val="18"/>
              </w:rPr>
            </w:pPr>
            <w:r w:rsidRPr="007C361D">
              <w:rPr>
                <w:b/>
                <w:sz w:val="18"/>
                <w:szCs w:val="18"/>
              </w:rPr>
              <w:t>$1 Copper, Aluminium and Nickel  Coin – Cuckoo Wasp</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Reverse</w:t>
            </w:r>
          </w:p>
          <w:p w:rsidR="00AD1086" w:rsidRPr="007C361D" w:rsidRDefault="00AD1086" w:rsidP="00052331">
            <w:pPr>
              <w:pStyle w:val="TableText"/>
              <w:spacing w:before="0"/>
              <w:ind w:left="33" w:hanging="33"/>
              <w:rPr>
                <w:sz w:val="18"/>
                <w:szCs w:val="18"/>
              </w:rPr>
            </w:pPr>
            <w:r w:rsidRPr="007C361D">
              <w:rPr>
                <w:sz w:val="18"/>
                <w:szCs w:val="18"/>
              </w:rPr>
              <w:t xml:space="preserve">A </w:t>
            </w:r>
            <w:r w:rsidR="00052331" w:rsidRPr="007C361D">
              <w:rPr>
                <w:sz w:val="18"/>
                <w:szCs w:val="18"/>
              </w:rPr>
              <w:t xml:space="preserve">representation of a wasp nest containing eggs, a larva, pupae and a spider. The design features a coloured image of a wasp and includes </w:t>
            </w:r>
            <w:r w:rsidR="00F0143A" w:rsidRPr="007C361D">
              <w:rPr>
                <w:sz w:val="18"/>
                <w:szCs w:val="18"/>
              </w:rPr>
              <w:t>the inscription ‘1 DOLLAR’</w:t>
            </w:r>
            <w:r w:rsidR="00646F1D">
              <w:rPr>
                <w:sz w:val="18"/>
                <w:szCs w:val="18"/>
              </w:rPr>
              <w:t xml:space="preserve"> and </w:t>
            </w:r>
            <w:r w:rsidR="00646F1D" w:rsidRPr="007C361D">
              <w:rPr>
                <w:sz w:val="18"/>
                <w:szCs w:val="18"/>
              </w:rPr>
              <w:t>a stylised representation of the designer’s initials ‘AB’</w:t>
            </w:r>
            <w:r w:rsidR="00646F1D">
              <w:rPr>
                <w:sz w:val="18"/>
                <w:szCs w:val="18"/>
              </w:rPr>
              <w:t>.</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Obverse</w:t>
            </w:r>
          </w:p>
          <w:p w:rsidR="00AD1086" w:rsidRPr="007C361D" w:rsidRDefault="00AD1086" w:rsidP="004E7C24">
            <w:pPr>
              <w:rPr>
                <w:b/>
                <w:sz w:val="18"/>
                <w:szCs w:val="18"/>
              </w:rPr>
            </w:pPr>
            <w:r w:rsidRPr="007C361D">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r w:rsidR="00AD1086" w:rsidRPr="007C361D" w:rsidTr="00FC55BB">
        <w:trPr>
          <w:cantSplit/>
        </w:trPr>
        <w:tc>
          <w:tcPr>
            <w:tcW w:w="1101" w:type="dxa"/>
          </w:tcPr>
          <w:p w:rsidR="00AD1086" w:rsidRPr="007C361D" w:rsidRDefault="00AD1086" w:rsidP="004E7C24">
            <w:pPr>
              <w:rPr>
                <w:b/>
                <w:sz w:val="18"/>
                <w:szCs w:val="18"/>
              </w:rPr>
            </w:pPr>
            <w:r w:rsidRPr="007C361D">
              <w:rPr>
                <w:b/>
                <w:sz w:val="18"/>
                <w:szCs w:val="18"/>
              </w:rPr>
              <w:t>Item 10</w:t>
            </w:r>
          </w:p>
        </w:tc>
        <w:tc>
          <w:tcPr>
            <w:tcW w:w="7421" w:type="dxa"/>
          </w:tcPr>
          <w:p w:rsidR="00AD1086" w:rsidRPr="007C361D" w:rsidRDefault="00AD1086" w:rsidP="004E7C24">
            <w:pPr>
              <w:rPr>
                <w:b/>
                <w:sz w:val="18"/>
                <w:szCs w:val="18"/>
              </w:rPr>
            </w:pPr>
            <w:r w:rsidRPr="007C361D">
              <w:rPr>
                <w:b/>
                <w:sz w:val="18"/>
                <w:szCs w:val="18"/>
              </w:rPr>
              <w:t>$1 Copper, Aluminium and Nickel  Coin – Rainbow Stag Beetle</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Reverse</w:t>
            </w:r>
          </w:p>
          <w:p w:rsidR="00AD1086" w:rsidRPr="007C361D" w:rsidRDefault="00F0143A" w:rsidP="00F0143A">
            <w:pPr>
              <w:pStyle w:val="TableText"/>
              <w:tabs>
                <w:tab w:val="left" w:pos="458"/>
              </w:tabs>
              <w:spacing w:before="0"/>
              <w:rPr>
                <w:sz w:val="18"/>
                <w:szCs w:val="18"/>
              </w:rPr>
            </w:pPr>
            <w:r w:rsidRPr="007C361D">
              <w:rPr>
                <w:sz w:val="18"/>
                <w:szCs w:val="18"/>
              </w:rPr>
              <w:t>The design features a coloured image of a beetle. The background contains a representation of a cross-section of a log containing a larva. Positioned over the log is a representation of two beetles fighting among soil and vegetation. The design includes the inscription ‘1 DOLLAR’ and a stylised representation of the designer’s initials ‘AB’.</w:t>
            </w:r>
          </w:p>
          <w:p w:rsidR="00AD1086" w:rsidRPr="007C361D" w:rsidRDefault="00AD1086" w:rsidP="004E7C24">
            <w:pPr>
              <w:rPr>
                <w:b/>
                <w:sz w:val="18"/>
                <w:szCs w:val="18"/>
              </w:rPr>
            </w:pPr>
          </w:p>
          <w:p w:rsidR="00AD1086" w:rsidRPr="007C361D" w:rsidRDefault="00AD1086" w:rsidP="004E7C24">
            <w:pPr>
              <w:rPr>
                <w:b/>
                <w:sz w:val="18"/>
                <w:szCs w:val="18"/>
              </w:rPr>
            </w:pPr>
            <w:r w:rsidRPr="007C361D">
              <w:rPr>
                <w:b/>
                <w:sz w:val="18"/>
                <w:szCs w:val="18"/>
              </w:rPr>
              <w:t>Obverse</w:t>
            </w:r>
          </w:p>
          <w:p w:rsidR="00AD1086" w:rsidRPr="007C361D" w:rsidRDefault="00AD1086" w:rsidP="004E7C24">
            <w:pPr>
              <w:rPr>
                <w:b/>
                <w:color w:val="FF0000"/>
                <w:sz w:val="18"/>
                <w:szCs w:val="18"/>
              </w:rPr>
            </w:pPr>
            <w:r w:rsidRPr="007C361D">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Rank-Broadley ‘IRB’.</w:t>
            </w:r>
          </w:p>
        </w:tc>
      </w:tr>
    </w:tbl>
    <w:p w:rsidR="00BA3418" w:rsidRDefault="00BA3418" w:rsidP="002D65C3">
      <w:pPr>
        <w:outlineLvl w:val="0"/>
        <w:rPr>
          <w:b/>
          <w:bCs/>
          <w:sz w:val="24"/>
          <w:szCs w:val="24"/>
        </w:rPr>
      </w:pPr>
    </w:p>
    <w:p w:rsidR="00BA3418" w:rsidRDefault="00BA3418" w:rsidP="002D65C3">
      <w:pPr>
        <w:outlineLvl w:val="0"/>
        <w:rPr>
          <w:b/>
          <w:bCs/>
          <w:sz w:val="24"/>
          <w:szCs w:val="24"/>
        </w:rPr>
      </w:pPr>
    </w:p>
    <w:p w:rsidR="002D65C3" w:rsidRPr="00651F58" w:rsidRDefault="002D65C3" w:rsidP="002D65C3">
      <w:pPr>
        <w:outlineLvl w:val="0"/>
        <w:rPr>
          <w:b/>
          <w:bCs/>
          <w:sz w:val="24"/>
          <w:szCs w:val="24"/>
        </w:rPr>
      </w:pPr>
      <w:r w:rsidRPr="00651F58">
        <w:rPr>
          <w:b/>
          <w:bCs/>
          <w:sz w:val="24"/>
          <w:szCs w:val="24"/>
        </w:rPr>
        <w:t>Consultation</w:t>
      </w:r>
    </w:p>
    <w:p w:rsidR="002D65C3" w:rsidRPr="00651F58" w:rsidRDefault="002D65C3" w:rsidP="002D65C3">
      <w:pPr>
        <w:rPr>
          <w:sz w:val="24"/>
          <w:szCs w:val="24"/>
        </w:rPr>
      </w:pPr>
      <w:r>
        <w:rPr>
          <w:sz w:val="24"/>
          <w:szCs w:val="24"/>
        </w:rPr>
        <w:br/>
      </w:r>
      <w:r w:rsidRPr="00651F58">
        <w:rPr>
          <w:sz w:val="24"/>
          <w:szCs w:val="24"/>
        </w:rPr>
        <w:t xml:space="preserve">No public consultation was undertaken in relation to the currency determination. The effect of this instrument is to determine the weight, design and dimension of coins to enable the Royal Australian Mint to continue its production of circulating and numismatic coins. The Mint receives public submissions on coin designs and determines appropriate designs in accordance with its Coin Design Policy. The Mint used market based tools to identify interested parties and gauge interest in coin themes. </w:t>
      </w:r>
    </w:p>
    <w:p w:rsidR="002D65C3" w:rsidRPr="00651F58" w:rsidRDefault="002D65C3" w:rsidP="002D65C3">
      <w:pPr>
        <w:rPr>
          <w:sz w:val="24"/>
          <w:szCs w:val="24"/>
        </w:rPr>
      </w:pPr>
    </w:p>
    <w:p w:rsidR="004368EE" w:rsidRDefault="004368EE" w:rsidP="002D65C3">
      <w:pPr>
        <w:outlineLvl w:val="0"/>
        <w:rPr>
          <w:b/>
          <w:sz w:val="24"/>
          <w:szCs w:val="24"/>
        </w:rPr>
      </w:pPr>
    </w:p>
    <w:p w:rsidR="002D65C3" w:rsidRPr="00651F58" w:rsidRDefault="002D65C3" w:rsidP="002D65C3">
      <w:pPr>
        <w:outlineLvl w:val="0"/>
        <w:rPr>
          <w:b/>
          <w:sz w:val="24"/>
          <w:szCs w:val="24"/>
        </w:rPr>
      </w:pPr>
      <w:r w:rsidRPr="00651F58">
        <w:rPr>
          <w:b/>
          <w:sz w:val="24"/>
          <w:szCs w:val="24"/>
        </w:rPr>
        <w:t>Commencement</w:t>
      </w:r>
    </w:p>
    <w:p w:rsidR="002D65C3" w:rsidRPr="00651F58" w:rsidRDefault="002D65C3" w:rsidP="002D65C3">
      <w:pPr>
        <w:outlineLvl w:val="0"/>
        <w:rPr>
          <w:b/>
          <w:sz w:val="24"/>
          <w:szCs w:val="24"/>
        </w:rPr>
      </w:pPr>
      <w:r>
        <w:rPr>
          <w:sz w:val="24"/>
          <w:szCs w:val="24"/>
        </w:rPr>
        <w:br/>
      </w:r>
      <w:r w:rsidRPr="00651F58">
        <w:rPr>
          <w:sz w:val="24"/>
          <w:szCs w:val="24"/>
        </w:rPr>
        <w:t>The determination commences on the day after it is registered.</w:t>
      </w:r>
      <w:r w:rsidRPr="00651F58">
        <w:rPr>
          <w:b/>
          <w:sz w:val="24"/>
          <w:szCs w:val="24"/>
        </w:rPr>
        <w:t xml:space="preserve"> </w:t>
      </w:r>
    </w:p>
    <w:p w:rsidR="000D7267" w:rsidRDefault="000D7267" w:rsidP="002D65C3">
      <w:pPr>
        <w:rPr>
          <w:b/>
          <w:sz w:val="24"/>
          <w:szCs w:val="24"/>
        </w:rPr>
      </w:pPr>
    </w:p>
    <w:p w:rsidR="002D65C3" w:rsidRPr="00651F58" w:rsidRDefault="002D65C3" w:rsidP="002D65C3">
      <w:pPr>
        <w:rPr>
          <w:b/>
          <w:sz w:val="24"/>
          <w:szCs w:val="24"/>
        </w:rPr>
      </w:pPr>
      <w:r w:rsidRPr="00651F58">
        <w:rPr>
          <w:b/>
          <w:sz w:val="24"/>
          <w:szCs w:val="24"/>
        </w:rPr>
        <w:t>Statement of Compatibility with Human Rights</w:t>
      </w:r>
    </w:p>
    <w:p w:rsidR="00402857" w:rsidRPr="002D65C3" w:rsidRDefault="002D65C3" w:rsidP="002D65C3">
      <w:r>
        <w:rPr>
          <w:sz w:val="24"/>
          <w:szCs w:val="24"/>
        </w:rPr>
        <w:br/>
      </w:r>
      <w:r w:rsidRPr="00651F58">
        <w:rPr>
          <w:sz w:val="24"/>
          <w:szCs w:val="24"/>
        </w:rPr>
        <w:t xml:space="preserve">This instrument is compatible with the human rights and freedoms recognised or declared in the international instruments listed in section 3 of the </w:t>
      </w:r>
      <w:r w:rsidRPr="00651F58">
        <w:rPr>
          <w:i/>
          <w:sz w:val="24"/>
          <w:szCs w:val="24"/>
        </w:rPr>
        <w:t>Human Rights (Parliamentary Scrutiny) Act 2011</w:t>
      </w:r>
      <w:r w:rsidRPr="00651F58">
        <w:rPr>
          <w:sz w:val="24"/>
          <w:szCs w:val="24"/>
        </w:rPr>
        <w:t>. The purpose of</w:t>
      </w:r>
      <w:r w:rsidRPr="00A028DB">
        <w:rPr>
          <w:sz w:val="24"/>
          <w:szCs w:val="24"/>
        </w:rPr>
        <w:t xml:space="preserve"> the </w:t>
      </w:r>
      <w:r w:rsidRPr="00A028DB">
        <w:rPr>
          <w:i/>
          <w:sz w:val="24"/>
          <w:szCs w:val="24"/>
        </w:rPr>
        <w:t>Currency (Royal Australian Mint) Determination 201</w:t>
      </w:r>
      <w:r w:rsidR="00253E12">
        <w:rPr>
          <w:i/>
          <w:sz w:val="24"/>
          <w:szCs w:val="24"/>
        </w:rPr>
        <w:t>4</w:t>
      </w:r>
      <w:r w:rsidR="005B48C0" w:rsidRPr="00A028DB">
        <w:rPr>
          <w:i/>
          <w:sz w:val="24"/>
          <w:szCs w:val="24"/>
        </w:rPr>
        <w:t xml:space="preserve"> (No. </w:t>
      </w:r>
      <w:r w:rsidR="00253E12">
        <w:rPr>
          <w:i/>
          <w:sz w:val="24"/>
          <w:szCs w:val="24"/>
        </w:rPr>
        <w:t>1</w:t>
      </w:r>
      <w:r w:rsidRPr="00A028DB">
        <w:rPr>
          <w:i/>
          <w:sz w:val="24"/>
          <w:szCs w:val="24"/>
        </w:rPr>
        <w:t>)</w:t>
      </w:r>
      <w:r w:rsidRPr="00651F58">
        <w:rPr>
          <w:sz w:val="24"/>
          <w:szCs w:val="24"/>
        </w:rPr>
        <w:t xml:space="preserve"> is to determine the weight, design and dimension of circulating and numismatic coins. This instrument does not engage any of the applicable rights or freedoms. This instrument is compatible with human rights as it does not raise any human rights issues. This determination has been made by the Parliamentary Secretary to the Treasurer, </w:t>
      </w:r>
      <w:r w:rsidR="00BA3418">
        <w:rPr>
          <w:sz w:val="24"/>
          <w:szCs w:val="24"/>
        </w:rPr>
        <w:t>Steven Ciobo</w:t>
      </w:r>
      <w:r w:rsidRPr="00651F58">
        <w:rPr>
          <w:sz w:val="24"/>
          <w:szCs w:val="24"/>
        </w:rPr>
        <w:t xml:space="preserve">, in accordance with subsection 13A (1) of the </w:t>
      </w:r>
      <w:r w:rsidRPr="00651F58">
        <w:rPr>
          <w:i/>
          <w:sz w:val="24"/>
          <w:szCs w:val="24"/>
        </w:rPr>
        <w:t>Currency Act 1965.</w:t>
      </w:r>
    </w:p>
    <w:sectPr w:rsidR="00402857" w:rsidRPr="002D65C3" w:rsidSect="00B9515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99" w:rsidRDefault="006A5599">
      <w:r>
        <w:separator/>
      </w:r>
    </w:p>
  </w:endnote>
  <w:endnote w:type="continuationSeparator" w:id="0">
    <w:p w:rsidR="006A5599" w:rsidRDefault="006A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99" w:rsidRDefault="006A5599" w:rsidP="00CA4223">
    <w:pPr>
      <w:pStyle w:val="Subtitle"/>
      <w:spacing w:before="20"/>
      <w:rPr>
        <w:rFonts w:ascii="Arial" w:hAnsi="Arial" w:cs="Arial"/>
        <w:b w:val="0"/>
        <w:i/>
        <w:sz w:val="18"/>
        <w:szCs w:val="18"/>
      </w:rPr>
    </w:pPr>
    <w:r w:rsidRPr="00CA4223">
      <w:rPr>
        <w:rFonts w:ascii="Arial" w:hAnsi="Arial" w:cs="Arial"/>
        <w:b w:val="0"/>
        <w:i/>
        <w:sz w:val="18"/>
        <w:szCs w:val="18"/>
      </w:rPr>
      <w:tab/>
    </w:r>
  </w:p>
  <w:p w:rsidR="006A5599" w:rsidRPr="00CA4223" w:rsidRDefault="006A5599" w:rsidP="00CA4223">
    <w:pPr>
      <w:pStyle w:val="Subtitle"/>
      <w:spacing w:before="20"/>
      <w:rPr>
        <w:rFonts w:ascii="Arial" w:hAnsi="Arial" w:cs="Arial"/>
        <w:i/>
        <w:sz w:val="18"/>
        <w:szCs w:val="18"/>
      </w:rPr>
    </w:pPr>
    <w:r w:rsidRPr="00CA4223">
      <w:rPr>
        <w:rFonts w:ascii="Arial" w:hAnsi="Arial" w:cs="Arial"/>
        <w:i/>
        <w:sz w:val="18"/>
        <w:szCs w:val="18"/>
      </w:rPr>
      <w:t>Explanatory Statement</w:t>
    </w:r>
  </w:p>
  <w:p w:rsidR="006A5599" w:rsidRPr="00CA4223" w:rsidRDefault="006A5599" w:rsidP="00CA4223">
    <w:pPr>
      <w:pStyle w:val="Subtitle"/>
      <w:spacing w:before="20"/>
      <w:rPr>
        <w:rFonts w:ascii="Arial" w:hAnsi="Arial" w:cs="Arial"/>
        <w:b w:val="0"/>
        <w:i/>
        <w:sz w:val="18"/>
        <w:szCs w:val="18"/>
      </w:rPr>
    </w:pPr>
    <w:r w:rsidRPr="00CA4223">
      <w:rPr>
        <w:rFonts w:ascii="Arial" w:hAnsi="Arial" w:cs="Arial"/>
        <w:i/>
        <w:sz w:val="18"/>
        <w:szCs w:val="18"/>
      </w:rPr>
      <w:t>Currency Act 1965 - Currency (Royal Australian Mint) Determination 201</w:t>
    </w:r>
    <w:r w:rsidR="00253E12">
      <w:rPr>
        <w:rFonts w:ascii="Arial" w:hAnsi="Arial" w:cs="Arial"/>
        <w:i/>
        <w:sz w:val="18"/>
        <w:szCs w:val="18"/>
      </w:rPr>
      <w:t>4</w:t>
    </w:r>
    <w:r w:rsidRPr="00CA4223">
      <w:rPr>
        <w:rFonts w:ascii="Arial" w:hAnsi="Arial" w:cs="Arial"/>
        <w:i/>
        <w:sz w:val="18"/>
        <w:szCs w:val="18"/>
      </w:rPr>
      <w:t xml:space="preserve"> </w:t>
    </w:r>
    <w:r>
      <w:rPr>
        <w:rFonts w:ascii="Arial" w:hAnsi="Arial" w:cs="Arial"/>
        <w:i/>
        <w:sz w:val="18"/>
        <w:szCs w:val="18"/>
      </w:rPr>
      <w:t>(No.</w:t>
    </w:r>
    <w:r w:rsidR="00253E12">
      <w:rPr>
        <w:rFonts w:ascii="Arial" w:hAnsi="Arial" w:cs="Arial"/>
        <w:i/>
        <w:sz w:val="18"/>
        <w:szCs w:val="18"/>
      </w:rPr>
      <w:t xml:space="preserve"> 1</w:t>
    </w:r>
    <w:r w:rsidRPr="0028769D">
      <w:rPr>
        <w:rFonts w:ascii="Arial" w:hAnsi="Arial" w:cs="Arial"/>
        <w:i/>
        <w:sz w:val="18"/>
        <w:szCs w:val="18"/>
      </w:rPr>
      <w:t>)</w:t>
    </w:r>
  </w:p>
  <w:p w:rsidR="006A5599" w:rsidRDefault="006A5599" w:rsidP="0020400B">
    <w:pPr>
      <w:pStyle w:val="Footer"/>
      <w:jc w:val="right"/>
    </w:pPr>
    <w:r>
      <w:rPr>
        <w:rStyle w:val="PageNumber"/>
      </w:rPr>
      <w:fldChar w:fldCharType="begin"/>
    </w:r>
    <w:r>
      <w:rPr>
        <w:rStyle w:val="PageNumber"/>
      </w:rPr>
      <w:instrText xml:space="preserve"> PAGE </w:instrText>
    </w:r>
    <w:r>
      <w:rPr>
        <w:rStyle w:val="PageNumber"/>
      </w:rPr>
      <w:fldChar w:fldCharType="separate"/>
    </w:r>
    <w:r w:rsidR="00EE36B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99" w:rsidRDefault="006A5599">
      <w:r>
        <w:separator/>
      </w:r>
    </w:p>
  </w:footnote>
  <w:footnote w:type="continuationSeparator" w:id="0">
    <w:p w:rsidR="006A5599" w:rsidRDefault="006A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99" w:rsidRPr="002D62CE" w:rsidRDefault="006A5599" w:rsidP="002D62CE">
    <w:pPr>
      <w:pStyle w:val="Title"/>
      <w:jc w:val="right"/>
    </w:pPr>
    <w:r w:rsidRPr="002D62CE">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FFC7750"/>
    <w:multiLevelType w:val="hybridMultilevel"/>
    <w:tmpl w:val="DE980A22"/>
    <w:lvl w:ilvl="0" w:tplc="5BB24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6A1D2A"/>
    <w:multiLevelType w:val="hybridMultilevel"/>
    <w:tmpl w:val="22BCEFBA"/>
    <w:lvl w:ilvl="0" w:tplc="D710FC04">
      <w:start w:val="1"/>
      <w:numFmt w:val="lowerRoman"/>
      <w:lvlText w:val="(%1)"/>
      <w:lvlJc w:val="righ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E409A2"/>
    <w:multiLevelType w:val="hybridMultilevel"/>
    <w:tmpl w:val="F326881C"/>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95151EB"/>
    <w:multiLevelType w:val="hybridMultilevel"/>
    <w:tmpl w:val="EE8C1F7A"/>
    <w:lvl w:ilvl="0" w:tplc="CE24BDBC">
      <w:start w:val="1"/>
      <w:numFmt w:val="lowerLetter"/>
      <w:lvlText w:val="(%1)"/>
      <w:lvlJc w:val="left"/>
      <w:pPr>
        <w:ind w:left="720" w:hanging="360"/>
      </w:pPr>
      <w:rPr>
        <w:rFonts w:ascii="Times New Roman" w:eastAsia="Times New Roman" w:hAnsi="Times New Roman" w:cs="Times New Roman"/>
      </w:rPr>
    </w:lvl>
    <w:lvl w:ilvl="1" w:tplc="D710FC0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4194F45"/>
    <w:multiLevelType w:val="hybridMultilevel"/>
    <w:tmpl w:val="708E69E0"/>
    <w:lvl w:ilvl="0" w:tplc="5BB24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45E2D31"/>
    <w:multiLevelType w:val="hybridMultilevel"/>
    <w:tmpl w:val="FE1E8BFC"/>
    <w:lvl w:ilvl="0" w:tplc="D710FC04">
      <w:start w:val="1"/>
      <w:numFmt w:val="lowerRoman"/>
      <w:lvlText w:val="(%1)"/>
      <w:lvlJc w:val="righ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E50B31"/>
    <w:multiLevelType w:val="hybridMultilevel"/>
    <w:tmpl w:val="3E7C794E"/>
    <w:name w:val="StandardBulletedList2"/>
    <w:lvl w:ilvl="0" w:tplc="BE9011EA">
      <w:start w:val="1"/>
      <w:numFmt w:val="bullet"/>
      <w:lvlText w:val=""/>
      <w:lvlJc w:val="left"/>
      <w:pPr>
        <w:tabs>
          <w:tab w:val="num" w:pos="360"/>
        </w:tabs>
        <w:ind w:left="360" w:hanging="360"/>
      </w:pPr>
      <w:rPr>
        <w:rFonts w:ascii="Symbol" w:hAnsi="Symbol" w:hint="default"/>
        <w:sz w:val="16"/>
        <w:szCs w:val="16"/>
      </w:rPr>
    </w:lvl>
    <w:lvl w:ilvl="1" w:tplc="0C090001">
      <w:start w:val="1"/>
      <w:numFmt w:val="bullet"/>
      <w:lvlText w:val=""/>
      <w:lvlJc w:val="left"/>
      <w:pPr>
        <w:tabs>
          <w:tab w:val="num" w:pos="1080"/>
        </w:tabs>
        <w:ind w:left="1080" w:hanging="360"/>
      </w:pPr>
      <w:rPr>
        <w:rFonts w:ascii="Symbol" w:hAnsi="Symbol" w:hint="default"/>
        <w:sz w:val="16"/>
        <w:szCs w:val="16"/>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491317C3"/>
    <w:multiLevelType w:val="hybridMultilevel"/>
    <w:tmpl w:val="3CA88934"/>
    <w:lvl w:ilvl="0" w:tplc="D710FC0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3146B7B"/>
    <w:multiLevelType w:val="hybridMultilevel"/>
    <w:tmpl w:val="AED6E712"/>
    <w:lvl w:ilvl="0" w:tplc="A55C385C">
      <w:start w:val="1"/>
      <w:numFmt w:val="lowerRoman"/>
      <w:lvlText w:val="(%1)"/>
      <w:lvlJc w:val="left"/>
      <w:pPr>
        <w:ind w:left="1178" w:hanging="720"/>
      </w:pPr>
      <w:rPr>
        <w:rFonts w:hint="default"/>
      </w:r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12">
    <w:nsid w:val="53801ADC"/>
    <w:multiLevelType w:val="hybridMultilevel"/>
    <w:tmpl w:val="24C02C40"/>
    <w:lvl w:ilvl="0" w:tplc="79FA08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7BF782C"/>
    <w:multiLevelType w:val="hybridMultilevel"/>
    <w:tmpl w:val="F326881C"/>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0F682E"/>
    <w:multiLevelType w:val="hybridMultilevel"/>
    <w:tmpl w:val="8D9038A4"/>
    <w:lvl w:ilvl="0" w:tplc="4DDEC762">
      <w:start w:val="1"/>
      <w:numFmt w:val="lowerLetter"/>
      <w:lvlText w:val="(%1)"/>
      <w:lvlJc w:val="left"/>
      <w:pPr>
        <w:ind w:left="720" w:hanging="360"/>
      </w:pPr>
      <w:rPr>
        <w:rFonts w:hint="default"/>
      </w:rPr>
    </w:lvl>
    <w:lvl w:ilvl="1" w:tplc="D710FC0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85F629A"/>
    <w:multiLevelType w:val="hybridMultilevel"/>
    <w:tmpl w:val="874CD0A4"/>
    <w:lvl w:ilvl="0" w:tplc="6624F5F6">
      <w:start w:val="1"/>
      <w:numFmt w:val="lowerRoman"/>
      <w:lvlText w:val="(%1)"/>
      <w:lvlJc w:val="left"/>
      <w:pPr>
        <w:ind w:left="1178" w:hanging="720"/>
      </w:pPr>
      <w:rPr>
        <w:rFonts w:hint="default"/>
      </w:r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16">
    <w:nsid w:val="79CE20B7"/>
    <w:multiLevelType w:val="hybridMultilevel"/>
    <w:tmpl w:val="F326881C"/>
    <w:lvl w:ilvl="0" w:tplc="5BB24A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E4F62A8"/>
    <w:multiLevelType w:val="hybridMultilevel"/>
    <w:tmpl w:val="FE1E8BFC"/>
    <w:lvl w:ilvl="0" w:tplc="D710FC04">
      <w:start w:val="1"/>
      <w:numFmt w:val="lowerRoman"/>
      <w:lvlText w:val="(%1)"/>
      <w:lvlJc w:val="righ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3"/>
  </w:num>
  <w:num w:numId="5">
    <w:abstractNumId w:val="10"/>
  </w:num>
  <w:num w:numId="6">
    <w:abstractNumId w:val="17"/>
  </w:num>
  <w:num w:numId="7">
    <w:abstractNumId w:val="16"/>
  </w:num>
  <w:num w:numId="8">
    <w:abstractNumId w:val="7"/>
  </w:num>
  <w:num w:numId="9">
    <w:abstractNumId w:val="4"/>
  </w:num>
  <w:num w:numId="10">
    <w:abstractNumId w:val="2"/>
  </w:num>
  <w:num w:numId="11">
    <w:abstractNumId w:val="15"/>
  </w:num>
  <w:num w:numId="12">
    <w:abstractNumId w:val="11"/>
  </w:num>
  <w:num w:numId="13">
    <w:abstractNumId w:val="6"/>
  </w:num>
  <w:num w:numId="14">
    <w:abstractNumId w:val="12"/>
  </w:num>
  <w:num w:numId="15">
    <w:abstractNumId w:val="3"/>
  </w:num>
  <w:num w:numId="16">
    <w:abstractNumId w:val="14"/>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849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C64D2FC1-D3B4-4E0C-B30A-32B2E8D49469}"/>
    <w:docVar w:name="dgnword-eventsink" w:val="20838384"/>
  </w:docVars>
  <w:rsids>
    <w:rsidRoot w:val="009A2CCB"/>
    <w:rsid w:val="000008C6"/>
    <w:rsid w:val="00003890"/>
    <w:rsid w:val="00006FAE"/>
    <w:rsid w:val="00016755"/>
    <w:rsid w:val="00017C8A"/>
    <w:rsid w:val="0002612F"/>
    <w:rsid w:val="00027EE5"/>
    <w:rsid w:val="000305F0"/>
    <w:rsid w:val="00030888"/>
    <w:rsid w:val="00030ABE"/>
    <w:rsid w:val="000319D5"/>
    <w:rsid w:val="00040AD4"/>
    <w:rsid w:val="00041176"/>
    <w:rsid w:val="0004288E"/>
    <w:rsid w:val="00043142"/>
    <w:rsid w:val="00045F6E"/>
    <w:rsid w:val="00047482"/>
    <w:rsid w:val="00052331"/>
    <w:rsid w:val="00052FBC"/>
    <w:rsid w:val="00061B9C"/>
    <w:rsid w:val="00062C06"/>
    <w:rsid w:val="00066C35"/>
    <w:rsid w:val="00067D0F"/>
    <w:rsid w:val="00067D9D"/>
    <w:rsid w:val="00070116"/>
    <w:rsid w:val="0007069F"/>
    <w:rsid w:val="00073307"/>
    <w:rsid w:val="00080FF3"/>
    <w:rsid w:val="000859B5"/>
    <w:rsid w:val="00085C90"/>
    <w:rsid w:val="000903B8"/>
    <w:rsid w:val="00092628"/>
    <w:rsid w:val="00093654"/>
    <w:rsid w:val="00094955"/>
    <w:rsid w:val="00094E7B"/>
    <w:rsid w:val="000A15F5"/>
    <w:rsid w:val="000A224E"/>
    <w:rsid w:val="000A3774"/>
    <w:rsid w:val="000A6E71"/>
    <w:rsid w:val="000B451D"/>
    <w:rsid w:val="000B6B4E"/>
    <w:rsid w:val="000C10DF"/>
    <w:rsid w:val="000D008D"/>
    <w:rsid w:val="000D321F"/>
    <w:rsid w:val="000D377C"/>
    <w:rsid w:val="000D3A5E"/>
    <w:rsid w:val="000D4131"/>
    <w:rsid w:val="000D696F"/>
    <w:rsid w:val="000D7267"/>
    <w:rsid w:val="000D7463"/>
    <w:rsid w:val="000E25F5"/>
    <w:rsid w:val="000E32F1"/>
    <w:rsid w:val="000E6BD9"/>
    <w:rsid w:val="000E73DE"/>
    <w:rsid w:val="000E76B2"/>
    <w:rsid w:val="000E7C48"/>
    <w:rsid w:val="000E7F1D"/>
    <w:rsid w:val="000F10A5"/>
    <w:rsid w:val="000F1164"/>
    <w:rsid w:val="000F1A5A"/>
    <w:rsid w:val="000F3EFA"/>
    <w:rsid w:val="000F6FC2"/>
    <w:rsid w:val="00100AD5"/>
    <w:rsid w:val="001016F3"/>
    <w:rsid w:val="00101E12"/>
    <w:rsid w:val="00102FA4"/>
    <w:rsid w:val="0010529E"/>
    <w:rsid w:val="001060C3"/>
    <w:rsid w:val="001118CD"/>
    <w:rsid w:val="00112705"/>
    <w:rsid w:val="00112856"/>
    <w:rsid w:val="001137EE"/>
    <w:rsid w:val="001143BC"/>
    <w:rsid w:val="00114A66"/>
    <w:rsid w:val="00116A7B"/>
    <w:rsid w:val="00121024"/>
    <w:rsid w:val="0012230C"/>
    <w:rsid w:val="00124704"/>
    <w:rsid w:val="0012483A"/>
    <w:rsid w:val="00127C3C"/>
    <w:rsid w:val="001319FE"/>
    <w:rsid w:val="0013467A"/>
    <w:rsid w:val="001500A7"/>
    <w:rsid w:val="00151A46"/>
    <w:rsid w:val="00151B4D"/>
    <w:rsid w:val="001534A1"/>
    <w:rsid w:val="0015389E"/>
    <w:rsid w:val="0015397F"/>
    <w:rsid w:val="00153C01"/>
    <w:rsid w:val="001613FB"/>
    <w:rsid w:val="00161CAE"/>
    <w:rsid w:val="00161D58"/>
    <w:rsid w:val="00161FEA"/>
    <w:rsid w:val="00163F52"/>
    <w:rsid w:val="00165084"/>
    <w:rsid w:val="00165B67"/>
    <w:rsid w:val="00167769"/>
    <w:rsid w:val="00173DAA"/>
    <w:rsid w:val="00174E6C"/>
    <w:rsid w:val="0017693D"/>
    <w:rsid w:val="00176C1D"/>
    <w:rsid w:val="00183FAF"/>
    <w:rsid w:val="001840F8"/>
    <w:rsid w:val="00184BB9"/>
    <w:rsid w:val="00185772"/>
    <w:rsid w:val="001921B5"/>
    <w:rsid w:val="00195DCE"/>
    <w:rsid w:val="00196BF4"/>
    <w:rsid w:val="00196D58"/>
    <w:rsid w:val="001A1EB8"/>
    <w:rsid w:val="001A359B"/>
    <w:rsid w:val="001B01A1"/>
    <w:rsid w:val="001B1692"/>
    <w:rsid w:val="001B32A7"/>
    <w:rsid w:val="001B4A20"/>
    <w:rsid w:val="001B5550"/>
    <w:rsid w:val="001B654D"/>
    <w:rsid w:val="001B76EB"/>
    <w:rsid w:val="001B794C"/>
    <w:rsid w:val="001C1D40"/>
    <w:rsid w:val="001C32E4"/>
    <w:rsid w:val="001C4DD8"/>
    <w:rsid w:val="001C7B1D"/>
    <w:rsid w:val="001D4569"/>
    <w:rsid w:val="001D52C5"/>
    <w:rsid w:val="001D7AB4"/>
    <w:rsid w:val="001E0F61"/>
    <w:rsid w:val="001E1BC9"/>
    <w:rsid w:val="001E298D"/>
    <w:rsid w:val="001E6946"/>
    <w:rsid w:val="001F09D4"/>
    <w:rsid w:val="001F0F94"/>
    <w:rsid w:val="00200488"/>
    <w:rsid w:val="0020400B"/>
    <w:rsid w:val="00205CEE"/>
    <w:rsid w:val="00206C94"/>
    <w:rsid w:val="00211C90"/>
    <w:rsid w:val="00220DD4"/>
    <w:rsid w:val="00222678"/>
    <w:rsid w:val="002240C2"/>
    <w:rsid w:val="00230194"/>
    <w:rsid w:val="00235BC2"/>
    <w:rsid w:val="00241C44"/>
    <w:rsid w:val="00245900"/>
    <w:rsid w:val="00245A68"/>
    <w:rsid w:val="00253E12"/>
    <w:rsid w:val="00256269"/>
    <w:rsid w:val="00256D66"/>
    <w:rsid w:val="00260228"/>
    <w:rsid w:val="00262D9C"/>
    <w:rsid w:val="00265B18"/>
    <w:rsid w:val="00266C3F"/>
    <w:rsid w:val="00266E89"/>
    <w:rsid w:val="00270FAF"/>
    <w:rsid w:val="00271E1C"/>
    <w:rsid w:val="00273082"/>
    <w:rsid w:val="002750CC"/>
    <w:rsid w:val="0027523A"/>
    <w:rsid w:val="00276576"/>
    <w:rsid w:val="002810C5"/>
    <w:rsid w:val="00282610"/>
    <w:rsid w:val="0028336C"/>
    <w:rsid w:val="002833E5"/>
    <w:rsid w:val="00283711"/>
    <w:rsid w:val="00285457"/>
    <w:rsid w:val="002863C1"/>
    <w:rsid w:val="0028769D"/>
    <w:rsid w:val="0029110C"/>
    <w:rsid w:val="002927B6"/>
    <w:rsid w:val="00293022"/>
    <w:rsid w:val="00293EBF"/>
    <w:rsid w:val="00294262"/>
    <w:rsid w:val="00294E19"/>
    <w:rsid w:val="002954C3"/>
    <w:rsid w:val="002A3E59"/>
    <w:rsid w:val="002A4022"/>
    <w:rsid w:val="002A4AB3"/>
    <w:rsid w:val="002A6B36"/>
    <w:rsid w:val="002B010C"/>
    <w:rsid w:val="002B2C2B"/>
    <w:rsid w:val="002B50DA"/>
    <w:rsid w:val="002B54F9"/>
    <w:rsid w:val="002B7304"/>
    <w:rsid w:val="002C0934"/>
    <w:rsid w:val="002C34B7"/>
    <w:rsid w:val="002C3622"/>
    <w:rsid w:val="002C45F8"/>
    <w:rsid w:val="002C4A5B"/>
    <w:rsid w:val="002C4B74"/>
    <w:rsid w:val="002C6D66"/>
    <w:rsid w:val="002C706B"/>
    <w:rsid w:val="002C799F"/>
    <w:rsid w:val="002D18B2"/>
    <w:rsid w:val="002D4141"/>
    <w:rsid w:val="002D62CE"/>
    <w:rsid w:val="002D65C3"/>
    <w:rsid w:val="002E0CE8"/>
    <w:rsid w:val="002E2F24"/>
    <w:rsid w:val="002E3495"/>
    <w:rsid w:val="002E4D9F"/>
    <w:rsid w:val="002E61A3"/>
    <w:rsid w:val="002E6787"/>
    <w:rsid w:val="002F36B3"/>
    <w:rsid w:val="002F4174"/>
    <w:rsid w:val="002F4363"/>
    <w:rsid w:val="002F5662"/>
    <w:rsid w:val="002F57AA"/>
    <w:rsid w:val="002F5A3F"/>
    <w:rsid w:val="002F7F0C"/>
    <w:rsid w:val="00306D03"/>
    <w:rsid w:val="003121B1"/>
    <w:rsid w:val="00312CC4"/>
    <w:rsid w:val="0031519A"/>
    <w:rsid w:val="00315E2D"/>
    <w:rsid w:val="00320FB2"/>
    <w:rsid w:val="003210F3"/>
    <w:rsid w:val="00322982"/>
    <w:rsid w:val="00323F0E"/>
    <w:rsid w:val="00331423"/>
    <w:rsid w:val="00334A89"/>
    <w:rsid w:val="0033779D"/>
    <w:rsid w:val="00340FAB"/>
    <w:rsid w:val="00344B20"/>
    <w:rsid w:val="00346CC1"/>
    <w:rsid w:val="0035312F"/>
    <w:rsid w:val="00360936"/>
    <w:rsid w:val="00361D40"/>
    <w:rsid w:val="0036348C"/>
    <w:rsid w:val="003642E3"/>
    <w:rsid w:val="00370C17"/>
    <w:rsid w:val="003739FE"/>
    <w:rsid w:val="00377BEB"/>
    <w:rsid w:val="00377FF2"/>
    <w:rsid w:val="003811B4"/>
    <w:rsid w:val="003865D8"/>
    <w:rsid w:val="00390EDD"/>
    <w:rsid w:val="00395A8F"/>
    <w:rsid w:val="003A0728"/>
    <w:rsid w:val="003A1168"/>
    <w:rsid w:val="003A1F1B"/>
    <w:rsid w:val="003A2F95"/>
    <w:rsid w:val="003A755D"/>
    <w:rsid w:val="003B2C8F"/>
    <w:rsid w:val="003B443D"/>
    <w:rsid w:val="003B493E"/>
    <w:rsid w:val="003B4F4B"/>
    <w:rsid w:val="003B573E"/>
    <w:rsid w:val="003B632D"/>
    <w:rsid w:val="003C234B"/>
    <w:rsid w:val="003C2DEF"/>
    <w:rsid w:val="003C355B"/>
    <w:rsid w:val="003C441F"/>
    <w:rsid w:val="003C5C2E"/>
    <w:rsid w:val="003D1138"/>
    <w:rsid w:val="003D748D"/>
    <w:rsid w:val="003E0677"/>
    <w:rsid w:val="003E3496"/>
    <w:rsid w:val="003E67D7"/>
    <w:rsid w:val="003E7FB7"/>
    <w:rsid w:val="003F4C31"/>
    <w:rsid w:val="004004C2"/>
    <w:rsid w:val="00400CA4"/>
    <w:rsid w:val="0040251C"/>
    <w:rsid w:val="00402818"/>
    <w:rsid w:val="00402857"/>
    <w:rsid w:val="00402F68"/>
    <w:rsid w:val="0040600E"/>
    <w:rsid w:val="00406613"/>
    <w:rsid w:val="00411BBD"/>
    <w:rsid w:val="004203EF"/>
    <w:rsid w:val="00430B3B"/>
    <w:rsid w:val="00431D05"/>
    <w:rsid w:val="004321AF"/>
    <w:rsid w:val="004347B5"/>
    <w:rsid w:val="0043662D"/>
    <w:rsid w:val="004368EE"/>
    <w:rsid w:val="00437DDD"/>
    <w:rsid w:val="00440C0F"/>
    <w:rsid w:val="004475DF"/>
    <w:rsid w:val="00454A94"/>
    <w:rsid w:val="00454BF3"/>
    <w:rsid w:val="0045773F"/>
    <w:rsid w:val="00457CCD"/>
    <w:rsid w:val="004606E0"/>
    <w:rsid w:val="004618D2"/>
    <w:rsid w:val="00465BF7"/>
    <w:rsid w:val="004729FE"/>
    <w:rsid w:val="00473697"/>
    <w:rsid w:val="004737AC"/>
    <w:rsid w:val="004745FC"/>
    <w:rsid w:val="00475522"/>
    <w:rsid w:val="0047653E"/>
    <w:rsid w:val="004869DD"/>
    <w:rsid w:val="0048734E"/>
    <w:rsid w:val="00494069"/>
    <w:rsid w:val="004942FA"/>
    <w:rsid w:val="004A05A9"/>
    <w:rsid w:val="004A1D83"/>
    <w:rsid w:val="004A676C"/>
    <w:rsid w:val="004A6AA3"/>
    <w:rsid w:val="004B2F00"/>
    <w:rsid w:val="004B47AD"/>
    <w:rsid w:val="004B5713"/>
    <w:rsid w:val="004C0885"/>
    <w:rsid w:val="004C0C91"/>
    <w:rsid w:val="004C29B1"/>
    <w:rsid w:val="004C2ED9"/>
    <w:rsid w:val="004C7FF4"/>
    <w:rsid w:val="004D0D52"/>
    <w:rsid w:val="004D1404"/>
    <w:rsid w:val="004D17C1"/>
    <w:rsid w:val="004D1C0F"/>
    <w:rsid w:val="004D2473"/>
    <w:rsid w:val="004D300E"/>
    <w:rsid w:val="004D3440"/>
    <w:rsid w:val="004E039C"/>
    <w:rsid w:val="004E23BC"/>
    <w:rsid w:val="004E7B0F"/>
    <w:rsid w:val="004E7B8D"/>
    <w:rsid w:val="004F3308"/>
    <w:rsid w:val="004F6D79"/>
    <w:rsid w:val="004F78DE"/>
    <w:rsid w:val="004F7CAE"/>
    <w:rsid w:val="00503D4E"/>
    <w:rsid w:val="00505F15"/>
    <w:rsid w:val="005100F3"/>
    <w:rsid w:val="00511DAD"/>
    <w:rsid w:val="00512637"/>
    <w:rsid w:val="00514A38"/>
    <w:rsid w:val="0052207F"/>
    <w:rsid w:val="00523395"/>
    <w:rsid w:val="00525F69"/>
    <w:rsid w:val="00530D83"/>
    <w:rsid w:val="00533A55"/>
    <w:rsid w:val="00534A5C"/>
    <w:rsid w:val="00536227"/>
    <w:rsid w:val="0053719E"/>
    <w:rsid w:val="00542375"/>
    <w:rsid w:val="00544409"/>
    <w:rsid w:val="005455BF"/>
    <w:rsid w:val="00546851"/>
    <w:rsid w:val="00547799"/>
    <w:rsid w:val="00551AAC"/>
    <w:rsid w:val="00551ACC"/>
    <w:rsid w:val="00552C28"/>
    <w:rsid w:val="00553CE8"/>
    <w:rsid w:val="00556E96"/>
    <w:rsid w:val="005642B6"/>
    <w:rsid w:val="00564AE8"/>
    <w:rsid w:val="00566BA5"/>
    <w:rsid w:val="00571370"/>
    <w:rsid w:val="00572832"/>
    <w:rsid w:val="00573474"/>
    <w:rsid w:val="00577387"/>
    <w:rsid w:val="00577B78"/>
    <w:rsid w:val="00584000"/>
    <w:rsid w:val="00584F3B"/>
    <w:rsid w:val="00587717"/>
    <w:rsid w:val="0058797B"/>
    <w:rsid w:val="00593BB4"/>
    <w:rsid w:val="00594253"/>
    <w:rsid w:val="00594786"/>
    <w:rsid w:val="00594B4E"/>
    <w:rsid w:val="00594EFB"/>
    <w:rsid w:val="005A317F"/>
    <w:rsid w:val="005A5526"/>
    <w:rsid w:val="005A5F9A"/>
    <w:rsid w:val="005B0740"/>
    <w:rsid w:val="005B1669"/>
    <w:rsid w:val="005B2148"/>
    <w:rsid w:val="005B48C0"/>
    <w:rsid w:val="005B7ADE"/>
    <w:rsid w:val="005C37D6"/>
    <w:rsid w:val="005C3BED"/>
    <w:rsid w:val="005C461B"/>
    <w:rsid w:val="005C5893"/>
    <w:rsid w:val="005C74E4"/>
    <w:rsid w:val="005C7A6F"/>
    <w:rsid w:val="005D1D81"/>
    <w:rsid w:val="005D359B"/>
    <w:rsid w:val="005D42E0"/>
    <w:rsid w:val="005D68E1"/>
    <w:rsid w:val="005E02FB"/>
    <w:rsid w:val="005E0430"/>
    <w:rsid w:val="005E0571"/>
    <w:rsid w:val="005E28EC"/>
    <w:rsid w:val="005E31AB"/>
    <w:rsid w:val="005E5CE5"/>
    <w:rsid w:val="005E7449"/>
    <w:rsid w:val="005E7FDD"/>
    <w:rsid w:val="005F1713"/>
    <w:rsid w:val="005F19BA"/>
    <w:rsid w:val="005F1C54"/>
    <w:rsid w:val="005F562C"/>
    <w:rsid w:val="005F59E4"/>
    <w:rsid w:val="005F6BFC"/>
    <w:rsid w:val="005F759A"/>
    <w:rsid w:val="005F7969"/>
    <w:rsid w:val="00602CCC"/>
    <w:rsid w:val="00605141"/>
    <w:rsid w:val="00606D61"/>
    <w:rsid w:val="00607EF6"/>
    <w:rsid w:val="00611F4D"/>
    <w:rsid w:val="00614AB0"/>
    <w:rsid w:val="00616B9E"/>
    <w:rsid w:val="00620BF8"/>
    <w:rsid w:val="00621E89"/>
    <w:rsid w:val="006221BA"/>
    <w:rsid w:val="00623A3B"/>
    <w:rsid w:val="0063050A"/>
    <w:rsid w:val="00630D9B"/>
    <w:rsid w:val="006320A9"/>
    <w:rsid w:val="006321B5"/>
    <w:rsid w:val="0063311A"/>
    <w:rsid w:val="00633F19"/>
    <w:rsid w:val="00640749"/>
    <w:rsid w:val="00641C5E"/>
    <w:rsid w:val="0064336C"/>
    <w:rsid w:val="00646241"/>
    <w:rsid w:val="00646F1D"/>
    <w:rsid w:val="00647D08"/>
    <w:rsid w:val="00651049"/>
    <w:rsid w:val="00651F58"/>
    <w:rsid w:val="00655E93"/>
    <w:rsid w:val="006716A6"/>
    <w:rsid w:val="00672684"/>
    <w:rsid w:val="00672DC2"/>
    <w:rsid w:val="00674847"/>
    <w:rsid w:val="006842CD"/>
    <w:rsid w:val="00684C58"/>
    <w:rsid w:val="00687628"/>
    <w:rsid w:val="00690FA7"/>
    <w:rsid w:val="006911CA"/>
    <w:rsid w:val="00692892"/>
    <w:rsid w:val="006A3BEB"/>
    <w:rsid w:val="006A42CA"/>
    <w:rsid w:val="006A4F5D"/>
    <w:rsid w:val="006A5599"/>
    <w:rsid w:val="006B1FEF"/>
    <w:rsid w:val="006B2E05"/>
    <w:rsid w:val="006B4BEF"/>
    <w:rsid w:val="006B7521"/>
    <w:rsid w:val="006C4EC1"/>
    <w:rsid w:val="006C51DE"/>
    <w:rsid w:val="006C686F"/>
    <w:rsid w:val="006C6CF5"/>
    <w:rsid w:val="006D1D56"/>
    <w:rsid w:val="006D4833"/>
    <w:rsid w:val="006D6083"/>
    <w:rsid w:val="006E1EE2"/>
    <w:rsid w:val="006E3BF0"/>
    <w:rsid w:val="006E7B0C"/>
    <w:rsid w:val="006F2F26"/>
    <w:rsid w:val="00700183"/>
    <w:rsid w:val="007051CA"/>
    <w:rsid w:val="007074BA"/>
    <w:rsid w:val="00710F84"/>
    <w:rsid w:val="00715BD5"/>
    <w:rsid w:val="00715F37"/>
    <w:rsid w:val="00716A3C"/>
    <w:rsid w:val="00717072"/>
    <w:rsid w:val="00717A68"/>
    <w:rsid w:val="00717D01"/>
    <w:rsid w:val="00721E8B"/>
    <w:rsid w:val="007229F5"/>
    <w:rsid w:val="00725EF9"/>
    <w:rsid w:val="00726133"/>
    <w:rsid w:val="00726ED4"/>
    <w:rsid w:val="00727A3D"/>
    <w:rsid w:val="00730770"/>
    <w:rsid w:val="007325E9"/>
    <w:rsid w:val="00735521"/>
    <w:rsid w:val="00735E44"/>
    <w:rsid w:val="00740409"/>
    <w:rsid w:val="00742502"/>
    <w:rsid w:val="007448EE"/>
    <w:rsid w:val="00745B37"/>
    <w:rsid w:val="00747302"/>
    <w:rsid w:val="007538A1"/>
    <w:rsid w:val="00762A8C"/>
    <w:rsid w:val="00771082"/>
    <w:rsid w:val="007730B2"/>
    <w:rsid w:val="00777949"/>
    <w:rsid w:val="00780158"/>
    <w:rsid w:val="0078248B"/>
    <w:rsid w:val="00782B22"/>
    <w:rsid w:val="00785FCA"/>
    <w:rsid w:val="0079065F"/>
    <w:rsid w:val="00797522"/>
    <w:rsid w:val="00797DC2"/>
    <w:rsid w:val="007A1011"/>
    <w:rsid w:val="007A314F"/>
    <w:rsid w:val="007A5886"/>
    <w:rsid w:val="007B322D"/>
    <w:rsid w:val="007B32DF"/>
    <w:rsid w:val="007B599B"/>
    <w:rsid w:val="007C361D"/>
    <w:rsid w:val="007C6CA3"/>
    <w:rsid w:val="007D581D"/>
    <w:rsid w:val="007D5F15"/>
    <w:rsid w:val="007D628B"/>
    <w:rsid w:val="007D64B6"/>
    <w:rsid w:val="007E04B4"/>
    <w:rsid w:val="007E221F"/>
    <w:rsid w:val="007E3413"/>
    <w:rsid w:val="007E4549"/>
    <w:rsid w:val="007E4BBF"/>
    <w:rsid w:val="007E65E2"/>
    <w:rsid w:val="007E7AA0"/>
    <w:rsid w:val="007F2E3D"/>
    <w:rsid w:val="007F3E55"/>
    <w:rsid w:val="007F6AC0"/>
    <w:rsid w:val="0080439F"/>
    <w:rsid w:val="00810931"/>
    <w:rsid w:val="00810A83"/>
    <w:rsid w:val="00810A86"/>
    <w:rsid w:val="008114CE"/>
    <w:rsid w:val="008117E2"/>
    <w:rsid w:val="00812031"/>
    <w:rsid w:val="00812421"/>
    <w:rsid w:val="00812568"/>
    <w:rsid w:val="00813374"/>
    <w:rsid w:val="00816103"/>
    <w:rsid w:val="00827AC3"/>
    <w:rsid w:val="008308F7"/>
    <w:rsid w:val="00831028"/>
    <w:rsid w:val="008339D6"/>
    <w:rsid w:val="00833A53"/>
    <w:rsid w:val="008368E2"/>
    <w:rsid w:val="00837535"/>
    <w:rsid w:val="00837BB4"/>
    <w:rsid w:val="00840F3C"/>
    <w:rsid w:val="0084295C"/>
    <w:rsid w:val="00844319"/>
    <w:rsid w:val="008446E4"/>
    <w:rsid w:val="00846D8A"/>
    <w:rsid w:val="00850091"/>
    <w:rsid w:val="00851A9F"/>
    <w:rsid w:val="00851AA2"/>
    <w:rsid w:val="00852561"/>
    <w:rsid w:val="00852EAB"/>
    <w:rsid w:val="00853CE0"/>
    <w:rsid w:val="00853EE0"/>
    <w:rsid w:val="0085777E"/>
    <w:rsid w:val="008577CA"/>
    <w:rsid w:val="0086537A"/>
    <w:rsid w:val="00871399"/>
    <w:rsid w:val="00873589"/>
    <w:rsid w:val="00875253"/>
    <w:rsid w:val="0088382B"/>
    <w:rsid w:val="00883C53"/>
    <w:rsid w:val="008841D4"/>
    <w:rsid w:val="008855D0"/>
    <w:rsid w:val="00885D70"/>
    <w:rsid w:val="00887B64"/>
    <w:rsid w:val="0089135D"/>
    <w:rsid w:val="00891374"/>
    <w:rsid w:val="00891C53"/>
    <w:rsid w:val="00894FD3"/>
    <w:rsid w:val="00896E07"/>
    <w:rsid w:val="00896E24"/>
    <w:rsid w:val="008A117F"/>
    <w:rsid w:val="008A1864"/>
    <w:rsid w:val="008A3455"/>
    <w:rsid w:val="008A37EB"/>
    <w:rsid w:val="008A4AC5"/>
    <w:rsid w:val="008A5071"/>
    <w:rsid w:val="008B2A79"/>
    <w:rsid w:val="008C0099"/>
    <w:rsid w:val="008C33B4"/>
    <w:rsid w:val="008C4369"/>
    <w:rsid w:val="008D07A5"/>
    <w:rsid w:val="008D0BB8"/>
    <w:rsid w:val="008D1B64"/>
    <w:rsid w:val="008D39AC"/>
    <w:rsid w:val="008D3C68"/>
    <w:rsid w:val="008D4774"/>
    <w:rsid w:val="008D4E0B"/>
    <w:rsid w:val="008E2642"/>
    <w:rsid w:val="008E49E5"/>
    <w:rsid w:val="008E71C9"/>
    <w:rsid w:val="008F011F"/>
    <w:rsid w:val="008F0FFB"/>
    <w:rsid w:val="008F1001"/>
    <w:rsid w:val="008F29DA"/>
    <w:rsid w:val="008F55AA"/>
    <w:rsid w:val="008F5B75"/>
    <w:rsid w:val="008F6B50"/>
    <w:rsid w:val="00905843"/>
    <w:rsid w:val="009058C1"/>
    <w:rsid w:val="00906749"/>
    <w:rsid w:val="00906A08"/>
    <w:rsid w:val="00906D1F"/>
    <w:rsid w:val="00907A6C"/>
    <w:rsid w:val="00907F86"/>
    <w:rsid w:val="009104B6"/>
    <w:rsid w:val="009145AC"/>
    <w:rsid w:val="00914DAB"/>
    <w:rsid w:val="00917641"/>
    <w:rsid w:val="0092051E"/>
    <w:rsid w:val="00921519"/>
    <w:rsid w:val="00921996"/>
    <w:rsid w:val="00921BE0"/>
    <w:rsid w:val="00921CAA"/>
    <w:rsid w:val="00927037"/>
    <w:rsid w:val="009272D7"/>
    <w:rsid w:val="00934230"/>
    <w:rsid w:val="00935561"/>
    <w:rsid w:val="0093753D"/>
    <w:rsid w:val="00941546"/>
    <w:rsid w:val="00941B13"/>
    <w:rsid w:val="009430D4"/>
    <w:rsid w:val="0094422E"/>
    <w:rsid w:val="00944989"/>
    <w:rsid w:val="00947E7C"/>
    <w:rsid w:val="00952EFF"/>
    <w:rsid w:val="0095456D"/>
    <w:rsid w:val="009558BA"/>
    <w:rsid w:val="009561CE"/>
    <w:rsid w:val="0095779B"/>
    <w:rsid w:val="009623FC"/>
    <w:rsid w:val="00963093"/>
    <w:rsid w:val="009666D4"/>
    <w:rsid w:val="00970AF1"/>
    <w:rsid w:val="00970F13"/>
    <w:rsid w:val="00973D09"/>
    <w:rsid w:val="009775D1"/>
    <w:rsid w:val="00977A19"/>
    <w:rsid w:val="0098024C"/>
    <w:rsid w:val="009830E4"/>
    <w:rsid w:val="009858BC"/>
    <w:rsid w:val="009863E7"/>
    <w:rsid w:val="009948FA"/>
    <w:rsid w:val="009960F2"/>
    <w:rsid w:val="009A2111"/>
    <w:rsid w:val="009A2CCB"/>
    <w:rsid w:val="009A41D5"/>
    <w:rsid w:val="009A4764"/>
    <w:rsid w:val="009A596A"/>
    <w:rsid w:val="009B2916"/>
    <w:rsid w:val="009B44CC"/>
    <w:rsid w:val="009B6478"/>
    <w:rsid w:val="009B6549"/>
    <w:rsid w:val="009C10C4"/>
    <w:rsid w:val="009C1EF1"/>
    <w:rsid w:val="009C348F"/>
    <w:rsid w:val="009D40EC"/>
    <w:rsid w:val="009D685B"/>
    <w:rsid w:val="009E37E3"/>
    <w:rsid w:val="009E3AA5"/>
    <w:rsid w:val="009E7DB4"/>
    <w:rsid w:val="009F15B0"/>
    <w:rsid w:val="009F6CB1"/>
    <w:rsid w:val="009F79B9"/>
    <w:rsid w:val="009F7CFD"/>
    <w:rsid w:val="00A01583"/>
    <w:rsid w:val="00A028DB"/>
    <w:rsid w:val="00A02A27"/>
    <w:rsid w:val="00A038CA"/>
    <w:rsid w:val="00A0419F"/>
    <w:rsid w:val="00A04A17"/>
    <w:rsid w:val="00A06F3F"/>
    <w:rsid w:val="00A1049F"/>
    <w:rsid w:val="00A2223C"/>
    <w:rsid w:val="00A22DBA"/>
    <w:rsid w:val="00A24FFE"/>
    <w:rsid w:val="00A27A74"/>
    <w:rsid w:val="00A3221A"/>
    <w:rsid w:val="00A35398"/>
    <w:rsid w:val="00A360FB"/>
    <w:rsid w:val="00A42FC6"/>
    <w:rsid w:val="00A46487"/>
    <w:rsid w:val="00A50E61"/>
    <w:rsid w:val="00A50F1C"/>
    <w:rsid w:val="00A51EDB"/>
    <w:rsid w:val="00A5301A"/>
    <w:rsid w:val="00A5432C"/>
    <w:rsid w:val="00A54C91"/>
    <w:rsid w:val="00A572EA"/>
    <w:rsid w:val="00A57E98"/>
    <w:rsid w:val="00A6172D"/>
    <w:rsid w:val="00A61800"/>
    <w:rsid w:val="00A70923"/>
    <w:rsid w:val="00A70F57"/>
    <w:rsid w:val="00A72785"/>
    <w:rsid w:val="00A729D1"/>
    <w:rsid w:val="00A73234"/>
    <w:rsid w:val="00A74D00"/>
    <w:rsid w:val="00A75B48"/>
    <w:rsid w:val="00A7647A"/>
    <w:rsid w:val="00A81B37"/>
    <w:rsid w:val="00A8235B"/>
    <w:rsid w:val="00A84C55"/>
    <w:rsid w:val="00A84FAC"/>
    <w:rsid w:val="00A86B6B"/>
    <w:rsid w:val="00A8734F"/>
    <w:rsid w:val="00A87A51"/>
    <w:rsid w:val="00A9042E"/>
    <w:rsid w:val="00A90AC0"/>
    <w:rsid w:val="00A915BE"/>
    <w:rsid w:val="00A96E9C"/>
    <w:rsid w:val="00A97AB6"/>
    <w:rsid w:val="00AA4FD7"/>
    <w:rsid w:val="00AA5B76"/>
    <w:rsid w:val="00AA7109"/>
    <w:rsid w:val="00AA7B6F"/>
    <w:rsid w:val="00AA7C64"/>
    <w:rsid w:val="00AB25F3"/>
    <w:rsid w:val="00AB2987"/>
    <w:rsid w:val="00AB2DD7"/>
    <w:rsid w:val="00AB35B7"/>
    <w:rsid w:val="00AC2ADC"/>
    <w:rsid w:val="00AC6161"/>
    <w:rsid w:val="00AD1086"/>
    <w:rsid w:val="00AD24AB"/>
    <w:rsid w:val="00AD2617"/>
    <w:rsid w:val="00AD26C0"/>
    <w:rsid w:val="00AD37EA"/>
    <w:rsid w:val="00AD451D"/>
    <w:rsid w:val="00AD467F"/>
    <w:rsid w:val="00AE786A"/>
    <w:rsid w:val="00AF2EC5"/>
    <w:rsid w:val="00AF5010"/>
    <w:rsid w:val="00AF6E64"/>
    <w:rsid w:val="00B017E5"/>
    <w:rsid w:val="00B01B43"/>
    <w:rsid w:val="00B05D45"/>
    <w:rsid w:val="00B071D0"/>
    <w:rsid w:val="00B125C8"/>
    <w:rsid w:val="00B130C2"/>
    <w:rsid w:val="00B14206"/>
    <w:rsid w:val="00B1439B"/>
    <w:rsid w:val="00B146B7"/>
    <w:rsid w:val="00B1482A"/>
    <w:rsid w:val="00B1485C"/>
    <w:rsid w:val="00B1577F"/>
    <w:rsid w:val="00B178F3"/>
    <w:rsid w:val="00B24144"/>
    <w:rsid w:val="00B24BC1"/>
    <w:rsid w:val="00B25009"/>
    <w:rsid w:val="00B25EED"/>
    <w:rsid w:val="00B33924"/>
    <w:rsid w:val="00B349DD"/>
    <w:rsid w:val="00B34F5A"/>
    <w:rsid w:val="00B36AEF"/>
    <w:rsid w:val="00B37EDF"/>
    <w:rsid w:val="00B37EE7"/>
    <w:rsid w:val="00B40639"/>
    <w:rsid w:val="00B42CB2"/>
    <w:rsid w:val="00B4725F"/>
    <w:rsid w:val="00B54274"/>
    <w:rsid w:val="00B552DF"/>
    <w:rsid w:val="00B6175F"/>
    <w:rsid w:val="00B6251A"/>
    <w:rsid w:val="00B66D8E"/>
    <w:rsid w:val="00B673AE"/>
    <w:rsid w:val="00B67FBC"/>
    <w:rsid w:val="00B7211F"/>
    <w:rsid w:val="00B746E0"/>
    <w:rsid w:val="00B75813"/>
    <w:rsid w:val="00B80728"/>
    <w:rsid w:val="00B84642"/>
    <w:rsid w:val="00B8540D"/>
    <w:rsid w:val="00B86E42"/>
    <w:rsid w:val="00B87236"/>
    <w:rsid w:val="00B919E2"/>
    <w:rsid w:val="00B91F75"/>
    <w:rsid w:val="00B93663"/>
    <w:rsid w:val="00B942D6"/>
    <w:rsid w:val="00B95154"/>
    <w:rsid w:val="00B955C7"/>
    <w:rsid w:val="00B96FC9"/>
    <w:rsid w:val="00B97AE8"/>
    <w:rsid w:val="00B97FD0"/>
    <w:rsid w:val="00BA045D"/>
    <w:rsid w:val="00BA1D6A"/>
    <w:rsid w:val="00BA3418"/>
    <w:rsid w:val="00BA472D"/>
    <w:rsid w:val="00BA619E"/>
    <w:rsid w:val="00BB36DB"/>
    <w:rsid w:val="00BB5005"/>
    <w:rsid w:val="00BB53BD"/>
    <w:rsid w:val="00BB5FC4"/>
    <w:rsid w:val="00BB6A04"/>
    <w:rsid w:val="00BB6DC4"/>
    <w:rsid w:val="00BB77E0"/>
    <w:rsid w:val="00BC02C9"/>
    <w:rsid w:val="00BC08CA"/>
    <w:rsid w:val="00BC1E6D"/>
    <w:rsid w:val="00BC2CC8"/>
    <w:rsid w:val="00BC376F"/>
    <w:rsid w:val="00BC38DB"/>
    <w:rsid w:val="00BC3A52"/>
    <w:rsid w:val="00BC5BC2"/>
    <w:rsid w:val="00BC6907"/>
    <w:rsid w:val="00BD2699"/>
    <w:rsid w:val="00BD2933"/>
    <w:rsid w:val="00BD3D90"/>
    <w:rsid w:val="00BD4AEA"/>
    <w:rsid w:val="00BD5478"/>
    <w:rsid w:val="00BD5E0C"/>
    <w:rsid w:val="00BD7FD3"/>
    <w:rsid w:val="00BE0B13"/>
    <w:rsid w:val="00BE2B9D"/>
    <w:rsid w:val="00BE3D83"/>
    <w:rsid w:val="00BE5428"/>
    <w:rsid w:val="00BE5F37"/>
    <w:rsid w:val="00BE6EC0"/>
    <w:rsid w:val="00BF11F7"/>
    <w:rsid w:val="00BF1756"/>
    <w:rsid w:val="00BF21D9"/>
    <w:rsid w:val="00C019FB"/>
    <w:rsid w:val="00C038EB"/>
    <w:rsid w:val="00C04164"/>
    <w:rsid w:val="00C072B3"/>
    <w:rsid w:val="00C07513"/>
    <w:rsid w:val="00C121E0"/>
    <w:rsid w:val="00C13162"/>
    <w:rsid w:val="00C137E6"/>
    <w:rsid w:val="00C141D8"/>
    <w:rsid w:val="00C16ADC"/>
    <w:rsid w:val="00C205EA"/>
    <w:rsid w:val="00C24A01"/>
    <w:rsid w:val="00C2510A"/>
    <w:rsid w:val="00C3324C"/>
    <w:rsid w:val="00C34048"/>
    <w:rsid w:val="00C3411F"/>
    <w:rsid w:val="00C367E8"/>
    <w:rsid w:val="00C3761F"/>
    <w:rsid w:val="00C413C4"/>
    <w:rsid w:val="00C417D6"/>
    <w:rsid w:val="00C423FB"/>
    <w:rsid w:val="00C4733D"/>
    <w:rsid w:val="00C5129B"/>
    <w:rsid w:val="00C54168"/>
    <w:rsid w:val="00C54486"/>
    <w:rsid w:val="00C55E64"/>
    <w:rsid w:val="00C56A93"/>
    <w:rsid w:val="00C579E5"/>
    <w:rsid w:val="00C60E66"/>
    <w:rsid w:val="00C66AB1"/>
    <w:rsid w:val="00C73636"/>
    <w:rsid w:val="00C77178"/>
    <w:rsid w:val="00C8067F"/>
    <w:rsid w:val="00C80D8B"/>
    <w:rsid w:val="00C8247C"/>
    <w:rsid w:val="00C84734"/>
    <w:rsid w:val="00C90926"/>
    <w:rsid w:val="00C96BD3"/>
    <w:rsid w:val="00CA2C89"/>
    <w:rsid w:val="00CA40F4"/>
    <w:rsid w:val="00CA4223"/>
    <w:rsid w:val="00CA5DC3"/>
    <w:rsid w:val="00CA673C"/>
    <w:rsid w:val="00CB424F"/>
    <w:rsid w:val="00CB482C"/>
    <w:rsid w:val="00CB48D3"/>
    <w:rsid w:val="00CB4A38"/>
    <w:rsid w:val="00CB77D7"/>
    <w:rsid w:val="00CC19D2"/>
    <w:rsid w:val="00CD20A9"/>
    <w:rsid w:val="00CD3A08"/>
    <w:rsid w:val="00CD3EC6"/>
    <w:rsid w:val="00CD5C76"/>
    <w:rsid w:val="00CD7703"/>
    <w:rsid w:val="00CE045B"/>
    <w:rsid w:val="00CE267B"/>
    <w:rsid w:val="00CE38D4"/>
    <w:rsid w:val="00CE6EA6"/>
    <w:rsid w:val="00CF0056"/>
    <w:rsid w:val="00CF01AC"/>
    <w:rsid w:val="00CF0DDE"/>
    <w:rsid w:val="00CF1014"/>
    <w:rsid w:val="00CF1F5C"/>
    <w:rsid w:val="00CF4FC2"/>
    <w:rsid w:val="00CF7CF0"/>
    <w:rsid w:val="00D011A4"/>
    <w:rsid w:val="00D0192A"/>
    <w:rsid w:val="00D03FEC"/>
    <w:rsid w:val="00D07273"/>
    <w:rsid w:val="00D11D33"/>
    <w:rsid w:val="00D14428"/>
    <w:rsid w:val="00D1486D"/>
    <w:rsid w:val="00D16CFB"/>
    <w:rsid w:val="00D2011D"/>
    <w:rsid w:val="00D22B10"/>
    <w:rsid w:val="00D24BDF"/>
    <w:rsid w:val="00D2693D"/>
    <w:rsid w:val="00D27134"/>
    <w:rsid w:val="00D2765D"/>
    <w:rsid w:val="00D27F57"/>
    <w:rsid w:val="00D32884"/>
    <w:rsid w:val="00D32BDC"/>
    <w:rsid w:val="00D3369E"/>
    <w:rsid w:val="00D375C4"/>
    <w:rsid w:val="00D37714"/>
    <w:rsid w:val="00D37827"/>
    <w:rsid w:val="00D40121"/>
    <w:rsid w:val="00D40FAF"/>
    <w:rsid w:val="00D41601"/>
    <w:rsid w:val="00D42094"/>
    <w:rsid w:val="00D438CA"/>
    <w:rsid w:val="00D45675"/>
    <w:rsid w:val="00D45861"/>
    <w:rsid w:val="00D46302"/>
    <w:rsid w:val="00D4725C"/>
    <w:rsid w:val="00D47D5D"/>
    <w:rsid w:val="00D50FC7"/>
    <w:rsid w:val="00D51C9D"/>
    <w:rsid w:val="00D55198"/>
    <w:rsid w:val="00D5610F"/>
    <w:rsid w:val="00D56137"/>
    <w:rsid w:val="00D56E53"/>
    <w:rsid w:val="00D57067"/>
    <w:rsid w:val="00D57F13"/>
    <w:rsid w:val="00D6040A"/>
    <w:rsid w:val="00D61546"/>
    <w:rsid w:val="00D656F6"/>
    <w:rsid w:val="00D66512"/>
    <w:rsid w:val="00D67BA3"/>
    <w:rsid w:val="00D71901"/>
    <w:rsid w:val="00D719B0"/>
    <w:rsid w:val="00D72F26"/>
    <w:rsid w:val="00D75191"/>
    <w:rsid w:val="00D77C77"/>
    <w:rsid w:val="00D82213"/>
    <w:rsid w:val="00D85D79"/>
    <w:rsid w:val="00D86888"/>
    <w:rsid w:val="00D908A8"/>
    <w:rsid w:val="00D936C1"/>
    <w:rsid w:val="00D93ABA"/>
    <w:rsid w:val="00DA0EAE"/>
    <w:rsid w:val="00DA1146"/>
    <w:rsid w:val="00DA153E"/>
    <w:rsid w:val="00DA32EF"/>
    <w:rsid w:val="00DA5B6C"/>
    <w:rsid w:val="00DA6676"/>
    <w:rsid w:val="00DA6952"/>
    <w:rsid w:val="00DB1FEC"/>
    <w:rsid w:val="00DB3C3E"/>
    <w:rsid w:val="00DB4A53"/>
    <w:rsid w:val="00DB7ACD"/>
    <w:rsid w:val="00DC0203"/>
    <w:rsid w:val="00DD09EA"/>
    <w:rsid w:val="00DD2930"/>
    <w:rsid w:val="00DD3435"/>
    <w:rsid w:val="00DD383E"/>
    <w:rsid w:val="00DD4D74"/>
    <w:rsid w:val="00DD5070"/>
    <w:rsid w:val="00DD5586"/>
    <w:rsid w:val="00DD5DE0"/>
    <w:rsid w:val="00DE09F3"/>
    <w:rsid w:val="00DE1290"/>
    <w:rsid w:val="00DE161D"/>
    <w:rsid w:val="00DE1944"/>
    <w:rsid w:val="00DE1D98"/>
    <w:rsid w:val="00DE4FC1"/>
    <w:rsid w:val="00DE6909"/>
    <w:rsid w:val="00DF269E"/>
    <w:rsid w:val="00DF3005"/>
    <w:rsid w:val="00E00262"/>
    <w:rsid w:val="00E01092"/>
    <w:rsid w:val="00E0404C"/>
    <w:rsid w:val="00E06A68"/>
    <w:rsid w:val="00E078D8"/>
    <w:rsid w:val="00E12C2F"/>
    <w:rsid w:val="00E143CD"/>
    <w:rsid w:val="00E14A36"/>
    <w:rsid w:val="00E14F72"/>
    <w:rsid w:val="00E15897"/>
    <w:rsid w:val="00E15C37"/>
    <w:rsid w:val="00E17026"/>
    <w:rsid w:val="00E238F7"/>
    <w:rsid w:val="00E24E3A"/>
    <w:rsid w:val="00E25DD0"/>
    <w:rsid w:val="00E263BC"/>
    <w:rsid w:val="00E323A9"/>
    <w:rsid w:val="00E333A0"/>
    <w:rsid w:val="00E34ACA"/>
    <w:rsid w:val="00E34DA2"/>
    <w:rsid w:val="00E352CB"/>
    <w:rsid w:val="00E367E8"/>
    <w:rsid w:val="00E42F4A"/>
    <w:rsid w:val="00E47F85"/>
    <w:rsid w:val="00E5083A"/>
    <w:rsid w:val="00E529A7"/>
    <w:rsid w:val="00E55959"/>
    <w:rsid w:val="00E60257"/>
    <w:rsid w:val="00E6037A"/>
    <w:rsid w:val="00E60AB0"/>
    <w:rsid w:val="00E64ED0"/>
    <w:rsid w:val="00E665EA"/>
    <w:rsid w:val="00E706B5"/>
    <w:rsid w:val="00E71D63"/>
    <w:rsid w:val="00E71DAF"/>
    <w:rsid w:val="00E727D7"/>
    <w:rsid w:val="00E734A7"/>
    <w:rsid w:val="00E758B6"/>
    <w:rsid w:val="00E76B4A"/>
    <w:rsid w:val="00E772C1"/>
    <w:rsid w:val="00E77D9F"/>
    <w:rsid w:val="00E80E58"/>
    <w:rsid w:val="00E822DE"/>
    <w:rsid w:val="00E84016"/>
    <w:rsid w:val="00E91939"/>
    <w:rsid w:val="00E9221D"/>
    <w:rsid w:val="00E92D47"/>
    <w:rsid w:val="00E93384"/>
    <w:rsid w:val="00E95C04"/>
    <w:rsid w:val="00E95D68"/>
    <w:rsid w:val="00EA1269"/>
    <w:rsid w:val="00EA31D1"/>
    <w:rsid w:val="00EA4B4B"/>
    <w:rsid w:val="00EA51C3"/>
    <w:rsid w:val="00EA629A"/>
    <w:rsid w:val="00EB126D"/>
    <w:rsid w:val="00EB2AE3"/>
    <w:rsid w:val="00EB2C12"/>
    <w:rsid w:val="00EC1109"/>
    <w:rsid w:val="00EC1795"/>
    <w:rsid w:val="00ED399A"/>
    <w:rsid w:val="00ED77DA"/>
    <w:rsid w:val="00EE2DDD"/>
    <w:rsid w:val="00EE3434"/>
    <w:rsid w:val="00EE36B9"/>
    <w:rsid w:val="00EF0468"/>
    <w:rsid w:val="00EF0D89"/>
    <w:rsid w:val="00EF150B"/>
    <w:rsid w:val="00EF5B5C"/>
    <w:rsid w:val="00EF6BC1"/>
    <w:rsid w:val="00F0143A"/>
    <w:rsid w:val="00F0226C"/>
    <w:rsid w:val="00F03E77"/>
    <w:rsid w:val="00F04844"/>
    <w:rsid w:val="00F048FE"/>
    <w:rsid w:val="00F05B14"/>
    <w:rsid w:val="00F10482"/>
    <w:rsid w:val="00F121E9"/>
    <w:rsid w:val="00F136BA"/>
    <w:rsid w:val="00F15C5B"/>
    <w:rsid w:val="00F17C25"/>
    <w:rsid w:val="00F21647"/>
    <w:rsid w:val="00F21C5A"/>
    <w:rsid w:val="00F22A6E"/>
    <w:rsid w:val="00F2472F"/>
    <w:rsid w:val="00F24DD0"/>
    <w:rsid w:val="00F24F29"/>
    <w:rsid w:val="00F27190"/>
    <w:rsid w:val="00F27561"/>
    <w:rsid w:val="00F3040C"/>
    <w:rsid w:val="00F310FA"/>
    <w:rsid w:val="00F31209"/>
    <w:rsid w:val="00F330BD"/>
    <w:rsid w:val="00F33EC6"/>
    <w:rsid w:val="00F33EF7"/>
    <w:rsid w:val="00F402F0"/>
    <w:rsid w:val="00F404CF"/>
    <w:rsid w:val="00F40500"/>
    <w:rsid w:val="00F40609"/>
    <w:rsid w:val="00F45222"/>
    <w:rsid w:val="00F45CBD"/>
    <w:rsid w:val="00F46113"/>
    <w:rsid w:val="00F46741"/>
    <w:rsid w:val="00F46C75"/>
    <w:rsid w:val="00F46F53"/>
    <w:rsid w:val="00F4769B"/>
    <w:rsid w:val="00F50AAE"/>
    <w:rsid w:val="00F52D48"/>
    <w:rsid w:val="00F538D6"/>
    <w:rsid w:val="00F5477A"/>
    <w:rsid w:val="00F55898"/>
    <w:rsid w:val="00F60DB3"/>
    <w:rsid w:val="00F623B5"/>
    <w:rsid w:val="00F6434A"/>
    <w:rsid w:val="00F650B3"/>
    <w:rsid w:val="00F66C63"/>
    <w:rsid w:val="00F67EBD"/>
    <w:rsid w:val="00F70FC5"/>
    <w:rsid w:val="00F769AB"/>
    <w:rsid w:val="00F8147F"/>
    <w:rsid w:val="00F83706"/>
    <w:rsid w:val="00F83A94"/>
    <w:rsid w:val="00F8645B"/>
    <w:rsid w:val="00F87951"/>
    <w:rsid w:val="00F902A5"/>
    <w:rsid w:val="00F926DB"/>
    <w:rsid w:val="00FA0CFA"/>
    <w:rsid w:val="00FA24CE"/>
    <w:rsid w:val="00FA3207"/>
    <w:rsid w:val="00FA35BD"/>
    <w:rsid w:val="00FA3BA7"/>
    <w:rsid w:val="00FA514A"/>
    <w:rsid w:val="00FA674D"/>
    <w:rsid w:val="00FB5A4D"/>
    <w:rsid w:val="00FB5BC9"/>
    <w:rsid w:val="00FB5CA0"/>
    <w:rsid w:val="00FC3439"/>
    <w:rsid w:val="00FC40C8"/>
    <w:rsid w:val="00FC4E2E"/>
    <w:rsid w:val="00FC7BEE"/>
    <w:rsid w:val="00FD07C2"/>
    <w:rsid w:val="00FD315B"/>
    <w:rsid w:val="00FE1951"/>
    <w:rsid w:val="00FE3389"/>
    <w:rsid w:val="00FE7FEF"/>
    <w:rsid w:val="00FF3BD7"/>
    <w:rsid w:val="00FF5156"/>
    <w:rsid w:val="00FF7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48F"/>
  </w:style>
  <w:style w:type="paragraph" w:styleId="Heading1">
    <w:name w:val="heading 1"/>
    <w:basedOn w:val="Normal"/>
    <w:next w:val="Normal"/>
    <w:qFormat/>
    <w:rsid w:val="005D1D81"/>
    <w:pPr>
      <w:keepNext/>
      <w:spacing w:before="240" w:after="360"/>
      <w:outlineLvl w:val="0"/>
    </w:pPr>
    <w:rPr>
      <w:b/>
      <w:caps/>
      <w:sz w:val="28"/>
      <w:szCs w:val="28"/>
    </w:rPr>
  </w:style>
  <w:style w:type="paragraph" w:styleId="Heading2">
    <w:name w:val="heading 2"/>
    <w:basedOn w:val="Normal"/>
    <w:next w:val="Normal"/>
    <w:link w:val="Heading2Char"/>
    <w:qFormat/>
    <w:rsid w:val="001C32E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1C32E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C32E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1C32E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C32E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1C32E4"/>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qFormat/>
    <w:rsid w:val="001C32E4"/>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1C32E4"/>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2CCB"/>
    <w:pPr>
      <w:tabs>
        <w:tab w:val="center" w:pos="4153"/>
        <w:tab w:val="right" w:pos="8306"/>
      </w:tabs>
      <w:spacing w:before="60" w:after="60"/>
    </w:pPr>
    <w:rPr>
      <w:sz w:val="24"/>
      <w:lang w:eastAsia="en-US"/>
    </w:rPr>
  </w:style>
  <w:style w:type="paragraph" w:styleId="Title">
    <w:name w:val="Title"/>
    <w:basedOn w:val="Normal"/>
    <w:link w:val="TitleChar"/>
    <w:qFormat/>
    <w:rsid w:val="009A2CCB"/>
    <w:pPr>
      <w:jc w:val="center"/>
    </w:pPr>
    <w:rPr>
      <w:b/>
    </w:rPr>
  </w:style>
  <w:style w:type="paragraph" w:styleId="Subtitle">
    <w:name w:val="Subtitle"/>
    <w:basedOn w:val="Normal"/>
    <w:link w:val="SubtitleChar"/>
    <w:qFormat/>
    <w:rsid w:val="009A2CCB"/>
    <w:pPr>
      <w:jc w:val="center"/>
    </w:pPr>
    <w:rPr>
      <w:b/>
    </w:rPr>
  </w:style>
  <w:style w:type="paragraph" w:styleId="BodyText">
    <w:name w:val="Body Text"/>
    <w:basedOn w:val="Normal"/>
    <w:rsid w:val="009A2CCB"/>
    <w:rPr>
      <w:sz w:val="24"/>
    </w:rPr>
  </w:style>
  <w:style w:type="paragraph" w:styleId="Header">
    <w:name w:val="header"/>
    <w:basedOn w:val="Normal"/>
    <w:rsid w:val="00C5129B"/>
    <w:pPr>
      <w:tabs>
        <w:tab w:val="center" w:pos="4153"/>
        <w:tab w:val="right" w:pos="8306"/>
      </w:tabs>
    </w:pPr>
  </w:style>
  <w:style w:type="table" w:styleId="TableGrid">
    <w:name w:val="Table Grid"/>
    <w:basedOn w:val="TableNormal"/>
    <w:rsid w:val="00684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F2E3D"/>
  </w:style>
  <w:style w:type="paragraph" w:styleId="DocumentMap">
    <w:name w:val="Document Map"/>
    <w:basedOn w:val="Normal"/>
    <w:semiHidden/>
    <w:rsid w:val="006B7521"/>
    <w:pPr>
      <w:shd w:val="clear" w:color="auto" w:fill="000080"/>
    </w:pPr>
    <w:rPr>
      <w:rFonts w:ascii="Tahoma" w:hAnsi="Tahoma" w:cs="Tahoma"/>
    </w:rPr>
  </w:style>
  <w:style w:type="paragraph" w:customStyle="1" w:styleId="TableP2i">
    <w:name w:val="TableP2(i)"/>
    <w:basedOn w:val="Normal"/>
    <w:rsid w:val="00CA40F4"/>
    <w:pPr>
      <w:tabs>
        <w:tab w:val="right" w:pos="726"/>
      </w:tabs>
      <w:spacing w:after="60" w:line="240" w:lineRule="exact"/>
      <w:ind w:left="868" w:hanging="868"/>
    </w:pPr>
    <w:rPr>
      <w:sz w:val="22"/>
      <w:szCs w:val="24"/>
    </w:rPr>
  </w:style>
  <w:style w:type="paragraph" w:customStyle="1" w:styleId="TableP1a">
    <w:name w:val="TableP1(a)"/>
    <w:basedOn w:val="Normal"/>
    <w:rsid w:val="007E04B4"/>
    <w:pPr>
      <w:tabs>
        <w:tab w:val="right" w:pos="408"/>
      </w:tabs>
      <w:spacing w:after="60" w:line="240" w:lineRule="exact"/>
      <w:ind w:left="533" w:hanging="533"/>
    </w:pPr>
    <w:rPr>
      <w:sz w:val="22"/>
      <w:szCs w:val="24"/>
    </w:rPr>
  </w:style>
  <w:style w:type="paragraph" w:customStyle="1" w:styleId="TableText">
    <w:name w:val="TableText"/>
    <w:basedOn w:val="Normal"/>
    <w:rsid w:val="00EF0468"/>
    <w:pPr>
      <w:spacing w:before="60" w:after="60" w:line="240" w:lineRule="exact"/>
    </w:pPr>
    <w:rPr>
      <w:sz w:val="22"/>
      <w:szCs w:val="24"/>
    </w:rPr>
  </w:style>
  <w:style w:type="paragraph" w:customStyle="1" w:styleId="Bullet">
    <w:name w:val="Bullet"/>
    <w:basedOn w:val="Normal"/>
    <w:rsid w:val="005D1D81"/>
    <w:pPr>
      <w:numPr>
        <w:numId w:val="1"/>
      </w:numPr>
      <w:spacing w:after="240"/>
    </w:pPr>
    <w:rPr>
      <w:sz w:val="24"/>
    </w:rPr>
  </w:style>
  <w:style w:type="paragraph" w:customStyle="1" w:styleId="Dash">
    <w:name w:val="Dash"/>
    <w:basedOn w:val="Normal"/>
    <w:rsid w:val="005D1D81"/>
    <w:pPr>
      <w:numPr>
        <w:ilvl w:val="1"/>
        <w:numId w:val="1"/>
      </w:numPr>
      <w:spacing w:after="240"/>
    </w:pPr>
    <w:rPr>
      <w:sz w:val="24"/>
    </w:rPr>
  </w:style>
  <w:style w:type="paragraph" w:customStyle="1" w:styleId="DoubleDot">
    <w:name w:val="Double Dot"/>
    <w:basedOn w:val="Normal"/>
    <w:rsid w:val="005D1D81"/>
    <w:pPr>
      <w:numPr>
        <w:ilvl w:val="2"/>
        <w:numId w:val="1"/>
      </w:numPr>
      <w:spacing w:after="240"/>
    </w:pPr>
    <w:rPr>
      <w:sz w:val="24"/>
    </w:rPr>
  </w:style>
  <w:style w:type="paragraph" w:customStyle="1" w:styleId="KeyPoints">
    <w:name w:val="Key Points"/>
    <w:basedOn w:val="Normal"/>
    <w:next w:val="Bullet"/>
    <w:rsid w:val="005D1D81"/>
    <w:pPr>
      <w:spacing w:before="120" w:after="240"/>
    </w:pPr>
    <w:rPr>
      <w:b/>
      <w:caps/>
      <w:sz w:val="24"/>
      <w:szCs w:val="24"/>
    </w:rPr>
  </w:style>
  <w:style w:type="paragraph" w:customStyle="1" w:styleId="TableColHead">
    <w:name w:val="TableColHead"/>
    <w:basedOn w:val="Normal"/>
    <w:rsid w:val="005D1D81"/>
    <w:pPr>
      <w:keepNext/>
      <w:spacing w:before="120" w:after="60" w:line="200" w:lineRule="exact"/>
    </w:pPr>
    <w:rPr>
      <w:rFonts w:ascii="Arial" w:hAnsi="Arial"/>
      <w:b/>
      <w:sz w:val="18"/>
      <w:szCs w:val="24"/>
    </w:rPr>
  </w:style>
  <w:style w:type="paragraph" w:styleId="BodyTextFirstIndent">
    <w:name w:val="Body Text First Indent"/>
    <w:basedOn w:val="BodyText"/>
    <w:rsid w:val="005D1D81"/>
    <w:pPr>
      <w:spacing w:after="120"/>
      <w:ind w:firstLine="210"/>
    </w:pPr>
    <w:rPr>
      <w:szCs w:val="24"/>
    </w:rPr>
  </w:style>
  <w:style w:type="paragraph" w:styleId="BodyTextIndent">
    <w:name w:val="Body Text Indent"/>
    <w:basedOn w:val="Normal"/>
    <w:rsid w:val="005D1D81"/>
    <w:pPr>
      <w:spacing w:after="120"/>
      <w:ind w:left="283"/>
    </w:pPr>
    <w:rPr>
      <w:sz w:val="24"/>
      <w:szCs w:val="24"/>
    </w:rPr>
  </w:style>
  <w:style w:type="paragraph" w:styleId="BodyTextFirstIndent2">
    <w:name w:val="Body Text First Indent 2"/>
    <w:basedOn w:val="BodyTextIndent"/>
    <w:rsid w:val="005D1D81"/>
    <w:pPr>
      <w:ind w:firstLine="210"/>
    </w:pPr>
  </w:style>
  <w:style w:type="paragraph" w:styleId="BodyTextIndent2">
    <w:name w:val="Body Text Indent 2"/>
    <w:basedOn w:val="Normal"/>
    <w:rsid w:val="005D1D81"/>
    <w:pPr>
      <w:spacing w:after="120" w:line="480" w:lineRule="auto"/>
      <w:ind w:left="283"/>
    </w:pPr>
    <w:rPr>
      <w:sz w:val="24"/>
      <w:szCs w:val="24"/>
    </w:rPr>
  </w:style>
  <w:style w:type="paragraph" w:styleId="BodyTextIndent3">
    <w:name w:val="Body Text Indent 3"/>
    <w:basedOn w:val="Normal"/>
    <w:rsid w:val="005D1D81"/>
    <w:pPr>
      <w:spacing w:after="120"/>
      <w:ind w:left="283"/>
    </w:pPr>
    <w:rPr>
      <w:sz w:val="16"/>
      <w:szCs w:val="16"/>
    </w:rPr>
  </w:style>
  <w:style w:type="paragraph" w:styleId="Closing">
    <w:name w:val="Closing"/>
    <w:basedOn w:val="Normal"/>
    <w:rsid w:val="005D1D81"/>
    <w:pPr>
      <w:ind w:left="4252"/>
    </w:pPr>
    <w:rPr>
      <w:sz w:val="24"/>
      <w:szCs w:val="24"/>
    </w:rPr>
  </w:style>
  <w:style w:type="paragraph" w:styleId="Date">
    <w:name w:val="Date"/>
    <w:basedOn w:val="Normal"/>
    <w:next w:val="Normal"/>
    <w:rsid w:val="005D1D81"/>
    <w:rPr>
      <w:sz w:val="24"/>
      <w:szCs w:val="24"/>
    </w:rPr>
  </w:style>
  <w:style w:type="paragraph" w:styleId="E-mailSignature">
    <w:name w:val="E-mail Signature"/>
    <w:basedOn w:val="Normal"/>
    <w:rsid w:val="005D1D81"/>
    <w:rPr>
      <w:sz w:val="24"/>
      <w:szCs w:val="24"/>
    </w:rPr>
  </w:style>
  <w:style w:type="character" w:styleId="Emphasis">
    <w:name w:val="Emphasis"/>
    <w:qFormat/>
    <w:rsid w:val="005D1D81"/>
    <w:rPr>
      <w:i/>
      <w:iCs/>
    </w:rPr>
  </w:style>
  <w:style w:type="paragraph" w:styleId="BodyText3">
    <w:name w:val="Body Text 3"/>
    <w:basedOn w:val="Normal"/>
    <w:rsid w:val="00891C53"/>
    <w:pPr>
      <w:spacing w:after="120"/>
    </w:pPr>
    <w:rPr>
      <w:sz w:val="16"/>
      <w:szCs w:val="16"/>
    </w:rPr>
  </w:style>
  <w:style w:type="paragraph" w:customStyle="1" w:styleId="greybodytext">
    <w:name w:val="grey body text"/>
    <w:basedOn w:val="Normal"/>
    <w:rsid w:val="00E238F7"/>
    <w:pPr>
      <w:spacing w:before="180" w:line="320" w:lineRule="exact"/>
      <w:ind w:left="993"/>
    </w:pPr>
    <w:rPr>
      <w:rFonts w:ascii="Palatino" w:hAnsi="Palatino"/>
      <w:lang w:eastAsia="en-US"/>
    </w:rPr>
  </w:style>
  <w:style w:type="character" w:styleId="Hyperlink">
    <w:name w:val="Hyperlink"/>
    <w:rsid w:val="00E238F7"/>
    <w:rPr>
      <w:color w:val="0000FF"/>
      <w:u w:val="single"/>
    </w:rPr>
  </w:style>
  <w:style w:type="numbering" w:styleId="1ai">
    <w:name w:val="Outline List 1"/>
    <w:basedOn w:val="NoList"/>
    <w:rsid w:val="00851AA2"/>
    <w:pPr>
      <w:numPr>
        <w:numId w:val="2"/>
      </w:numPr>
    </w:pPr>
  </w:style>
  <w:style w:type="paragraph" w:customStyle="1" w:styleId="Char">
    <w:name w:val="Char"/>
    <w:basedOn w:val="Normal"/>
    <w:rsid w:val="000E76B2"/>
    <w:pPr>
      <w:spacing w:after="160" w:line="240" w:lineRule="exact"/>
    </w:pPr>
  </w:style>
  <w:style w:type="character" w:customStyle="1" w:styleId="Heading2Char">
    <w:name w:val="Heading 2 Char"/>
    <w:link w:val="Heading2"/>
    <w:semiHidden/>
    <w:rsid w:val="001C32E4"/>
    <w:rPr>
      <w:rFonts w:ascii="Cambria" w:eastAsia="Times New Roman" w:hAnsi="Cambria" w:cs="Times New Roman"/>
      <w:b/>
      <w:bCs/>
      <w:i/>
      <w:iCs/>
      <w:sz w:val="28"/>
      <w:szCs w:val="28"/>
    </w:rPr>
  </w:style>
  <w:style w:type="character" w:customStyle="1" w:styleId="Heading3Char">
    <w:name w:val="Heading 3 Char"/>
    <w:link w:val="Heading3"/>
    <w:semiHidden/>
    <w:rsid w:val="001C32E4"/>
    <w:rPr>
      <w:rFonts w:ascii="Cambria" w:eastAsia="Times New Roman" w:hAnsi="Cambria" w:cs="Times New Roman"/>
      <w:b/>
      <w:bCs/>
      <w:sz w:val="26"/>
      <w:szCs w:val="26"/>
    </w:rPr>
  </w:style>
  <w:style w:type="character" w:customStyle="1" w:styleId="Heading4Char">
    <w:name w:val="Heading 4 Char"/>
    <w:link w:val="Heading4"/>
    <w:semiHidden/>
    <w:rsid w:val="001C32E4"/>
    <w:rPr>
      <w:rFonts w:ascii="Calibri" w:eastAsia="Times New Roman" w:hAnsi="Calibri" w:cs="Times New Roman"/>
      <w:b/>
      <w:bCs/>
      <w:sz w:val="28"/>
      <w:szCs w:val="28"/>
    </w:rPr>
  </w:style>
  <w:style w:type="character" w:customStyle="1" w:styleId="Heading5Char">
    <w:name w:val="Heading 5 Char"/>
    <w:link w:val="Heading5"/>
    <w:semiHidden/>
    <w:rsid w:val="001C32E4"/>
    <w:rPr>
      <w:rFonts w:ascii="Calibri" w:eastAsia="Times New Roman" w:hAnsi="Calibri" w:cs="Times New Roman"/>
      <w:b/>
      <w:bCs/>
      <w:i/>
      <w:iCs/>
      <w:sz w:val="26"/>
      <w:szCs w:val="26"/>
    </w:rPr>
  </w:style>
  <w:style w:type="character" w:customStyle="1" w:styleId="Heading6Char">
    <w:name w:val="Heading 6 Char"/>
    <w:link w:val="Heading6"/>
    <w:semiHidden/>
    <w:rsid w:val="001C32E4"/>
    <w:rPr>
      <w:rFonts w:ascii="Calibri" w:eastAsia="Times New Roman" w:hAnsi="Calibri" w:cs="Times New Roman"/>
      <w:b/>
      <w:bCs/>
      <w:sz w:val="22"/>
      <w:szCs w:val="22"/>
    </w:rPr>
  </w:style>
  <w:style w:type="character" w:customStyle="1" w:styleId="Heading7Char">
    <w:name w:val="Heading 7 Char"/>
    <w:link w:val="Heading7"/>
    <w:semiHidden/>
    <w:rsid w:val="001C32E4"/>
    <w:rPr>
      <w:rFonts w:ascii="Calibri" w:eastAsia="Times New Roman" w:hAnsi="Calibri" w:cs="Times New Roman"/>
      <w:sz w:val="24"/>
      <w:szCs w:val="24"/>
    </w:rPr>
  </w:style>
  <w:style w:type="character" w:customStyle="1" w:styleId="Heading8Char">
    <w:name w:val="Heading 8 Char"/>
    <w:link w:val="Heading8"/>
    <w:semiHidden/>
    <w:rsid w:val="001C32E4"/>
    <w:rPr>
      <w:rFonts w:ascii="Calibri" w:eastAsia="Times New Roman" w:hAnsi="Calibri" w:cs="Times New Roman"/>
      <w:i/>
      <w:iCs/>
      <w:sz w:val="24"/>
      <w:szCs w:val="24"/>
    </w:rPr>
  </w:style>
  <w:style w:type="character" w:customStyle="1" w:styleId="Heading9Char">
    <w:name w:val="Heading 9 Char"/>
    <w:link w:val="Heading9"/>
    <w:semiHidden/>
    <w:rsid w:val="001C32E4"/>
    <w:rPr>
      <w:rFonts w:ascii="Cambria" w:eastAsia="Times New Roman" w:hAnsi="Cambria" w:cs="Times New Roman"/>
      <w:sz w:val="22"/>
      <w:szCs w:val="22"/>
    </w:rPr>
  </w:style>
  <w:style w:type="numbering" w:styleId="ArticleSection">
    <w:name w:val="Outline List 3"/>
    <w:basedOn w:val="NoList"/>
    <w:rsid w:val="001C32E4"/>
    <w:pPr>
      <w:numPr>
        <w:numId w:val="3"/>
      </w:numPr>
    </w:pPr>
  </w:style>
  <w:style w:type="paragraph" w:customStyle="1" w:styleId="Default">
    <w:name w:val="Default"/>
    <w:rsid w:val="00C8247C"/>
    <w:pPr>
      <w:autoSpaceDE w:val="0"/>
      <w:autoSpaceDN w:val="0"/>
      <w:adjustRightInd w:val="0"/>
    </w:pPr>
    <w:rPr>
      <w:color w:val="000000"/>
      <w:sz w:val="24"/>
      <w:szCs w:val="24"/>
    </w:rPr>
  </w:style>
  <w:style w:type="paragraph" w:styleId="BalloonText">
    <w:name w:val="Balloon Text"/>
    <w:basedOn w:val="Normal"/>
    <w:semiHidden/>
    <w:rsid w:val="00AD467F"/>
    <w:rPr>
      <w:rFonts w:ascii="Tahoma" w:hAnsi="Tahoma" w:cs="Tahoma"/>
      <w:sz w:val="16"/>
      <w:szCs w:val="16"/>
    </w:rPr>
  </w:style>
  <w:style w:type="paragraph" w:styleId="Revision">
    <w:name w:val="Revision"/>
    <w:hidden/>
    <w:uiPriority w:val="99"/>
    <w:semiHidden/>
    <w:rsid w:val="00F27561"/>
  </w:style>
  <w:style w:type="character" w:styleId="CommentReference">
    <w:name w:val="annotation reference"/>
    <w:rsid w:val="000E25F5"/>
    <w:rPr>
      <w:sz w:val="16"/>
      <w:szCs w:val="16"/>
    </w:rPr>
  </w:style>
  <w:style w:type="paragraph" w:styleId="CommentText">
    <w:name w:val="annotation text"/>
    <w:basedOn w:val="Normal"/>
    <w:link w:val="CommentTextChar"/>
    <w:rsid w:val="000E25F5"/>
  </w:style>
  <w:style w:type="character" w:customStyle="1" w:styleId="CommentTextChar">
    <w:name w:val="Comment Text Char"/>
    <w:basedOn w:val="DefaultParagraphFont"/>
    <w:link w:val="CommentText"/>
    <w:rsid w:val="000E25F5"/>
  </w:style>
  <w:style w:type="paragraph" w:styleId="CommentSubject">
    <w:name w:val="annotation subject"/>
    <w:basedOn w:val="CommentText"/>
    <w:next w:val="CommentText"/>
    <w:link w:val="CommentSubjectChar"/>
    <w:rsid w:val="000E25F5"/>
    <w:rPr>
      <w:b/>
      <w:bCs/>
      <w:lang w:val="x-none" w:eastAsia="x-none"/>
    </w:rPr>
  </w:style>
  <w:style w:type="character" w:customStyle="1" w:styleId="CommentSubjectChar">
    <w:name w:val="Comment Subject Char"/>
    <w:link w:val="CommentSubject"/>
    <w:rsid w:val="000E25F5"/>
    <w:rPr>
      <w:b/>
      <w:bCs/>
    </w:rPr>
  </w:style>
  <w:style w:type="character" w:styleId="LineNumber">
    <w:name w:val="line number"/>
    <w:rsid w:val="00716A3C"/>
  </w:style>
  <w:style w:type="paragraph" w:customStyle="1" w:styleId="default0">
    <w:name w:val="default"/>
    <w:basedOn w:val="Normal"/>
    <w:rsid w:val="00593BB4"/>
    <w:pPr>
      <w:spacing w:before="100" w:beforeAutospacing="1" w:after="100" w:afterAutospacing="1"/>
    </w:pPr>
    <w:rPr>
      <w:sz w:val="24"/>
      <w:szCs w:val="24"/>
    </w:rPr>
  </w:style>
  <w:style w:type="paragraph" w:customStyle="1" w:styleId="tablecolhead0">
    <w:name w:val="tablecolhead"/>
    <w:basedOn w:val="Normal"/>
    <w:rsid w:val="00BD5478"/>
    <w:pPr>
      <w:spacing w:before="100" w:beforeAutospacing="1" w:after="100" w:afterAutospacing="1"/>
    </w:pPr>
    <w:rPr>
      <w:sz w:val="24"/>
      <w:szCs w:val="24"/>
    </w:rPr>
  </w:style>
  <w:style w:type="paragraph" w:styleId="ListParagraph">
    <w:name w:val="List Paragraph"/>
    <w:basedOn w:val="Normal"/>
    <w:uiPriority w:val="34"/>
    <w:qFormat/>
    <w:rsid w:val="00D61546"/>
    <w:pPr>
      <w:ind w:left="720"/>
    </w:pPr>
    <w:rPr>
      <w:rFonts w:ascii="Calibri" w:eastAsia="Calibri" w:hAnsi="Calibri" w:cs="Calibri"/>
      <w:sz w:val="22"/>
      <w:szCs w:val="22"/>
      <w:lang w:val="en-US" w:eastAsia="en-US"/>
    </w:rPr>
  </w:style>
  <w:style w:type="character" w:styleId="Strong">
    <w:name w:val="Strong"/>
    <w:uiPriority w:val="22"/>
    <w:qFormat/>
    <w:rsid w:val="007F3E55"/>
    <w:rPr>
      <w:b/>
      <w:bCs/>
    </w:rPr>
  </w:style>
  <w:style w:type="character" w:customStyle="1" w:styleId="st1">
    <w:name w:val="st1"/>
    <w:rsid w:val="00E77D9F"/>
  </w:style>
  <w:style w:type="character" w:customStyle="1" w:styleId="TitleChar">
    <w:name w:val="Title Char"/>
    <w:link w:val="Title"/>
    <w:rsid w:val="001A1EB8"/>
    <w:rPr>
      <w:b/>
    </w:rPr>
  </w:style>
  <w:style w:type="character" w:customStyle="1" w:styleId="SubtitleChar">
    <w:name w:val="Subtitle Char"/>
    <w:link w:val="Subtitle"/>
    <w:rsid w:val="001A1EB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ArticleSection"/>
    <w:pPr>
      <w:numPr>
        <w:numId w:val="3"/>
      </w:numPr>
    </w:pPr>
  </w:style>
  <w:style w:type="numbering" w:customStyle="1" w:styleId="Title">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5721">
      <w:bodyDiv w:val="1"/>
      <w:marLeft w:val="0"/>
      <w:marRight w:val="0"/>
      <w:marTop w:val="0"/>
      <w:marBottom w:val="0"/>
      <w:divBdr>
        <w:top w:val="none" w:sz="0" w:space="0" w:color="auto"/>
        <w:left w:val="none" w:sz="0" w:space="0" w:color="auto"/>
        <w:bottom w:val="none" w:sz="0" w:space="0" w:color="auto"/>
        <w:right w:val="none" w:sz="0" w:space="0" w:color="auto"/>
      </w:divBdr>
    </w:div>
    <w:div w:id="152722383">
      <w:bodyDiv w:val="1"/>
      <w:marLeft w:val="0"/>
      <w:marRight w:val="0"/>
      <w:marTop w:val="0"/>
      <w:marBottom w:val="0"/>
      <w:divBdr>
        <w:top w:val="none" w:sz="0" w:space="0" w:color="auto"/>
        <w:left w:val="none" w:sz="0" w:space="0" w:color="auto"/>
        <w:bottom w:val="none" w:sz="0" w:space="0" w:color="auto"/>
        <w:right w:val="none" w:sz="0" w:space="0" w:color="auto"/>
      </w:divBdr>
    </w:div>
    <w:div w:id="539367397">
      <w:bodyDiv w:val="1"/>
      <w:marLeft w:val="0"/>
      <w:marRight w:val="0"/>
      <w:marTop w:val="0"/>
      <w:marBottom w:val="0"/>
      <w:divBdr>
        <w:top w:val="none" w:sz="0" w:space="0" w:color="auto"/>
        <w:left w:val="none" w:sz="0" w:space="0" w:color="auto"/>
        <w:bottom w:val="none" w:sz="0" w:space="0" w:color="auto"/>
        <w:right w:val="none" w:sz="0" w:space="0" w:color="auto"/>
      </w:divBdr>
      <w:divsChild>
        <w:div w:id="1266769624">
          <w:marLeft w:val="0"/>
          <w:marRight w:val="0"/>
          <w:marTop w:val="0"/>
          <w:marBottom w:val="0"/>
          <w:divBdr>
            <w:top w:val="none" w:sz="0" w:space="0" w:color="auto"/>
            <w:left w:val="none" w:sz="0" w:space="0" w:color="auto"/>
            <w:bottom w:val="none" w:sz="0" w:space="0" w:color="auto"/>
            <w:right w:val="none" w:sz="0" w:space="0" w:color="auto"/>
          </w:divBdr>
          <w:divsChild>
            <w:div w:id="566648240">
              <w:marLeft w:val="0"/>
              <w:marRight w:val="0"/>
              <w:marTop w:val="0"/>
              <w:marBottom w:val="0"/>
              <w:divBdr>
                <w:top w:val="none" w:sz="0" w:space="0" w:color="auto"/>
                <w:left w:val="none" w:sz="0" w:space="0" w:color="auto"/>
                <w:bottom w:val="none" w:sz="0" w:space="0" w:color="auto"/>
                <w:right w:val="none" w:sz="0" w:space="0" w:color="auto"/>
              </w:divBdr>
              <w:divsChild>
                <w:div w:id="600334450">
                  <w:marLeft w:val="0"/>
                  <w:marRight w:val="0"/>
                  <w:marTop w:val="0"/>
                  <w:marBottom w:val="0"/>
                  <w:divBdr>
                    <w:top w:val="none" w:sz="0" w:space="0" w:color="auto"/>
                    <w:left w:val="none" w:sz="0" w:space="0" w:color="auto"/>
                    <w:bottom w:val="none" w:sz="0" w:space="0" w:color="auto"/>
                    <w:right w:val="none" w:sz="0" w:space="0" w:color="auto"/>
                  </w:divBdr>
                  <w:divsChild>
                    <w:div w:id="1230120109">
                      <w:marLeft w:val="0"/>
                      <w:marRight w:val="0"/>
                      <w:marTop w:val="0"/>
                      <w:marBottom w:val="0"/>
                      <w:divBdr>
                        <w:top w:val="none" w:sz="0" w:space="0" w:color="auto"/>
                        <w:left w:val="none" w:sz="0" w:space="0" w:color="auto"/>
                        <w:bottom w:val="none" w:sz="0" w:space="0" w:color="auto"/>
                        <w:right w:val="none" w:sz="0" w:space="0" w:color="auto"/>
                      </w:divBdr>
                      <w:divsChild>
                        <w:div w:id="1724062463">
                          <w:marLeft w:val="0"/>
                          <w:marRight w:val="0"/>
                          <w:marTop w:val="0"/>
                          <w:marBottom w:val="0"/>
                          <w:divBdr>
                            <w:top w:val="single" w:sz="6" w:space="0" w:color="828282"/>
                            <w:left w:val="single" w:sz="6" w:space="0" w:color="828282"/>
                            <w:bottom w:val="single" w:sz="6" w:space="0" w:color="828282"/>
                            <w:right w:val="single" w:sz="6" w:space="0" w:color="828282"/>
                          </w:divBdr>
                          <w:divsChild>
                            <w:div w:id="346031330">
                              <w:marLeft w:val="0"/>
                              <w:marRight w:val="0"/>
                              <w:marTop w:val="0"/>
                              <w:marBottom w:val="0"/>
                              <w:divBdr>
                                <w:top w:val="none" w:sz="0" w:space="0" w:color="auto"/>
                                <w:left w:val="none" w:sz="0" w:space="0" w:color="auto"/>
                                <w:bottom w:val="none" w:sz="0" w:space="0" w:color="auto"/>
                                <w:right w:val="none" w:sz="0" w:space="0" w:color="auto"/>
                              </w:divBdr>
                              <w:divsChild>
                                <w:div w:id="671185272">
                                  <w:marLeft w:val="0"/>
                                  <w:marRight w:val="0"/>
                                  <w:marTop w:val="0"/>
                                  <w:marBottom w:val="0"/>
                                  <w:divBdr>
                                    <w:top w:val="none" w:sz="0" w:space="0" w:color="auto"/>
                                    <w:left w:val="none" w:sz="0" w:space="0" w:color="auto"/>
                                    <w:bottom w:val="none" w:sz="0" w:space="0" w:color="auto"/>
                                    <w:right w:val="none" w:sz="0" w:space="0" w:color="auto"/>
                                  </w:divBdr>
                                  <w:divsChild>
                                    <w:div w:id="1612936391">
                                      <w:marLeft w:val="0"/>
                                      <w:marRight w:val="0"/>
                                      <w:marTop w:val="0"/>
                                      <w:marBottom w:val="0"/>
                                      <w:divBdr>
                                        <w:top w:val="none" w:sz="0" w:space="0" w:color="auto"/>
                                        <w:left w:val="none" w:sz="0" w:space="0" w:color="auto"/>
                                        <w:bottom w:val="none" w:sz="0" w:space="0" w:color="auto"/>
                                        <w:right w:val="none" w:sz="0" w:space="0" w:color="auto"/>
                                      </w:divBdr>
                                      <w:divsChild>
                                        <w:div w:id="1815221665">
                                          <w:marLeft w:val="0"/>
                                          <w:marRight w:val="0"/>
                                          <w:marTop w:val="0"/>
                                          <w:marBottom w:val="0"/>
                                          <w:divBdr>
                                            <w:top w:val="none" w:sz="0" w:space="0" w:color="auto"/>
                                            <w:left w:val="none" w:sz="0" w:space="0" w:color="auto"/>
                                            <w:bottom w:val="none" w:sz="0" w:space="0" w:color="auto"/>
                                            <w:right w:val="none" w:sz="0" w:space="0" w:color="auto"/>
                                          </w:divBdr>
                                          <w:divsChild>
                                            <w:div w:id="1037118633">
                                              <w:marLeft w:val="0"/>
                                              <w:marRight w:val="0"/>
                                              <w:marTop w:val="0"/>
                                              <w:marBottom w:val="0"/>
                                              <w:divBdr>
                                                <w:top w:val="none" w:sz="0" w:space="0" w:color="auto"/>
                                                <w:left w:val="none" w:sz="0" w:space="0" w:color="auto"/>
                                                <w:bottom w:val="none" w:sz="0" w:space="0" w:color="auto"/>
                                                <w:right w:val="none" w:sz="0" w:space="0" w:color="auto"/>
                                              </w:divBdr>
                                              <w:divsChild>
                                                <w:div w:id="559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253652">
      <w:bodyDiv w:val="1"/>
      <w:marLeft w:val="0"/>
      <w:marRight w:val="0"/>
      <w:marTop w:val="0"/>
      <w:marBottom w:val="0"/>
      <w:divBdr>
        <w:top w:val="none" w:sz="0" w:space="0" w:color="auto"/>
        <w:left w:val="none" w:sz="0" w:space="0" w:color="auto"/>
        <w:bottom w:val="none" w:sz="0" w:space="0" w:color="auto"/>
        <w:right w:val="none" w:sz="0" w:space="0" w:color="auto"/>
      </w:divBdr>
    </w:div>
    <w:div w:id="670723499">
      <w:bodyDiv w:val="1"/>
      <w:marLeft w:val="0"/>
      <w:marRight w:val="0"/>
      <w:marTop w:val="0"/>
      <w:marBottom w:val="0"/>
      <w:divBdr>
        <w:top w:val="none" w:sz="0" w:space="0" w:color="auto"/>
        <w:left w:val="none" w:sz="0" w:space="0" w:color="auto"/>
        <w:bottom w:val="none" w:sz="0" w:space="0" w:color="auto"/>
        <w:right w:val="none" w:sz="0" w:space="0" w:color="auto"/>
      </w:divBdr>
    </w:div>
    <w:div w:id="1496677859">
      <w:bodyDiv w:val="1"/>
      <w:marLeft w:val="0"/>
      <w:marRight w:val="0"/>
      <w:marTop w:val="0"/>
      <w:marBottom w:val="0"/>
      <w:divBdr>
        <w:top w:val="none" w:sz="0" w:space="0" w:color="auto"/>
        <w:left w:val="none" w:sz="0" w:space="0" w:color="auto"/>
        <w:bottom w:val="none" w:sz="0" w:space="0" w:color="auto"/>
        <w:right w:val="none" w:sz="0" w:space="0" w:color="auto"/>
      </w:divBdr>
    </w:div>
    <w:div w:id="1708721465">
      <w:bodyDiv w:val="1"/>
      <w:marLeft w:val="0"/>
      <w:marRight w:val="0"/>
      <w:marTop w:val="0"/>
      <w:marBottom w:val="0"/>
      <w:divBdr>
        <w:top w:val="none" w:sz="0" w:space="0" w:color="auto"/>
        <w:left w:val="none" w:sz="0" w:space="0" w:color="auto"/>
        <w:bottom w:val="none" w:sz="0" w:space="0" w:color="auto"/>
        <w:right w:val="none" w:sz="0" w:space="0" w:color="auto"/>
      </w:divBdr>
    </w:div>
    <w:div w:id="21431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F013-2E3F-4646-9D81-3216C6C3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7312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Royal Australian Mint</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Currency Determination 2006 ( No 2)</dc:subject>
  <dc:creator>nclement</dc:creator>
  <cp:keywords/>
  <cp:lastModifiedBy>Debora Vella </cp:lastModifiedBy>
  <cp:revision>2</cp:revision>
  <cp:lastPrinted>2012-06-26T02:33:00Z</cp:lastPrinted>
  <dcterms:created xsi:type="dcterms:W3CDTF">2014-02-06T22:39:00Z</dcterms:created>
  <dcterms:modified xsi:type="dcterms:W3CDTF">2014-02-06T22:39:00Z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Close">
    <vt:lpwstr>�</vt:lpwstr>
  </property>
  <property fmtid="{D5CDD505-2E9C-101B-9397-08002B2CF9AE}" pid="3" name="_NewReviewCycle">
    <vt:lpwstr/>
  </property>
  <property fmtid="{D5CDD505-2E9C-101B-9397-08002B2CF9AE}" pid="4" name="_AdHocReviewCycleID">
    <vt:i4>431933408</vt:i4>
  </property>
  <property fmtid="{D5CDD505-2E9C-101B-9397-08002B2CF9AE}" pid="5" name="_EmailSubject">
    <vt:lpwstr>Marketing and Sales - Legal - Currency Determination (Royal Australian Mint) 2012 (No 2) - Attachment B (2).DOC</vt:lpwstr>
  </property>
  <property fmtid="{D5CDD505-2E9C-101B-9397-08002B2CF9AE}" pid="6" name="_AuthorEmail">
    <vt:lpwstr>Marcus.McKillop@TREASURY.GOV.AU</vt:lpwstr>
  </property>
  <property fmtid="{D5CDD505-2E9C-101B-9397-08002B2CF9AE}" pid="7" name="_AuthorEmailDisplayName">
    <vt:lpwstr>McKillop, Marcus</vt:lpwstr>
  </property>
  <property fmtid="{D5CDD505-2E9C-101B-9397-08002B2CF9AE}" pid="8" name="_ReviewingToolsShownOnce">
    <vt:lpwstr/>
  </property>
</Properties>
</file>