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A2" w:rsidRPr="00034250" w:rsidRDefault="004442A2" w:rsidP="003301DA">
      <w:pPr>
        <w:pStyle w:val="Heading1"/>
        <w:spacing w:after="200"/>
        <w:jc w:val="center"/>
        <w:rPr>
          <w:color w:val="auto"/>
          <w:u w:val="single"/>
        </w:rPr>
      </w:pPr>
      <w:r w:rsidRPr="00034250">
        <w:rPr>
          <w:color w:val="auto"/>
          <w:u w:val="single"/>
        </w:rPr>
        <w:t>EXPLANATORY STATEMENT</w:t>
      </w:r>
    </w:p>
    <w:p w:rsidR="004442A2" w:rsidRPr="00034250" w:rsidRDefault="004442A2" w:rsidP="003301DA">
      <w:pPr>
        <w:pStyle w:val="Heading1"/>
        <w:spacing w:after="200"/>
        <w:jc w:val="center"/>
        <w:rPr>
          <w:color w:val="auto"/>
        </w:rPr>
      </w:pPr>
      <w:r w:rsidRPr="00034250">
        <w:rPr>
          <w:color w:val="auto"/>
        </w:rPr>
        <w:t>Australian Jobs (Australian I</w:t>
      </w:r>
      <w:r w:rsidR="0023194B">
        <w:rPr>
          <w:color w:val="auto"/>
        </w:rPr>
        <w:t>ndustry Participation) Rule 2014</w:t>
      </w:r>
    </w:p>
    <w:p w:rsidR="004442A2" w:rsidRPr="004442A2" w:rsidRDefault="004442A2" w:rsidP="003301DA"/>
    <w:p w:rsidR="004442A2" w:rsidRPr="004442A2" w:rsidRDefault="004442A2" w:rsidP="003301DA">
      <w:r>
        <w:rPr>
          <w:bCs/>
        </w:rPr>
        <w:t xml:space="preserve">The </w:t>
      </w:r>
      <w:r w:rsidRPr="004442A2">
        <w:rPr>
          <w:bCs/>
        </w:rPr>
        <w:t>Australian Jobs (Australian I</w:t>
      </w:r>
      <w:r w:rsidR="0023194B">
        <w:rPr>
          <w:bCs/>
        </w:rPr>
        <w:t>ndustry Participation) Rule 2014</w:t>
      </w:r>
      <w:r>
        <w:rPr>
          <w:bCs/>
        </w:rPr>
        <w:t xml:space="preserve"> (the Rule) is made under the authority if the </w:t>
      </w:r>
      <w:r>
        <w:rPr>
          <w:bCs/>
          <w:i/>
        </w:rPr>
        <w:t xml:space="preserve">Australian Jobs Act 2013 </w:t>
      </w:r>
      <w:r>
        <w:rPr>
          <w:bCs/>
        </w:rPr>
        <w:t>(the Act)</w:t>
      </w:r>
      <w:r>
        <w:rPr>
          <w:bCs/>
          <w:i/>
        </w:rPr>
        <w:t>.</w:t>
      </w:r>
      <w:r>
        <w:rPr>
          <w:bCs/>
        </w:rPr>
        <w:t xml:space="preserve">  </w:t>
      </w:r>
      <w:r w:rsidRPr="00F87B2B">
        <w:t>The</w:t>
      </w:r>
      <w:r>
        <w:t xml:space="preserve"> Act</w:t>
      </w:r>
      <w:r w:rsidRPr="00F87B2B">
        <w:t xml:space="preserve"> </w:t>
      </w:r>
      <w:r>
        <w:t>mandates</w:t>
      </w:r>
      <w:r w:rsidRPr="00F87B2B">
        <w:t xml:space="preserve"> the application of Austral</w:t>
      </w:r>
      <w:r>
        <w:t>ian Industry Participation</w:t>
      </w:r>
      <w:r w:rsidRPr="00F87B2B">
        <w:t xml:space="preserve"> plans for all major projects with capital expenditure of $500 million or more in Australia, and </w:t>
      </w:r>
      <w:r>
        <w:t>establishes</w:t>
      </w:r>
      <w:r w:rsidRPr="00F87B2B">
        <w:t xml:space="preserve"> </w:t>
      </w:r>
      <w:r>
        <w:t>a statutory position, the</w:t>
      </w:r>
      <w:r w:rsidRPr="00F87B2B">
        <w:t xml:space="preserve"> Australian Industry Participation Authority</w:t>
      </w:r>
      <w:r>
        <w:t xml:space="preserve"> </w:t>
      </w:r>
      <w:r w:rsidRPr="004442A2">
        <w:rPr>
          <w:bCs/>
        </w:rPr>
        <w:t>(</w:t>
      </w:r>
      <w:r w:rsidR="006C51E7">
        <w:rPr>
          <w:bCs/>
        </w:rPr>
        <w:t xml:space="preserve">the </w:t>
      </w:r>
      <w:r w:rsidR="006C51E7">
        <w:rPr>
          <w:iCs/>
        </w:rPr>
        <w:t>Authority</w:t>
      </w:r>
      <w:r w:rsidRPr="004442A2">
        <w:rPr>
          <w:bCs/>
        </w:rPr>
        <w:t xml:space="preserve">).  </w:t>
      </w:r>
    </w:p>
    <w:p w:rsidR="004442A2" w:rsidRPr="004442A2" w:rsidRDefault="004442A2" w:rsidP="003301DA">
      <w:pPr>
        <w:rPr>
          <w:bCs/>
        </w:rPr>
      </w:pPr>
      <w:r w:rsidRPr="004442A2">
        <w:rPr>
          <w:bCs/>
        </w:rPr>
        <w:t>An Australian Industry Participation</w:t>
      </w:r>
      <w:r w:rsidR="0050750F">
        <w:rPr>
          <w:bCs/>
        </w:rPr>
        <w:t xml:space="preserve"> (AIP)</w:t>
      </w:r>
      <w:r w:rsidRPr="004442A2">
        <w:rPr>
          <w:bCs/>
        </w:rPr>
        <w:t xml:space="preserve"> plan outlines how a project proponent or proponents of a major project will provide full, fair and reasonable opportunity to Australian industry to supply goods and services to the project; it does not prescribe local content requirements.</w:t>
      </w:r>
    </w:p>
    <w:p w:rsidR="004442A2" w:rsidRPr="004442A2" w:rsidRDefault="004442A2" w:rsidP="003301DA">
      <w:pPr>
        <w:rPr>
          <w:bCs/>
        </w:rPr>
      </w:pPr>
      <w:r w:rsidRPr="004442A2">
        <w:rPr>
          <w:bCs/>
        </w:rPr>
        <w:t xml:space="preserve">The Act requires an </w:t>
      </w:r>
      <w:r>
        <w:rPr>
          <w:bCs/>
        </w:rPr>
        <w:t>AIP</w:t>
      </w:r>
      <w:r w:rsidRPr="004442A2">
        <w:rPr>
          <w:bCs/>
        </w:rPr>
        <w:t xml:space="preserve"> plan to be prepared before a trigger date as defined in the Act. The Act specifies Australian Industry Participation plan rules that impose minimum level</w:t>
      </w:r>
      <w:r w:rsidR="0050750F">
        <w:rPr>
          <w:bCs/>
        </w:rPr>
        <w:t>s</w:t>
      </w:r>
      <w:r w:rsidRPr="004442A2">
        <w:rPr>
          <w:bCs/>
        </w:rPr>
        <w:t xml:space="preserve"> of obligations on the project proponent or a facility operator to demonstrate the actions and activities they will take to ensure that Australian firms have an opportunity to bid for work on major projects. Compliance reporting will also be required on Australian Industry Participation plans during a project’s construction phase and two years into the operations phase. </w:t>
      </w:r>
    </w:p>
    <w:p w:rsidR="004442A2" w:rsidRPr="004442A2" w:rsidRDefault="004442A2" w:rsidP="003301DA">
      <w:pPr>
        <w:rPr>
          <w:bCs/>
        </w:rPr>
      </w:pPr>
      <w:r w:rsidRPr="004442A2">
        <w:rPr>
          <w:bCs/>
        </w:rPr>
        <w:t xml:space="preserve">The </w:t>
      </w:r>
      <w:r w:rsidR="006C51E7">
        <w:rPr>
          <w:iCs/>
        </w:rPr>
        <w:t>Authority</w:t>
      </w:r>
      <w:r w:rsidR="006C51E7" w:rsidRPr="004442A2">
        <w:rPr>
          <w:bCs/>
        </w:rPr>
        <w:t xml:space="preserve"> </w:t>
      </w:r>
      <w:r w:rsidRPr="004442A2">
        <w:rPr>
          <w:bCs/>
        </w:rPr>
        <w:t xml:space="preserve">will administer the Australian Industry Participation </w:t>
      </w:r>
      <w:r w:rsidR="0050750F">
        <w:rPr>
          <w:bCs/>
        </w:rPr>
        <w:t xml:space="preserve">plan </w:t>
      </w:r>
      <w:r w:rsidRPr="004442A2">
        <w:rPr>
          <w:bCs/>
        </w:rPr>
        <w:t>requirements and ensure compliance with the legislation. They will evaluate, approve and publish summaries of Australian Industry Participation plans, as well as monitor and report on the implementation of plans.</w:t>
      </w:r>
    </w:p>
    <w:p w:rsidR="004442A2" w:rsidRPr="004442A2" w:rsidRDefault="004442A2" w:rsidP="003301DA">
      <w:pPr>
        <w:rPr>
          <w:bCs/>
        </w:rPr>
      </w:pPr>
      <w:r w:rsidRPr="004442A2">
        <w:rPr>
          <w:bCs/>
        </w:rPr>
        <w:t xml:space="preserve">The Act specifies consequences for Australian Industry Participation plan non-compliance including adverse publicity notices, naming a relevant person and the ability for the </w:t>
      </w:r>
      <w:r w:rsidR="006C51E7">
        <w:rPr>
          <w:iCs/>
        </w:rPr>
        <w:t>Authority</w:t>
      </w:r>
      <w:r w:rsidR="006C51E7" w:rsidRPr="004442A2">
        <w:rPr>
          <w:bCs/>
        </w:rPr>
        <w:t xml:space="preserve"> </w:t>
      </w:r>
      <w:r w:rsidRPr="004442A2">
        <w:rPr>
          <w:bCs/>
        </w:rPr>
        <w:t xml:space="preserve">to seek performance and restraining injunctions. </w:t>
      </w:r>
    </w:p>
    <w:p w:rsidR="004442A2" w:rsidRDefault="004442A2" w:rsidP="003301DA">
      <w:pPr>
        <w:rPr>
          <w:bCs/>
        </w:rPr>
      </w:pPr>
      <w:r w:rsidRPr="004442A2">
        <w:rPr>
          <w:bCs/>
        </w:rPr>
        <w:t xml:space="preserve">Under the Act the Minister may, by legislative instrument, request the </w:t>
      </w:r>
      <w:r w:rsidR="006C51E7">
        <w:rPr>
          <w:iCs/>
        </w:rPr>
        <w:t>Authority</w:t>
      </w:r>
      <w:r w:rsidR="006C51E7" w:rsidRPr="004442A2">
        <w:rPr>
          <w:bCs/>
        </w:rPr>
        <w:t xml:space="preserve"> </w:t>
      </w:r>
      <w:r w:rsidRPr="004442A2">
        <w:rPr>
          <w:bCs/>
        </w:rPr>
        <w:t xml:space="preserve">to administer additional schemes and programmes on behalf of the Commonwealth. </w:t>
      </w:r>
    </w:p>
    <w:p w:rsidR="004442A2" w:rsidRDefault="004442A2" w:rsidP="003301DA">
      <w:pPr>
        <w:rPr>
          <w:bCs/>
        </w:rPr>
      </w:pPr>
      <w:r>
        <w:rPr>
          <w:bCs/>
        </w:rPr>
        <w:t xml:space="preserve">The Rule is divided into 6 Parts. </w:t>
      </w:r>
    </w:p>
    <w:p w:rsidR="004442A2" w:rsidRDefault="004442A2" w:rsidP="003301DA">
      <w:pPr>
        <w:rPr>
          <w:bCs/>
        </w:rPr>
      </w:pPr>
      <w:r>
        <w:rPr>
          <w:bCs/>
        </w:rPr>
        <w:t xml:space="preserve">Part 1 deals with preliminary matters. </w:t>
      </w:r>
    </w:p>
    <w:p w:rsidR="004442A2" w:rsidRDefault="004442A2" w:rsidP="003301DA">
      <w:pPr>
        <w:rPr>
          <w:bCs/>
        </w:rPr>
      </w:pPr>
      <w:r>
        <w:rPr>
          <w:bCs/>
        </w:rPr>
        <w:t xml:space="preserve">Part 2 deals with exceptions to giving a draft AIP plan to the </w:t>
      </w:r>
      <w:r w:rsidR="006C51E7">
        <w:rPr>
          <w:iCs/>
        </w:rPr>
        <w:t>Authority</w:t>
      </w:r>
      <w:r>
        <w:rPr>
          <w:bCs/>
        </w:rPr>
        <w:t xml:space="preserve">. </w:t>
      </w:r>
    </w:p>
    <w:p w:rsidR="004442A2" w:rsidRDefault="004442A2" w:rsidP="003301DA">
      <w:pPr>
        <w:rPr>
          <w:bCs/>
        </w:rPr>
      </w:pPr>
      <w:r>
        <w:rPr>
          <w:bCs/>
        </w:rPr>
        <w:t xml:space="preserve">Part 3 contains the information to accompany a compliance report for a project proponent and operator of a new facility. </w:t>
      </w:r>
    </w:p>
    <w:p w:rsidR="004442A2" w:rsidRDefault="004442A2" w:rsidP="003301DA">
      <w:pPr>
        <w:rPr>
          <w:bCs/>
        </w:rPr>
      </w:pPr>
      <w:r>
        <w:rPr>
          <w:bCs/>
        </w:rPr>
        <w:t xml:space="preserve">Part 4 deals with the categories goods and services are to be broken down in. </w:t>
      </w:r>
    </w:p>
    <w:p w:rsidR="004442A2" w:rsidRDefault="004442A2" w:rsidP="003301DA">
      <w:pPr>
        <w:rPr>
          <w:bCs/>
        </w:rPr>
      </w:pPr>
      <w:r>
        <w:rPr>
          <w:bCs/>
        </w:rPr>
        <w:t>Part 5 contains the information to accompany a notification obligation.</w:t>
      </w:r>
    </w:p>
    <w:p w:rsidR="004442A2" w:rsidRPr="004442A2" w:rsidRDefault="004442A2" w:rsidP="003301DA">
      <w:pPr>
        <w:rPr>
          <w:bCs/>
        </w:rPr>
      </w:pPr>
      <w:r>
        <w:rPr>
          <w:bCs/>
        </w:rPr>
        <w:lastRenderedPageBreak/>
        <w:t xml:space="preserve">Part 6 provides for additional schemes, programs and functions to be undertaken by the Chief Executive. </w:t>
      </w:r>
    </w:p>
    <w:p w:rsidR="0035757D" w:rsidRPr="0035757D" w:rsidRDefault="0035757D" w:rsidP="003301DA">
      <w:pPr>
        <w:rPr>
          <w:bCs/>
        </w:rPr>
      </w:pPr>
      <w:r w:rsidRPr="0035757D">
        <w:rPr>
          <w:bCs/>
        </w:rPr>
        <w:t>The</w:t>
      </w:r>
      <w:r>
        <w:rPr>
          <w:bCs/>
        </w:rPr>
        <w:t xml:space="preserve"> Rule</w:t>
      </w:r>
      <w:r w:rsidRPr="0035757D">
        <w:rPr>
          <w:bCs/>
        </w:rPr>
        <w:t xml:space="preserve"> is a legislative instrument for the purposes of the </w:t>
      </w:r>
      <w:r w:rsidRPr="0035757D">
        <w:rPr>
          <w:bCs/>
          <w:i/>
          <w:iCs/>
        </w:rPr>
        <w:t>Legislative Instruments Act 2003</w:t>
      </w:r>
      <w:r w:rsidRPr="0035757D">
        <w:rPr>
          <w:bCs/>
        </w:rPr>
        <w:t>.</w:t>
      </w:r>
    </w:p>
    <w:p w:rsidR="0035757D" w:rsidRDefault="0035757D" w:rsidP="003301DA">
      <w:pPr>
        <w:rPr>
          <w:bCs/>
        </w:rPr>
      </w:pPr>
      <w:r>
        <w:rPr>
          <w:bCs/>
        </w:rPr>
        <w:t xml:space="preserve">The Rule </w:t>
      </w:r>
      <w:r w:rsidRPr="0035757D">
        <w:rPr>
          <w:bCs/>
        </w:rPr>
        <w:t xml:space="preserve">will commence on the </w:t>
      </w:r>
      <w:r>
        <w:rPr>
          <w:bCs/>
        </w:rPr>
        <w:t>day after registration</w:t>
      </w:r>
      <w:r w:rsidR="008864A6">
        <w:rPr>
          <w:bCs/>
        </w:rPr>
        <w:t>.</w:t>
      </w:r>
      <w:r>
        <w:rPr>
          <w:bCs/>
        </w:rPr>
        <w:t xml:space="preserve"> </w:t>
      </w:r>
    </w:p>
    <w:p w:rsidR="00EF45FD" w:rsidRPr="00EF45FD" w:rsidRDefault="00EF45FD" w:rsidP="003301DA">
      <w:pPr>
        <w:rPr>
          <w:b/>
          <w:bCs/>
          <w:sz w:val="28"/>
          <w:szCs w:val="28"/>
        </w:rPr>
      </w:pPr>
      <w:r w:rsidRPr="00EF45FD">
        <w:rPr>
          <w:b/>
          <w:bCs/>
          <w:sz w:val="28"/>
          <w:szCs w:val="28"/>
        </w:rPr>
        <w:t>Consultation</w:t>
      </w:r>
    </w:p>
    <w:p w:rsidR="00EF45FD" w:rsidRDefault="00EF45FD" w:rsidP="003301DA">
      <w:pPr>
        <w:rPr>
          <w:bCs/>
          <w:iCs/>
        </w:rPr>
      </w:pPr>
      <w:r>
        <w:rPr>
          <w:bCs/>
          <w:sz w:val="24"/>
          <w:szCs w:val="24"/>
        </w:rPr>
        <w:t xml:space="preserve">As this Rule is minor and machinery in nature, as per section 18(2)(a) of the </w:t>
      </w:r>
      <w:r w:rsidRPr="0035757D">
        <w:rPr>
          <w:bCs/>
          <w:i/>
          <w:iCs/>
        </w:rPr>
        <w:t>Legislative Instruments Act 2003</w:t>
      </w:r>
      <w:r>
        <w:rPr>
          <w:bCs/>
          <w:i/>
          <w:iCs/>
        </w:rPr>
        <w:t xml:space="preserve">, </w:t>
      </w:r>
      <w:r w:rsidRPr="00EF45FD">
        <w:rPr>
          <w:bCs/>
          <w:iCs/>
        </w:rPr>
        <w:t xml:space="preserve">consultation </w:t>
      </w:r>
      <w:r>
        <w:rPr>
          <w:bCs/>
          <w:iCs/>
        </w:rPr>
        <w:t>is</w:t>
      </w:r>
      <w:r w:rsidRPr="00EF45FD">
        <w:rPr>
          <w:bCs/>
          <w:iCs/>
        </w:rPr>
        <w:t xml:space="preserve"> unnecessary</w:t>
      </w:r>
      <w:r>
        <w:rPr>
          <w:bCs/>
          <w:iCs/>
        </w:rPr>
        <w:t>.</w:t>
      </w:r>
    </w:p>
    <w:p w:rsidR="00EF45FD" w:rsidRDefault="00EF45FD" w:rsidP="003301DA">
      <w:pPr>
        <w:rPr>
          <w:bCs/>
          <w:iCs/>
        </w:rPr>
      </w:pPr>
      <w:r>
        <w:rPr>
          <w:bCs/>
          <w:iCs/>
        </w:rPr>
        <w:t xml:space="preserve">The Act was subject to </w:t>
      </w:r>
      <w:r w:rsidR="00A75209">
        <w:rPr>
          <w:bCs/>
          <w:iCs/>
        </w:rPr>
        <w:t xml:space="preserve">a </w:t>
      </w:r>
      <w:r>
        <w:rPr>
          <w:bCs/>
          <w:iCs/>
        </w:rPr>
        <w:t>significant</w:t>
      </w:r>
      <w:r w:rsidR="00A75209">
        <w:rPr>
          <w:bCs/>
          <w:iCs/>
        </w:rPr>
        <w:t xml:space="preserve"> level of</w:t>
      </w:r>
      <w:r>
        <w:rPr>
          <w:bCs/>
          <w:iCs/>
        </w:rPr>
        <w:t xml:space="preserve"> consultation during the public exposure and Senate Committee processes. </w:t>
      </w:r>
    </w:p>
    <w:p w:rsidR="0067256D" w:rsidRPr="00EF45FD" w:rsidRDefault="0067256D" w:rsidP="003301DA">
      <w:pPr>
        <w:rPr>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Default="00EF45FD" w:rsidP="003301DA">
      <w:pPr>
        <w:rPr>
          <w:b/>
          <w:bCs/>
          <w:sz w:val="24"/>
          <w:szCs w:val="24"/>
        </w:rPr>
      </w:pPr>
    </w:p>
    <w:p w:rsidR="00EF45FD" w:rsidRPr="00EF45FD" w:rsidRDefault="00EF45FD" w:rsidP="003301DA">
      <w:pPr>
        <w:rPr>
          <w:bCs/>
          <w:sz w:val="24"/>
          <w:szCs w:val="24"/>
        </w:rPr>
      </w:pPr>
    </w:p>
    <w:bookmarkStart w:id="0" w:name="_Toc280196268"/>
    <w:bookmarkStart w:id="1" w:name="_Toc320026879"/>
    <w:p w:rsidR="00C60F75" w:rsidRDefault="00C60F75" w:rsidP="003301DA">
      <w:pPr>
        <w:rPr>
          <w:b/>
          <w:iCs/>
          <w:sz w:val="28"/>
          <w:szCs w:val="28"/>
        </w:rPr>
      </w:pPr>
      <w:r>
        <w:rPr>
          <w:noProof/>
          <w:lang w:eastAsia="en-AU"/>
        </w:rPr>
        <mc:AlternateContent>
          <mc:Choice Requires="wps">
            <w:drawing>
              <wp:anchor distT="0" distB="0" distL="114300" distR="114300" simplePos="0" relativeHeight="251659264" behindDoc="0" locked="0" layoutInCell="1" allowOverlap="1" wp14:anchorId="36F9D279" wp14:editId="290C35B0">
                <wp:simplePos x="0" y="0"/>
                <wp:positionH relativeFrom="column">
                  <wp:posOffset>-67310</wp:posOffset>
                </wp:positionH>
                <wp:positionV relativeFrom="paragraph">
                  <wp:posOffset>72390</wp:posOffset>
                </wp:positionV>
                <wp:extent cx="6118860" cy="6865620"/>
                <wp:effectExtent l="38100" t="38100" r="34290" b="304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6865620"/>
                        </a:xfrm>
                        <a:prstGeom prst="rect">
                          <a:avLst/>
                        </a:prstGeom>
                        <a:solidFill>
                          <a:srgbClr val="FFFFFF"/>
                        </a:solidFill>
                        <a:ln w="76200" cmpd="tri">
                          <a:solidFill>
                            <a:srgbClr val="000000"/>
                          </a:solidFill>
                          <a:miter lim="800000"/>
                          <a:headEnd/>
                          <a:tailEnd/>
                        </a:ln>
                      </wps:spPr>
                      <wps:txbx>
                        <w:txbxContent>
                          <w:p w:rsidR="00C60F75" w:rsidRPr="00137B4A" w:rsidRDefault="00C60F75" w:rsidP="00C60F75">
                            <w:pPr>
                              <w:spacing w:before="360" w:after="120"/>
                              <w:jc w:val="center"/>
                              <w:rPr>
                                <w:rFonts w:cstheme="minorHAnsi"/>
                                <w:b/>
                                <w:sz w:val="28"/>
                                <w:szCs w:val="28"/>
                              </w:rPr>
                            </w:pPr>
                            <w:r w:rsidRPr="00137B4A">
                              <w:rPr>
                                <w:rFonts w:cstheme="minorHAnsi"/>
                                <w:b/>
                                <w:sz w:val="28"/>
                                <w:szCs w:val="28"/>
                              </w:rPr>
                              <w:t>Statement of Compatibility with Human Rights</w:t>
                            </w:r>
                          </w:p>
                          <w:p w:rsidR="00C60F75" w:rsidRPr="00137B4A" w:rsidRDefault="00C60F75" w:rsidP="00C60F75">
                            <w:pPr>
                              <w:spacing w:before="120" w:after="120"/>
                              <w:jc w:val="center"/>
                              <w:rPr>
                                <w:rFonts w:cstheme="minorHAnsi"/>
                                <w:sz w:val="24"/>
                                <w:szCs w:val="24"/>
                              </w:rPr>
                            </w:pPr>
                            <w:r w:rsidRPr="00137B4A">
                              <w:rPr>
                                <w:rFonts w:cstheme="minorHAnsi"/>
                                <w:i/>
                                <w:sz w:val="24"/>
                                <w:szCs w:val="24"/>
                              </w:rPr>
                              <w:t>Prepared in accordance with Part 3 of the Human Rights (Parliamentary Scrutiny) Act 2011</w:t>
                            </w:r>
                          </w:p>
                          <w:p w:rsidR="00C60F75" w:rsidRPr="00137B4A" w:rsidRDefault="00C60F75" w:rsidP="00C60F75">
                            <w:pPr>
                              <w:spacing w:before="120" w:after="120"/>
                              <w:jc w:val="center"/>
                              <w:rPr>
                                <w:rFonts w:cstheme="minorHAnsi"/>
                                <w:sz w:val="24"/>
                                <w:szCs w:val="24"/>
                              </w:rPr>
                            </w:pPr>
                          </w:p>
                          <w:p w:rsidR="00C60F75" w:rsidRPr="00137B4A" w:rsidRDefault="00C60F75" w:rsidP="00C60F75">
                            <w:pPr>
                              <w:spacing w:before="120" w:after="120"/>
                              <w:jc w:val="center"/>
                              <w:rPr>
                                <w:rFonts w:cstheme="minorHAnsi"/>
                                <w:sz w:val="24"/>
                                <w:szCs w:val="24"/>
                              </w:rPr>
                            </w:pPr>
                            <w:r w:rsidRPr="00137B4A">
                              <w:rPr>
                                <w:rFonts w:cstheme="minorHAnsi"/>
                                <w:b/>
                                <w:bCs/>
                                <w:sz w:val="24"/>
                                <w:szCs w:val="24"/>
                              </w:rPr>
                              <w:t>Australian Jobs (Australian I</w:t>
                            </w:r>
                            <w:r w:rsidR="00864E1B">
                              <w:rPr>
                                <w:rFonts w:cstheme="minorHAnsi"/>
                                <w:b/>
                                <w:bCs/>
                                <w:sz w:val="24"/>
                                <w:szCs w:val="24"/>
                              </w:rPr>
                              <w:t>ndustry Participation) Rule 2014</w:t>
                            </w:r>
                          </w:p>
                          <w:p w:rsidR="00C60F75" w:rsidRPr="00137B4A" w:rsidRDefault="00C60F75" w:rsidP="00C60F75">
                            <w:pPr>
                              <w:spacing w:before="120" w:after="120"/>
                              <w:jc w:val="center"/>
                              <w:rPr>
                                <w:rFonts w:cstheme="minorHAnsi"/>
                                <w:sz w:val="24"/>
                                <w:szCs w:val="24"/>
                              </w:rPr>
                            </w:pPr>
                            <w:r w:rsidRPr="00137B4A">
                              <w:rPr>
                                <w:rFonts w:cstheme="minorHAnsi"/>
                                <w:sz w:val="24"/>
                                <w:szCs w:val="24"/>
                              </w:rPr>
                              <w:t xml:space="preserve">This Bill/Legislative Instrument is compatible with the human rights and freedoms recognised or declared in the international instruments listed in section 3 of the </w:t>
                            </w:r>
                            <w:r w:rsidRPr="00137B4A">
                              <w:rPr>
                                <w:rFonts w:cstheme="minorHAnsi"/>
                                <w:i/>
                                <w:sz w:val="24"/>
                                <w:szCs w:val="24"/>
                              </w:rPr>
                              <w:t>Human Rights (Parliamentary Scrutiny) Act 2011</w:t>
                            </w:r>
                            <w:r w:rsidRPr="00137B4A">
                              <w:rPr>
                                <w:rFonts w:cstheme="minorHAnsi"/>
                                <w:sz w:val="24"/>
                                <w:szCs w:val="24"/>
                              </w:rPr>
                              <w:t>.</w:t>
                            </w:r>
                          </w:p>
                          <w:p w:rsidR="00C60F75" w:rsidRPr="00137B4A" w:rsidRDefault="00C60F75" w:rsidP="00C60F75">
                            <w:pPr>
                              <w:spacing w:before="120" w:after="120"/>
                              <w:jc w:val="center"/>
                              <w:rPr>
                                <w:rFonts w:cstheme="minorHAnsi"/>
                                <w:sz w:val="24"/>
                                <w:szCs w:val="24"/>
                              </w:rPr>
                            </w:pPr>
                          </w:p>
                          <w:p w:rsidR="00C60F75" w:rsidRPr="00137B4A" w:rsidRDefault="00C60F75" w:rsidP="00C60F75">
                            <w:pPr>
                              <w:spacing w:before="120" w:after="120"/>
                              <w:jc w:val="center"/>
                              <w:rPr>
                                <w:rFonts w:cstheme="minorHAnsi"/>
                                <w:sz w:val="24"/>
                                <w:szCs w:val="24"/>
                              </w:rPr>
                            </w:pPr>
                          </w:p>
                          <w:p w:rsidR="00C60F75" w:rsidRPr="00137B4A" w:rsidRDefault="00C60F75" w:rsidP="00C60F75">
                            <w:pPr>
                              <w:spacing w:before="120" w:after="120"/>
                              <w:jc w:val="both"/>
                              <w:rPr>
                                <w:rFonts w:cstheme="minorHAnsi"/>
                                <w:b/>
                                <w:sz w:val="24"/>
                                <w:szCs w:val="24"/>
                              </w:rPr>
                            </w:pPr>
                            <w:r w:rsidRPr="00137B4A">
                              <w:rPr>
                                <w:rFonts w:cstheme="minorHAnsi"/>
                                <w:b/>
                                <w:sz w:val="24"/>
                                <w:szCs w:val="24"/>
                              </w:rPr>
                              <w:t>Overview of the Bill/Legislative Instrument</w:t>
                            </w:r>
                          </w:p>
                          <w:p w:rsidR="00C60F75" w:rsidRPr="00137B4A" w:rsidRDefault="00C60F75" w:rsidP="00C60F75">
                            <w:pPr>
                              <w:spacing w:before="120" w:after="120"/>
                              <w:rPr>
                                <w:rFonts w:cstheme="minorHAnsi"/>
                                <w:bCs/>
                                <w:sz w:val="24"/>
                                <w:szCs w:val="24"/>
                              </w:rPr>
                            </w:pPr>
                            <w:r w:rsidRPr="00137B4A">
                              <w:rPr>
                                <w:rFonts w:cstheme="minorHAnsi"/>
                                <w:bCs/>
                                <w:sz w:val="24"/>
                                <w:szCs w:val="24"/>
                              </w:rPr>
                              <w:t>The Australian Jobs (Australian I</w:t>
                            </w:r>
                            <w:r w:rsidR="00864E1B">
                              <w:rPr>
                                <w:rFonts w:cstheme="minorHAnsi"/>
                                <w:bCs/>
                                <w:sz w:val="24"/>
                                <w:szCs w:val="24"/>
                              </w:rPr>
                              <w:t>ndustry Participation) Rule 2014</w:t>
                            </w:r>
                            <w:r w:rsidRPr="00137B4A">
                              <w:rPr>
                                <w:rFonts w:cstheme="minorHAnsi"/>
                                <w:bCs/>
                                <w:sz w:val="24"/>
                                <w:szCs w:val="24"/>
                              </w:rPr>
                              <w:t xml:space="preserve"> (the Rule) is made under the authority if the </w:t>
                            </w:r>
                            <w:r w:rsidRPr="00137B4A">
                              <w:rPr>
                                <w:rFonts w:cstheme="minorHAnsi"/>
                                <w:bCs/>
                                <w:i/>
                                <w:sz w:val="24"/>
                                <w:szCs w:val="24"/>
                              </w:rPr>
                              <w:t xml:space="preserve">Australian Jobs Act 2013 </w:t>
                            </w:r>
                            <w:r w:rsidRPr="00137B4A">
                              <w:rPr>
                                <w:rFonts w:cstheme="minorHAnsi"/>
                                <w:bCs/>
                                <w:sz w:val="24"/>
                                <w:szCs w:val="24"/>
                              </w:rPr>
                              <w:t>(the Act)</w:t>
                            </w:r>
                            <w:r w:rsidRPr="00137B4A">
                              <w:rPr>
                                <w:rFonts w:cstheme="minorHAnsi"/>
                                <w:bCs/>
                                <w:i/>
                                <w:sz w:val="24"/>
                                <w:szCs w:val="24"/>
                              </w:rPr>
                              <w:t>.</w:t>
                            </w:r>
                            <w:r w:rsidRPr="00137B4A">
                              <w:rPr>
                                <w:rFonts w:cstheme="minorHAnsi"/>
                                <w:bCs/>
                                <w:sz w:val="24"/>
                                <w:szCs w:val="24"/>
                              </w:rPr>
                              <w:t xml:space="preserve">  </w:t>
                            </w:r>
                            <w:r w:rsidRPr="00137B4A">
                              <w:rPr>
                                <w:rFonts w:cstheme="minorHAnsi"/>
                                <w:sz w:val="24"/>
                                <w:szCs w:val="24"/>
                              </w:rPr>
                              <w:t xml:space="preserve">The Act mandates the application of Australian Industry Participation plans for all major projects with capital expenditure of $500 million or more in Australia, and establishes a statutory position, the Australian Industry Participation Authority </w:t>
                            </w:r>
                            <w:r w:rsidRPr="00137B4A">
                              <w:rPr>
                                <w:rFonts w:cstheme="minorHAnsi"/>
                                <w:bCs/>
                                <w:sz w:val="24"/>
                                <w:szCs w:val="24"/>
                              </w:rPr>
                              <w:t xml:space="preserve">(the </w:t>
                            </w:r>
                            <w:r w:rsidRPr="00137B4A">
                              <w:rPr>
                                <w:rFonts w:cstheme="minorHAnsi"/>
                                <w:iCs/>
                                <w:sz w:val="24"/>
                                <w:szCs w:val="24"/>
                              </w:rPr>
                              <w:t>Authority</w:t>
                            </w:r>
                            <w:r w:rsidRPr="00137B4A">
                              <w:rPr>
                                <w:rFonts w:cstheme="minorHAnsi"/>
                                <w:bCs/>
                                <w:sz w:val="24"/>
                                <w:szCs w:val="24"/>
                              </w:rPr>
                              <w:t xml:space="preserve">).  </w:t>
                            </w:r>
                          </w:p>
                          <w:p w:rsidR="00C60F75" w:rsidRPr="00137B4A" w:rsidRDefault="00C60F75" w:rsidP="00C60F75">
                            <w:pPr>
                              <w:spacing w:before="120" w:after="120"/>
                              <w:rPr>
                                <w:rFonts w:cstheme="minorHAnsi"/>
                                <w:sz w:val="24"/>
                                <w:szCs w:val="24"/>
                              </w:rPr>
                            </w:pPr>
                            <w:r w:rsidRPr="00137B4A">
                              <w:rPr>
                                <w:rFonts w:cstheme="minorHAnsi"/>
                                <w:bCs/>
                                <w:sz w:val="24"/>
                                <w:szCs w:val="24"/>
                              </w:rPr>
                              <w:t>The Rule provides for exceptions under the Act, information required for compliance and notification</w:t>
                            </w:r>
                            <w:r w:rsidR="00137B4A" w:rsidRPr="00137B4A">
                              <w:rPr>
                                <w:rFonts w:cstheme="minorHAnsi"/>
                                <w:bCs/>
                                <w:sz w:val="24"/>
                                <w:szCs w:val="24"/>
                              </w:rPr>
                              <w:t>,</w:t>
                            </w:r>
                            <w:r w:rsidRPr="00137B4A">
                              <w:rPr>
                                <w:rFonts w:cstheme="minorHAnsi"/>
                                <w:bCs/>
                                <w:sz w:val="24"/>
                                <w:szCs w:val="24"/>
                              </w:rPr>
                              <w:t xml:space="preserve"> and further functions for the Authority.</w:t>
                            </w:r>
                          </w:p>
                          <w:p w:rsidR="00C60F75" w:rsidRPr="00137B4A" w:rsidRDefault="00C60F75" w:rsidP="00C60F75">
                            <w:pPr>
                              <w:spacing w:before="120" w:after="120"/>
                              <w:rPr>
                                <w:rFonts w:cstheme="minorHAnsi"/>
                                <w:b/>
                                <w:sz w:val="24"/>
                                <w:szCs w:val="24"/>
                              </w:rPr>
                            </w:pPr>
                            <w:r w:rsidRPr="00137B4A">
                              <w:rPr>
                                <w:rFonts w:cstheme="minorHAnsi"/>
                                <w:b/>
                                <w:sz w:val="24"/>
                                <w:szCs w:val="24"/>
                              </w:rPr>
                              <w:t>Human rights implications</w:t>
                            </w:r>
                          </w:p>
                          <w:p w:rsidR="00C60F75" w:rsidRPr="00137B4A" w:rsidRDefault="00C60F75" w:rsidP="00C60F75">
                            <w:pPr>
                              <w:spacing w:before="120" w:after="120"/>
                              <w:rPr>
                                <w:rFonts w:cstheme="minorHAnsi"/>
                                <w:sz w:val="24"/>
                                <w:szCs w:val="24"/>
                              </w:rPr>
                            </w:pPr>
                            <w:r w:rsidRPr="00137B4A">
                              <w:rPr>
                                <w:rFonts w:cstheme="minorHAnsi"/>
                                <w:sz w:val="24"/>
                                <w:szCs w:val="24"/>
                              </w:rPr>
                              <w:t>This Bill/Legislative Instrument does not engage any of the applicable rights or freedoms.</w:t>
                            </w:r>
                          </w:p>
                          <w:p w:rsidR="00C60F75" w:rsidRPr="00137B4A" w:rsidRDefault="00C60F75" w:rsidP="00C60F75">
                            <w:pPr>
                              <w:spacing w:before="120" w:after="120"/>
                              <w:rPr>
                                <w:rFonts w:cstheme="minorHAnsi"/>
                                <w:b/>
                                <w:sz w:val="24"/>
                                <w:szCs w:val="24"/>
                              </w:rPr>
                            </w:pPr>
                            <w:r w:rsidRPr="00137B4A">
                              <w:rPr>
                                <w:rFonts w:cstheme="minorHAnsi"/>
                                <w:b/>
                                <w:sz w:val="24"/>
                                <w:szCs w:val="24"/>
                              </w:rPr>
                              <w:t>Conclusion</w:t>
                            </w:r>
                          </w:p>
                          <w:p w:rsidR="00C60F75" w:rsidRPr="00137B4A" w:rsidRDefault="00C60F75" w:rsidP="00C60F75">
                            <w:pPr>
                              <w:spacing w:before="120" w:after="120"/>
                              <w:rPr>
                                <w:rFonts w:cstheme="minorHAnsi"/>
                                <w:sz w:val="24"/>
                                <w:szCs w:val="24"/>
                              </w:rPr>
                            </w:pPr>
                            <w:r w:rsidRPr="00137B4A">
                              <w:rPr>
                                <w:rFonts w:cstheme="minorHAnsi"/>
                                <w:sz w:val="24"/>
                                <w:szCs w:val="24"/>
                              </w:rPr>
                              <w:t>This Bill/Legislative Instrument is compatible with human rights as it does not raise any human rights issues.</w:t>
                            </w:r>
                          </w:p>
                          <w:p w:rsidR="00C60F75" w:rsidRPr="00137B4A" w:rsidRDefault="00C60F75" w:rsidP="00C60F75">
                            <w:pPr>
                              <w:spacing w:before="120" w:after="120"/>
                              <w:jc w:val="center"/>
                              <w:rPr>
                                <w:rFonts w:cstheme="minorHAnsi"/>
                                <w:sz w:val="24"/>
                                <w:szCs w:val="24"/>
                              </w:rPr>
                            </w:pPr>
                          </w:p>
                          <w:p w:rsidR="00C60F75" w:rsidRPr="00137B4A" w:rsidRDefault="00C60F75" w:rsidP="00C60F75">
                            <w:pPr>
                              <w:spacing w:before="120" w:after="120"/>
                              <w:jc w:val="center"/>
                              <w:rPr>
                                <w:rFonts w:cstheme="minorHAnsi"/>
                                <w:sz w:val="24"/>
                                <w:szCs w:val="24"/>
                              </w:rPr>
                            </w:pPr>
                            <w:r w:rsidRPr="00137B4A">
                              <w:rPr>
                                <w:rFonts w:cstheme="minorHAnsi"/>
                                <w:b/>
                                <w:sz w:val="24"/>
                                <w:szCs w:val="24"/>
                              </w:rPr>
                              <w:t>Ian Macfarlane, Minister for Industry</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3pt;margin-top:5.7pt;width:481.8pt;height:5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" strokeweight="6pt">
                <v:stroke linestyle="thickBetweenThin"/>
                <v:textbox inset="5mm,,5mm">
                  <w:txbxContent>
                    <w:p w:rsidR="00C60F75" w:rsidRPr="00137B4A" w:rsidRDefault="00C60F75" w:rsidP="00C60F75">
                      <w:pPr>
                        <w:spacing w:before="360" w:after="120"/>
                        <w:jc w:val="center"/>
                        <w:rPr>
                          <w:rFonts w:cstheme="minorHAnsi"/>
                          <w:b/>
                          <w:sz w:val="28"/>
                          <w:szCs w:val="28"/>
                        </w:rPr>
                      </w:pPr>
                      <w:r w:rsidRPr="00137B4A">
                        <w:rPr>
                          <w:rFonts w:cstheme="minorHAnsi"/>
                          <w:b/>
                          <w:sz w:val="28"/>
                          <w:szCs w:val="28"/>
                        </w:rPr>
                        <w:t>Statement of Compatibility with Human Rights</w:t>
                      </w:r>
                    </w:p>
                    <w:p w:rsidR="00C60F75" w:rsidRPr="00137B4A" w:rsidRDefault="00C60F75" w:rsidP="00C60F75">
                      <w:pPr>
                        <w:spacing w:before="120" w:after="120"/>
                        <w:jc w:val="center"/>
                        <w:rPr>
                          <w:rFonts w:cstheme="minorHAnsi"/>
                          <w:sz w:val="24"/>
                          <w:szCs w:val="24"/>
                        </w:rPr>
                      </w:pPr>
                      <w:r w:rsidRPr="00137B4A">
                        <w:rPr>
                          <w:rFonts w:cstheme="minorHAnsi"/>
                          <w:i/>
                          <w:sz w:val="24"/>
                          <w:szCs w:val="24"/>
                        </w:rPr>
                        <w:t>Prepared in accordance with Part 3 of the Human Rights (Parliamentary Scrutiny) Act 2011</w:t>
                      </w:r>
                    </w:p>
                    <w:p w:rsidR="00C60F75" w:rsidRPr="00137B4A" w:rsidRDefault="00C60F75" w:rsidP="00C60F75">
                      <w:pPr>
                        <w:spacing w:before="120" w:after="120"/>
                        <w:jc w:val="center"/>
                        <w:rPr>
                          <w:rFonts w:cstheme="minorHAnsi"/>
                          <w:sz w:val="24"/>
                          <w:szCs w:val="24"/>
                        </w:rPr>
                      </w:pPr>
                    </w:p>
                    <w:p w:rsidR="00C60F75" w:rsidRPr="00137B4A" w:rsidRDefault="00C60F75" w:rsidP="00C60F75">
                      <w:pPr>
                        <w:spacing w:before="120" w:after="120"/>
                        <w:jc w:val="center"/>
                        <w:rPr>
                          <w:rFonts w:cstheme="minorHAnsi"/>
                          <w:sz w:val="24"/>
                          <w:szCs w:val="24"/>
                        </w:rPr>
                      </w:pPr>
                      <w:r w:rsidRPr="00137B4A">
                        <w:rPr>
                          <w:rFonts w:cstheme="minorHAnsi"/>
                          <w:b/>
                          <w:bCs/>
                          <w:sz w:val="24"/>
                          <w:szCs w:val="24"/>
                        </w:rPr>
                        <w:t>Australian Jobs (Australian I</w:t>
                      </w:r>
                      <w:r w:rsidR="00864E1B">
                        <w:rPr>
                          <w:rFonts w:cstheme="minorHAnsi"/>
                          <w:b/>
                          <w:bCs/>
                          <w:sz w:val="24"/>
                          <w:szCs w:val="24"/>
                        </w:rPr>
                        <w:t>ndustry Participation) Rule 2014</w:t>
                      </w:r>
                    </w:p>
                    <w:p w:rsidR="00C60F75" w:rsidRPr="00137B4A" w:rsidRDefault="00C60F75" w:rsidP="00C60F75">
                      <w:pPr>
                        <w:spacing w:before="120" w:after="120"/>
                        <w:jc w:val="center"/>
                        <w:rPr>
                          <w:rFonts w:cstheme="minorHAnsi"/>
                          <w:sz w:val="24"/>
                          <w:szCs w:val="24"/>
                        </w:rPr>
                      </w:pPr>
                      <w:r w:rsidRPr="00137B4A">
                        <w:rPr>
                          <w:rFonts w:cstheme="minorHAnsi"/>
                          <w:sz w:val="24"/>
                          <w:szCs w:val="24"/>
                        </w:rPr>
                        <w:t xml:space="preserve">This Bill/Legislative Instrument is compatible with the human rights and freedoms recognised or declared in the international instruments listed in section 3 of the </w:t>
                      </w:r>
                      <w:r w:rsidRPr="00137B4A">
                        <w:rPr>
                          <w:rFonts w:cstheme="minorHAnsi"/>
                          <w:i/>
                          <w:sz w:val="24"/>
                          <w:szCs w:val="24"/>
                        </w:rPr>
                        <w:t>Human Rights (Parliamentary Scrutiny) Act 2011</w:t>
                      </w:r>
                      <w:r w:rsidRPr="00137B4A">
                        <w:rPr>
                          <w:rFonts w:cstheme="minorHAnsi"/>
                          <w:sz w:val="24"/>
                          <w:szCs w:val="24"/>
                        </w:rPr>
                        <w:t>.</w:t>
                      </w:r>
                    </w:p>
                    <w:p w:rsidR="00C60F75" w:rsidRPr="00137B4A" w:rsidRDefault="00C60F75" w:rsidP="00C60F75">
                      <w:pPr>
                        <w:spacing w:before="120" w:after="120"/>
                        <w:jc w:val="center"/>
                        <w:rPr>
                          <w:rFonts w:cstheme="minorHAnsi"/>
                          <w:sz w:val="24"/>
                          <w:szCs w:val="24"/>
                        </w:rPr>
                      </w:pPr>
                    </w:p>
                    <w:p w:rsidR="00C60F75" w:rsidRPr="00137B4A" w:rsidRDefault="00C60F75" w:rsidP="00C60F75">
                      <w:pPr>
                        <w:spacing w:before="120" w:after="120"/>
                        <w:jc w:val="center"/>
                        <w:rPr>
                          <w:rFonts w:cstheme="minorHAnsi"/>
                          <w:sz w:val="24"/>
                          <w:szCs w:val="24"/>
                        </w:rPr>
                      </w:pPr>
                    </w:p>
                    <w:p w:rsidR="00C60F75" w:rsidRPr="00137B4A" w:rsidRDefault="00C60F75" w:rsidP="00C60F75">
                      <w:pPr>
                        <w:spacing w:before="120" w:after="120"/>
                        <w:jc w:val="both"/>
                        <w:rPr>
                          <w:rFonts w:cstheme="minorHAnsi"/>
                          <w:b/>
                          <w:sz w:val="24"/>
                          <w:szCs w:val="24"/>
                        </w:rPr>
                      </w:pPr>
                      <w:r w:rsidRPr="00137B4A">
                        <w:rPr>
                          <w:rFonts w:cstheme="minorHAnsi"/>
                          <w:b/>
                          <w:sz w:val="24"/>
                          <w:szCs w:val="24"/>
                        </w:rPr>
                        <w:t>Overview of the Bill/Legislative Instrument</w:t>
                      </w:r>
                    </w:p>
                    <w:p w:rsidR="00C60F75" w:rsidRPr="00137B4A" w:rsidRDefault="00C60F75" w:rsidP="00C60F75">
                      <w:pPr>
                        <w:spacing w:before="120" w:after="120"/>
                        <w:rPr>
                          <w:rFonts w:cstheme="minorHAnsi"/>
                          <w:bCs/>
                          <w:sz w:val="24"/>
                          <w:szCs w:val="24"/>
                        </w:rPr>
                      </w:pPr>
                      <w:r w:rsidRPr="00137B4A">
                        <w:rPr>
                          <w:rFonts w:cstheme="minorHAnsi"/>
                          <w:bCs/>
                          <w:sz w:val="24"/>
                          <w:szCs w:val="24"/>
                        </w:rPr>
                        <w:t>The Australian Jobs (Australian I</w:t>
                      </w:r>
                      <w:r w:rsidR="00864E1B">
                        <w:rPr>
                          <w:rFonts w:cstheme="minorHAnsi"/>
                          <w:bCs/>
                          <w:sz w:val="24"/>
                          <w:szCs w:val="24"/>
                        </w:rPr>
                        <w:t>ndustry Participation) Rule 2014</w:t>
                      </w:r>
                      <w:r w:rsidRPr="00137B4A">
                        <w:rPr>
                          <w:rFonts w:cstheme="minorHAnsi"/>
                          <w:bCs/>
                          <w:sz w:val="24"/>
                          <w:szCs w:val="24"/>
                        </w:rPr>
                        <w:t xml:space="preserve"> (the Rule) is made under the authority if the </w:t>
                      </w:r>
                      <w:r w:rsidRPr="00137B4A">
                        <w:rPr>
                          <w:rFonts w:cstheme="minorHAnsi"/>
                          <w:bCs/>
                          <w:i/>
                          <w:sz w:val="24"/>
                          <w:szCs w:val="24"/>
                        </w:rPr>
                        <w:t xml:space="preserve">Australian Jobs Act 2013 </w:t>
                      </w:r>
                      <w:r w:rsidRPr="00137B4A">
                        <w:rPr>
                          <w:rFonts w:cstheme="minorHAnsi"/>
                          <w:bCs/>
                          <w:sz w:val="24"/>
                          <w:szCs w:val="24"/>
                        </w:rPr>
                        <w:t>(the Act)</w:t>
                      </w:r>
                      <w:r w:rsidRPr="00137B4A">
                        <w:rPr>
                          <w:rFonts w:cstheme="minorHAnsi"/>
                          <w:bCs/>
                          <w:i/>
                          <w:sz w:val="24"/>
                          <w:szCs w:val="24"/>
                        </w:rPr>
                        <w:t>.</w:t>
                      </w:r>
                      <w:r w:rsidRPr="00137B4A">
                        <w:rPr>
                          <w:rFonts w:cstheme="minorHAnsi"/>
                          <w:bCs/>
                          <w:sz w:val="24"/>
                          <w:szCs w:val="24"/>
                        </w:rPr>
                        <w:t xml:space="preserve">  </w:t>
                      </w:r>
                      <w:r w:rsidRPr="00137B4A">
                        <w:rPr>
                          <w:rFonts w:cstheme="minorHAnsi"/>
                          <w:sz w:val="24"/>
                          <w:szCs w:val="24"/>
                        </w:rPr>
                        <w:t xml:space="preserve">The Act mandates the application of Australian Industry Participation plans for all major projects with capital expenditure of $500 million or more in Australia, and establishes a statutory position, the Australian Industry Participation Authority </w:t>
                      </w:r>
                      <w:r w:rsidRPr="00137B4A">
                        <w:rPr>
                          <w:rFonts w:cstheme="minorHAnsi"/>
                          <w:bCs/>
                          <w:sz w:val="24"/>
                          <w:szCs w:val="24"/>
                        </w:rPr>
                        <w:t xml:space="preserve">(the </w:t>
                      </w:r>
                      <w:r w:rsidRPr="00137B4A">
                        <w:rPr>
                          <w:rFonts w:cstheme="minorHAnsi"/>
                          <w:iCs/>
                          <w:sz w:val="24"/>
                          <w:szCs w:val="24"/>
                        </w:rPr>
                        <w:t>Authority</w:t>
                      </w:r>
                      <w:r w:rsidRPr="00137B4A">
                        <w:rPr>
                          <w:rFonts w:cstheme="minorHAnsi"/>
                          <w:bCs/>
                          <w:sz w:val="24"/>
                          <w:szCs w:val="24"/>
                        </w:rPr>
                        <w:t xml:space="preserve">).  </w:t>
                      </w:r>
                    </w:p>
                    <w:p w:rsidR="00C60F75" w:rsidRPr="00137B4A" w:rsidRDefault="00C60F75" w:rsidP="00C60F75">
                      <w:pPr>
                        <w:spacing w:before="120" w:after="120"/>
                        <w:rPr>
                          <w:rFonts w:cstheme="minorHAnsi"/>
                          <w:sz w:val="24"/>
                          <w:szCs w:val="24"/>
                        </w:rPr>
                      </w:pPr>
                      <w:r w:rsidRPr="00137B4A">
                        <w:rPr>
                          <w:rFonts w:cstheme="minorHAnsi"/>
                          <w:bCs/>
                          <w:sz w:val="24"/>
                          <w:szCs w:val="24"/>
                        </w:rPr>
                        <w:t>The Rule provides for exceptions under the Act, information required for compliance and notification</w:t>
                      </w:r>
                      <w:r w:rsidR="00137B4A" w:rsidRPr="00137B4A">
                        <w:rPr>
                          <w:rFonts w:cstheme="minorHAnsi"/>
                          <w:bCs/>
                          <w:sz w:val="24"/>
                          <w:szCs w:val="24"/>
                        </w:rPr>
                        <w:t>,</w:t>
                      </w:r>
                      <w:r w:rsidRPr="00137B4A">
                        <w:rPr>
                          <w:rFonts w:cstheme="minorHAnsi"/>
                          <w:bCs/>
                          <w:sz w:val="24"/>
                          <w:szCs w:val="24"/>
                        </w:rPr>
                        <w:t xml:space="preserve"> and further functions for the Authority.</w:t>
                      </w:r>
                    </w:p>
                    <w:p w:rsidR="00C60F75" w:rsidRPr="00137B4A" w:rsidRDefault="00C60F75" w:rsidP="00C60F75">
                      <w:pPr>
                        <w:spacing w:before="120" w:after="120"/>
                        <w:rPr>
                          <w:rFonts w:cstheme="minorHAnsi"/>
                          <w:b/>
                          <w:sz w:val="24"/>
                          <w:szCs w:val="24"/>
                        </w:rPr>
                      </w:pPr>
                      <w:r w:rsidRPr="00137B4A">
                        <w:rPr>
                          <w:rFonts w:cstheme="minorHAnsi"/>
                          <w:b/>
                          <w:sz w:val="24"/>
                          <w:szCs w:val="24"/>
                        </w:rPr>
                        <w:t>Human rights implications</w:t>
                      </w:r>
                    </w:p>
                    <w:p w:rsidR="00C60F75" w:rsidRPr="00137B4A" w:rsidRDefault="00C60F75" w:rsidP="00C60F75">
                      <w:pPr>
                        <w:spacing w:before="120" w:after="120"/>
                        <w:rPr>
                          <w:rFonts w:cstheme="minorHAnsi"/>
                          <w:sz w:val="24"/>
                          <w:szCs w:val="24"/>
                        </w:rPr>
                      </w:pPr>
                      <w:r w:rsidRPr="00137B4A">
                        <w:rPr>
                          <w:rFonts w:cstheme="minorHAnsi"/>
                          <w:sz w:val="24"/>
                          <w:szCs w:val="24"/>
                        </w:rPr>
                        <w:t>This Bill/Legislative Instrument does not engage any of the applicable rights or freedoms.</w:t>
                      </w:r>
                    </w:p>
                    <w:p w:rsidR="00C60F75" w:rsidRPr="00137B4A" w:rsidRDefault="00C60F75" w:rsidP="00C60F75">
                      <w:pPr>
                        <w:spacing w:before="120" w:after="120"/>
                        <w:rPr>
                          <w:rFonts w:cstheme="minorHAnsi"/>
                          <w:b/>
                          <w:sz w:val="24"/>
                          <w:szCs w:val="24"/>
                        </w:rPr>
                      </w:pPr>
                      <w:r w:rsidRPr="00137B4A">
                        <w:rPr>
                          <w:rFonts w:cstheme="minorHAnsi"/>
                          <w:b/>
                          <w:sz w:val="24"/>
                          <w:szCs w:val="24"/>
                        </w:rPr>
                        <w:t>Conclusion</w:t>
                      </w:r>
                    </w:p>
                    <w:p w:rsidR="00C60F75" w:rsidRPr="00137B4A" w:rsidRDefault="00C60F75" w:rsidP="00C60F75">
                      <w:pPr>
                        <w:spacing w:before="120" w:after="120"/>
                        <w:rPr>
                          <w:rFonts w:cstheme="minorHAnsi"/>
                          <w:sz w:val="24"/>
                          <w:szCs w:val="24"/>
                        </w:rPr>
                      </w:pPr>
                      <w:r w:rsidRPr="00137B4A">
                        <w:rPr>
                          <w:rFonts w:cstheme="minorHAnsi"/>
                          <w:sz w:val="24"/>
                          <w:szCs w:val="24"/>
                        </w:rPr>
                        <w:t>This Bill/Legislative Instrument is compatible with human rights as it does not raise any human rights issues.</w:t>
                      </w:r>
                    </w:p>
                    <w:p w:rsidR="00C60F75" w:rsidRPr="00137B4A" w:rsidRDefault="00C60F75" w:rsidP="00C60F75">
                      <w:pPr>
                        <w:spacing w:before="120" w:after="120"/>
                        <w:jc w:val="center"/>
                        <w:rPr>
                          <w:rFonts w:cstheme="minorHAnsi"/>
                          <w:sz w:val="24"/>
                          <w:szCs w:val="24"/>
                        </w:rPr>
                      </w:pPr>
                    </w:p>
                    <w:p w:rsidR="00C60F75" w:rsidRPr="00137B4A" w:rsidRDefault="00C60F75" w:rsidP="00C60F75">
                      <w:pPr>
                        <w:spacing w:before="120" w:after="120"/>
                        <w:jc w:val="center"/>
                        <w:rPr>
                          <w:rFonts w:cstheme="minorHAnsi"/>
                          <w:sz w:val="24"/>
                          <w:szCs w:val="24"/>
                        </w:rPr>
                      </w:pPr>
                      <w:r w:rsidRPr="00137B4A">
                        <w:rPr>
                          <w:rFonts w:cstheme="minorHAnsi"/>
                          <w:b/>
                          <w:sz w:val="24"/>
                          <w:szCs w:val="24"/>
                        </w:rPr>
                        <w:t>Ian Macfarlane, Minister for Industry</w:t>
                      </w:r>
                    </w:p>
                  </w:txbxContent>
                </v:textbox>
              </v:rect>
            </w:pict>
          </mc:Fallback>
        </mc:AlternateContent>
      </w: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C60F75" w:rsidRDefault="00C60F75" w:rsidP="003301DA">
      <w:pPr>
        <w:rPr>
          <w:b/>
          <w:iCs/>
          <w:sz w:val="28"/>
          <w:szCs w:val="28"/>
        </w:rPr>
      </w:pPr>
    </w:p>
    <w:p w:rsidR="00EF45FD" w:rsidRDefault="00EF45FD" w:rsidP="003301DA">
      <w:pPr>
        <w:rPr>
          <w:b/>
          <w:iCs/>
          <w:sz w:val="28"/>
          <w:szCs w:val="28"/>
        </w:rPr>
      </w:pPr>
    </w:p>
    <w:p w:rsidR="0035757D" w:rsidRDefault="0035757D" w:rsidP="003301DA">
      <w:pPr>
        <w:rPr>
          <w:b/>
          <w:iCs/>
          <w:sz w:val="28"/>
          <w:szCs w:val="28"/>
        </w:rPr>
      </w:pPr>
      <w:r w:rsidRPr="00FE49BA">
        <w:rPr>
          <w:b/>
          <w:iCs/>
          <w:sz w:val="28"/>
          <w:szCs w:val="28"/>
        </w:rPr>
        <w:lastRenderedPageBreak/>
        <w:t>Part 1</w:t>
      </w:r>
      <w:r w:rsidRPr="00FE49BA">
        <w:rPr>
          <w:b/>
          <w:iCs/>
          <w:sz w:val="28"/>
          <w:szCs w:val="28"/>
        </w:rPr>
        <w:tab/>
        <w:t xml:space="preserve">        Preliminary</w:t>
      </w:r>
      <w:bookmarkEnd w:id="0"/>
      <w:bookmarkEnd w:id="1"/>
    </w:p>
    <w:p w:rsidR="0035757D" w:rsidRPr="00FE49BA" w:rsidRDefault="0035757D" w:rsidP="003301DA">
      <w:pPr>
        <w:rPr>
          <w:iCs/>
        </w:rPr>
      </w:pPr>
      <w:bookmarkStart w:id="2" w:name="_Toc320026881"/>
      <w:r>
        <w:rPr>
          <w:b/>
          <w:iCs/>
        </w:rPr>
        <w:t>1</w:t>
      </w:r>
      <w:r w:rsidRPr="00FE49BA">
        <w:rPr>
          <w:b/>
          <w:iCs/>
        </w:rPr>
        <w:tab/>
        <w:t>Name of instrument</w:t>
      </w:r>
      <w:bookmarkEnd w:id="2"/>
      <w:r w:rsidRPr="00FE49BA">
        <w:rPr>
          <w:b/>
          <w:iCs/>
        </w:rPr>
        <w:t xml:space="preserve"> </w:t>
      </w:r>
    </w:p>
    <w:p w:rsidR="0035757D" w:rsidRDefault="0035757D" w:rsidP="003301DA">
      <w:pPr>
        <w:rPr>
          <w:bCs/>
          <w:i/>
        </w:rPr>
      </w:pPr>
      <w:r>
        <w:rPr>
          <w:iCs/>
        </w:rPr>
        <w:t xml:space="preserve">The title of the instrument is the </w:t>
      </w:r>
      <w:r w:rsidRPr="0035757D">
        <w:rPr>
          <w:bCs/>
          <w:i/>
        </w:rPr>
        <w:t>Australian Jobs (Australian I</w:t>
      </w:r>
      <w:r w:rsidR="00864E1B">
        <w:rPr>
          <w:bCs/>
          <w:i/>
        </w:rPr>
        <w:t>ndustry Participation) Rule 2014</w:t>
      </w:r>
      <w:r>
        <w:rPr>
          <w:bCs/>
          <w:i/>
        </w:rPr>
        <w:t>.</w:t>
      </w:r>
    </w:p>
    <w:p w:rsidR="0035757D" w:rsidRDefault="0035757D" w:rsidP="003301DA">
      <w:pPr>
        <w:rPr>
          <w:b/>
          <w:iCs/>
        </w:rPr>
      </w:pPr>
      <w:bookmarkStart w:id="3" w:name="_Toc320026882"/>
      <w:r>
        <w:rPr>
          <w:b/>
          <w:iCs/>
        </w:rPr>
        <w:t>2</w:t>
      </w:r>
      <w:r w:rsidRPr="00D543A0">
        <w:rPr>
          <w:b/>
          <w:iCs/>
        </w:rPr>
        <w:tab/>
        <w:t>Commencement</w:t>
      </w:r>
      <w:bookmarkEnd w:id="3"/>
    </w:p>
    <w:p w:rsidR="0035757D" w:rsidRPr="0035757D" w:rsidRDefault="0035757D" w:rsidP="003301DA">
      <w:pPr>
        <w:rPr>
          <w:b/>
          <w:iCs/>
        </w:rPr>
      </w:pPr>
      <w:r>
        <w:rPr>
          <w:bCs/>
        </w:rPr>
        <w:t xml:space="preserve">The Rule commences </w:t>
      </w:r>
      <w:r w:rsidRPr="0035757D">
        <w:rPr>
          <w:bCs/>
        </w:rPr>
        <w:t xml:space="preserve">on the </w:t>
      </w:r>
      <w:r>
        <w:rPr>
          <w:bCs/>
        </w:rPr>
        <w:t>day after registration</w:t>
      </w:r>
      <w:r w:rsidR="008864A6">
        <w:rPr>
          <w:bCs/>
        </w:rPr>
        <w:t>.</w:t>
      </w:r>
      <w:r>
        <w:rPr>
          <w:bCs/>
        </w:rPr>
        <w:t xml:space="preserve"> </w:t>
      </w:r>
    </w:p>
    <w:p w:rsidR="0035757D" w:rsidRDefault="0035757D" w:rsidP="003301DA">
      <w:pPr>
        <w:rPr>
          <w:b/>
          <w:iCs/>
        </w:rPr>
      </w:pPr>
      <w:r>
        <w:rPr>
          <w:b/>
          <w:iCs/>
        </w:rPr>
        <w:t>3</w:t>
      </w:r>
      <w:r w:rsidRPr="00D543A0">
        <w:rPr>
          <w:b/>
          <w:iCs/>
        </w:rPr>
        <w:tab/>
      </w:r>
      <w:r>
        <w:rPr>
          <w:b/>
          <w:iCs/>
        </w:rPr>
        <w:t>Authority</w:t>
      </w:r>
    </w:p>
    <w:p w:rsidR="006C51E7" w:rsidRPr="0035757D" w:rsidRDefault="0035757D" w:rsidP="003301DA">
      <w:pPr>
        <w:rPr>
          <w:iCs/>
        </w:rPr>
      </w:pPr>
      <w:r>
        <w:rPr>
          <w:iCs/>
        </w:rPr>
        <w:t xml:space="preserve">The Rule is made under section 128 of the Act. </w:t>
      </w:r>
    </w:p>
    <w:p w:rsidR="006C51E7" w:rsidRDefault="006C51E7" w:rsidP="003301DA">
      <w:pPr>
        <w:rPr>
          <w:b/>
          <w:iCs/>
          <w:sz w:val="28"/>
          <w:szCs w:val="28"/>
        </w:rPr>
      </w:pPr>
      <w:r>
        <w:rPr>
          <w:b/>
          <w:iCs/>
          <w:sz w:val="28"/>
          <w:szCs w:val="28"/>
        </w:rPr>
        <w:t>Part 2</w:t>
      </w:r>
      <w:r>
        <w:rPr>
          <w:b/>
          <w:iCs/>
          <w:sz w:val="28"/>
          <w:szCs w:val="28"/>
        </w:rPr>
        <w:tab/>
        <w:t xml:space="preserve">        Exception to giving draft Australian Industry Participation plan</w:t>
      </w:r>
    </w:p>
    <w:p w:rsidR="006C51E7" w:rsidRPr="00FE49BA" w:rsidRDefault="006C51E7" w:rsidP="003301DA">
      <w:pPr>
        <w:rPr>
          <w:iCs/>
        </w:rPr>
      </w:pPr>
      <w:r>
        <w:rPr>
          <w:b/>
          <w:iCs/>
        </w:rPr>
        <w:t>4</w:t>
      </w:r>
      <w:r>
        <w:rPr>
          <w:b/>
          <w:iCs/>
        </w:rPr>
        <w:tab/>
        <w:t xml:space="preserve">Exception </w:t>
      </w:r>
      <w:r w:rsidRPr="006C51E7">
        <w:rPr>
          <w:b/>
          <w:bCs/>
          <w:iCs/>
        </w:rPr>
        <w:t>to giving draft AIP plan to the Authority—specified conditions in relation to a plan</w:t>
      </w:r>
    </w:p>
    <w:p w:rsidR="006C51E7" w:rsidRDefault="006C51E7" w:rsidP="003301DA">
      <w:pPr>
        <w:rPr>
          <w:iCs/>
        </w:rPr>
      </w:pPr>
      <w:r>
        <w:rPr>
          <w:iCs/>
        </w:rPr>
        <w:t xml:space="preserve">This section provides for certain conditions to be met, as per section 17(5) of the Act, to be eligible for an exception to giving an AIP plan to the Authority. </w:t>
      </w:r>
      <w:r w:rsidR="007D1364">
        <w:rPr>
          <w:iCs/>
        </w:rPr>
        <w:t>The conditions are as follows:</w:t>
      </w:r>
    </w:p>
    <w:p w:rsidR="007D1364" w:rsidRPr="007D1364" w:rsidRDefault="007D1364" w:rsidP="003301DA">
      <w:pPr>
        <w:pStyle w:val="ListParagraph"/>
        <w:numPr>
          <w:ilvl w:val="0"/>
          <w:numId w:val="1"/>
        </w:numPr>
        <w:rPr>
          <w:iCs/>
        </w:rPr>
      </w:pPr>
      <w:r>
        <w:rPr>
          <w:iCs/>
        </w:rPr>
        <w:t xml:space="preserve">The plan given to a State or Territory government or agency must be based around the key objective, that is the provision of </w:t>
      </w:r>
      <w:r>
        <w:t xml:space="preserve">full, fair and reasonable opportunity to bid for the supply of goods or services for the project for Australian industry. </w:t>
      </w:r>
    </w:p>
    <w:p w:rsidR="007D1364" w:rsidRPr="007D1364" w:rsidRDefault="007D1364" w:rsidP="003301DA">
      <w:pPr>
        <w:pStyle w:val="ListParagraph"/>
        <w:numPr>
          <w:ilvl w:val="0"/>
          <w:numId w:val="1"/>
        </w:numPr>
        <w:rPr>
          <w:iCs/>
        </w:rPr>
      </w:pPr>
      <w:r>
        <w:rPr>
          <w:iCs/>
        </w:rPr>
        <w:t xml:space="preserve">The plan must not </w:t>
      </w:r>
      <w:r>
        <w:t xml:space="preserve">preference to suppliers of goods or services located in one State or Territory over suppliers located in another State or Territory. </w:t>
      </w:r>
    </w:p>
    <w:p w:rsidR="007D1364" w:rsidRDefault="007D1364" w:rsidP="003301DA">
      <w:pPr>
        <w:pStyle w:val="ListParagraph"/>
        <w:numPr>
          <w:ilvl w:val="0"/>
          <w:numId w:val="1"/>
        </w:numPr>
        <w:rPr>
          <w:iCs/>
        </w:rPr>
      </w:pPr>
      <w:r>
        <w:t xml:space="preserve">The </w:t>
      </w:r>
      <w:r w:rsidRPr="003F799B">
        <w:rPr>
          <w:iCs/>
        </w:rPr>
        <w:t>plan must contain arrangements so that the Authority i</w:t>
      </w:r>
      <w:r w:rsidR="003F799B" w:rsidRPr="003F799B">
        <w:rPr>
          <w:iCs/>
        </w:rPr>
        <w:t>s notified when the plan is given to a State or Territory and when any decision is made by the State or Territory on the plan. This condition is to ensure that the Authority has the appropriate information to determine whether an exception</w:t>
      </w:r>
      <w:r w:rsidR="003F799B">
        <w:rPr>
          <w:iCs/>
        </w:rPr>
        <w:t xml:space="preserve"> applies</w:t>
      </w:r>
      <w:r w:rsidR="003F799B" w:rsidRPr="003F799B">
        <w:rPr>
          <w:iCs/>
        </w:rPr>
        <w:t xml:space="preserve"> to the project under section </w:t>
      </w:r>
      <w:r w:rsidR="003F799B">
        <w:rPr>
          <w:iCs/>
        </w:rPr>
        <w:t xml:space="preserve">17(5) or not. </w:t>
      </w:r>
    </w:p>
    <w:p w:rsidR="003301DA" w:rsidRPr="00D8536B" w:rsidRDefault="00D8536B" w:rsidP="003301DA">
      <w:pPr>
        <w:rPr>
          <w:iCs/>
        </w:rPr>
      </w:pPr>
      <w:r>
        <w:rPr>
          <w:iCs/>
        </w:rPr>
        <w:t>Project proponents should discuss their situation with the Authority regarding application of this exception to their project.</w:t>
      </w:r>
    </w:p>
    <w:p w:rsidR="009F0F3B" w:rsidRDefault="009F0F3B" w:rsidP="003301DA">
      <w:pPr>
        <w:rPr>
          <w:b/>
          <w:bCs/>
          <w:sz w:val="23"/>
          <w:szCs w:val="23"/>
        </w:rPr>
      </w:pPr>
      <w:r>
        <w:rPr>
          <w:b/>
          <w:iCs/>
        </w:rPr>
        <w:t>5</w:t>
      </w:r>
      <w:r>
        <w:rPr>
          <w:b/>
          <w:iCs/>
        </w:rPr>
        <w:tab/>
        <w:t xml:space="preserve">Exception </w:t>
      </w:r>
      <w:r>
        <w:rPr>
          <w:b/>
          <w:bCs/>
          <w:sz w:val="23"/>
          <w:szCs w:val="23"/>
        </w:rPr>
        <w:t>to giving draft AIP plan to the Authority—specified conditions in relation to a project proponent</w:t>
      </w:r>
    </w:p>
    <w:p w:rsidR="0035757D" w:rsidRPr="0035757D" w:rsidRDefault="00D8536B" w:rsidP="003301DA">
      <w:pPr>
        <w:rPr>
          <w:iCs/>
        </w:rPr>
      </w:pPr>
      <w:r>
        <w:rPr>
          <w:rFonts w:cstheme="minorHAnsi"/>
        </w:rPr>
        <w:t xml:space="preserve">If at the date of commencement of the rule, a project has an AIP plan approved by AusIndustry under the </w:t>
      </w:r>
      <w:r>
        <w:t xml:space="preserve">Enhanced Project By-law Scheme, they will not be required to give an AIP plan to the Authority under the Act. </w:t>
      </w:r>
    </w:p>
    <w:p w:rsidR="00D8536B" w:rsidRDefault="00D8536B" w:rsidP="003301DA">
      <w:pPr>
        <w:rPr>
          <w:iCs/>
        </w:rPr>
      </w:pPr>
      <w:r>
        <w:rPr>
          <w:iCs/>
        </w:rPr>
        <w:t>Project proponents should discuss their situation with the Authority regarding application of this exception to their project.</w:t>
      </w:r>
    </w:p>
    <w:p w:rsidR="009A1EC1" w:rsidRDefault="009A1EC1" w:rsidP="003301DA">
      <w:pPr>
        <w:rPr>
          <w:iCs/>
        </w:rPr>
      </w:pPr>
    </w:p>
    <w:p w:rsidR="009A1EC1" w:rsidRDefault="009A1EC1" w:rsidP="003301DA">
      <w:pPr>
        <w:rPr>
          <w:iCs/>
        </w:rPr>
      </w:pPr>
    </w:p>
    <w:p w:rsidR="004A21E4" w:rsidRDefault="004A21E4" w:rsidP="003301DA">
      <w:pPr>
        <w:rPr>
          <w:iCs/>
        </w:rPr>
      </w:pPr>
      <w:bookmarkStart w:id="4" w:name="_GoBack"/>
      <w:bookmarkEnd w:id="4"/>
    </w:p>
    <w:p w:rsidR="00D8536B" w:rsidRDefault="00D8536B" w:rsidP="003301DA">
      <w:pPr>
        <w:rPr>
          <w:b/>
          <w:iCs/>
          <w:sz w:val="28"/>
          <w:szCs w:val="28"/>
        </w:rPr>
      </w:pPr>
      <w:r>
        <w:rPr>
          <w:b/>
          <w:iCs/>
          <w:sz w:val="28"/>
          <w:szCs w:val="28"/>
        </w:rPr>
        <w:lastRenderedPageBreak/>
        <w:t>Part 3</w:t>
      </w:r>
      <w:r w:rsidRPr="00FE49BA">
        <w:rPr>
          <w:b/>
          <w:iCs/>
          <w:sz w:val="28"/>
          <w:szCs w:val="28"/>
        </w:rPr>
        <w:tab/>
        <w:t xml:space="preserve">        </w:t>
      </w:r>
      <w:r>
        <w:rPr>
          <w:b/>
          <w:iCs/>
          <w:sz w:val="28"/>
          <w:szCs w:val="28"/>
        </w:rPr>
        <w:t>Compliance Reports</w:t>
      </w:r>
    </w:p>
    <w:p w:rsidR="00FD22EE" w:rsidRDefault="00AD1254" w:rsidP="003301DA">
      <w:pPr>
        <w:rPr>
          <w:b/>
          <w:bCs/>
          <w:sz w:val="23"/>
          <w:szCs w:val="23"/>
        </w:rPr>
      </w:pPr>
      <w:r>
        <w:rPr>
          <w:b/>
          <w:iCs/>
        </w:rPr>
        <w:t>6</w:t>
      </w:r>
      <w:r>
        <w:rPr>
          <w:b/>
          <w:iCs/>
        </w:rPr>
        <w:tab/>
      </w:r>
      <w:r>
        <w:rPr>
          <w:b/>
          <w:bCs/>
          <w:sz w:val="23"/>
          <w:szCs w:val="23"/>
        </w:rPr>
        <w:t>Information to accompany compliance report—project proponent</w:t>
      </w:r>
    </w:p>
    <w:p w:rsidR="00AD1254" w:rsidRDefault="00AD1254" w:rsidP="003301DA">
      <w:pPr>
        <w:rPr>
          <w:bCs/>
          <w:sz w:val="23"/>
          <w:szCs w:val="23"/>
        </w:rPr>
      </w:pPr>
      <w:r>
        <w:rPr>
          <w:bCs/>
          <w:sz w:val="23"/>
          <w:szCs w:val="23"/>
        </w:rPr>
        <w:t xml:space="preserve">This section lists the required information that a project proponent must provide as part of their compliance report under the Act. The compliance report relates to a reporting period as defined under the Act. </w:t>
      </w:r>
    </w:p>
    <w:p w:rsidR="00AD1254" w:rsidRDefault="00AD1254" w:rsidP="003301DA">
      <w:pPr>
        <w:rPr>
          <w:b/>
          <w:bCs/>
          <w:sz w:val="23"/>
          <w:szCs w:val="23"/>
        </w:rPr>
      </w:pPr>
      <w:r>
        <w:rPr>
          <w:b/>
          <w:iCs/>
        </w:rPr>
        <w:t>7</w:t>
      </w:r>
      <w:r>
        <w:rPr>
          <w:b/>
          <w:iCs/>
        </w:rPr>
        <w:tab/>
      </w:r>
      <w:r>
        <w:rPr>
          <w:b/>
          <w:bCs/>
          <w:sz w:val="23"/>
          <w:szCs w:val="23"/>
        </w:rPr>
        <w:t>Information to accompany compliance report—operator of new relevant facility</w:t>
      </w:r>
    </w:p>
    <w:p w:rsidR="00AD1254" w:rsidRDefault="00AD1254" w:rsidP="003301DA">
      <w:pPr>
        <w:rPr>
          <w:bCs/>
          <w:sz w:val="23"/>
          <w:szCs w:val="23"/>
        </w:rPr>
      </w:pPr>
      <w:r>
        <w:rPr>
          <w:bCs/>
          <w:sz w:val="23"/>
          <w:szCs w:val="23"/>
        </w:rPr>
        <w:t>This section lists the required information that a facility operator must provide as part of their compliance report under the Act. The compliance report relates to a reporting period as defined under the Act.</w:t>
      </w:r>
    </w:p>
    <w:p w:rsidR="00AD1254" w:rsidRDefault="00AD1254" w:rsidP="003301DA">
      <w:pPr>
        <w:rPr>
          <w:b/>
          <w:iCs/>
          <w:sz w:val="28"/>
          <w:szCs w:val="28"/>
        </w:rPr>
      </w:pPr>
      <w:r>
        <w:rPr>
          <w:b/>
          <w:iCs/>
          <w:sz w:val="28"/>
          <w:szCs w:val="28"/>
        </w:rPr>
        <w:t>Part 4</w:t>
      </w:r>
      <w:r w:rsidRPr="00FE49BA">
        <w:rPr>
          <w:b/>
          <w:iCs/>
          <w:sz w:val="28"/>
          <w:szCs w:val="28"/>
        </w:rPr>
        <w:tab/>
        <w:t xml:space="preserve">        </w:t>
      </w:r>
      <w:r w:rsidRPr="00AD1254">
        <w:rPr>
          <w:b/>
          <w:bCs/>
          <w:iCs/>
          <w:sz w:val="28"/>
          <w:szCs w:val="28"/>
        </w:rPr>
        <w:t>Categories of goods or services</w:t>
      </w:r>
    </w:p>
    <w:p w:rsidR="00AD1254" w:rsidRDefault="00AD1254" w:rsidP="003301DA">
      <w:pPr>
        <w:rPr>
          <w:b/>
          <w:bCs/>
          <w:sz w:val="23"/>
          <w:szCs w:val="23"/>
        </w:rPr>
      </w:pPr>
      <w:r>
        <w:rPr>
          <w:b/>
          <w:iCs/>
        </w:rPr>
        <w:t>8</w:t>
      </w:r>
      <w:r>
        <w:rPr>
          <w:b/>
          <w:iCs/>
        </w:rPr>
        <w:tab/>
      </w:r>
      <w:r>
        <w:rPr>
          <w:b/>
          <w:bCs/>
          <w:sz w:val="23"/>
          <w:szCs w:val="23"/>
        </w:rPr>
        <w:t>Categories of goods or services</w:t>
      </w:r>
    </w:p>
    <w:p w:rsidR="003301DA" w:rsidRDefault="003301DA" w:rsidP="003301DA">
      <w:pPr>
        <w:rPr>
          <w:rFonts w:cstheme="minorHAnsi"/>
        </w:rPr>
      </w:pPr>
      <w:r w:rsidRPr="003301DA">
        <w:rPr>
          <w:rFonts w:cstheme="minorHAnsi"/>
        </w:rPr>
        <w:t xml:space="preserve">Key goods and services for the project shall be broken down into </w:t>
      </w:r>
      <w:r>
        <w:rPr>
          <w:rFonts w:cstheme="minorHAnsi"/>
        </w:rPr>
        <w:t xml:space="preserve">the most </w:t>
      </w:r>
      <w:r w:rsidRPr="003301DA">
        <w:rPr>
          <w:rFonts w:cstheme="minorHAnsi"/>
        </w:rPr>
        <w:t xml:space="preserve">reasonable </w:t>
      </w:r>
      <w:r>
        <w:rPr>
          <w:rFonts w:cstheme="minorHAnsi"/>
        </w:rPr>
        <w:t xml:space="preserve">appropriate </w:t>
      </w:r>
      <w:r w:rsidRPr="003301DA">
        <w:rPr>
          <w:rFonts w:cstheme="minorHAnsi"/>
        </w:rPr>
        <w:t xml:space="preserve">size work packages that the project proponent or any procurement entity for the project </w:t>
      </w:r>
      <w:r>
        <w:rPr>
          <w:rFonts w:cstheme="minorHAnsi"/>
        </w:rPr>
        <w:t xml:space="preserve">normally </w:t>
      </w:r>
      <w:r w:rsidRPr="003301DA">
        <w:rPr>
          <w:rFonts w:cstheme="minorHAnsi"/>
        </w:rPr>
        <w:t>puts out for tender.</w:t>
      </w:r>
      <w:r w:rsidR="00D54844">
        <w:rPr>
          <w:rFonts w:cstheme="minorHAnsi"/>
        </w:rPr>
        <w:t xml:space="preserve"> </w:t>
      </w:r>
      <w:r>
        <w:rPr>
          <w:rFonts w:cstheme="minorHAnsi"/>
        </w:rPr>
        <w:t xml:space="preserve">The categories for the AIP plan reporting should be the work packages made up by the proponent or the procurement entity. </w:t>
      </w:r>
    </w:p>
    <w:p w:rsidR="003301DA" w:rsidRDefault="003301DA" w:rsidP="003301DA">
      <w:pPr>
        <w:rPr>
          <w:rFonts w:cstheme="minorHAnsi"/>
        </w:rPr>
      </w:pPr>
      <w:r>
        <w:rPr>
          <w:rFonts w:cstheme="minorHAnsi"/>
        </w:rPr>
        <w:t xml:space="preserve">Note however that the work packages advertised must be reasonable and appropriate for the goods and services being acquired and that this should balanced on how well the work packages align with the key objective to give full, fair and reasonable opportunity to Australian industry. </w:t>
      </w:r>
    </w:p>
    <w:p w:rsidR="00D54844" w:rsidRPr="003301DA" w:rsidRDefault="003301DA" w:rsidP="003301DA">
      <w:pPr>
        <w:rPr>
          <w:rFonts w:cstheme="minorHAnsi"/>
        </w:rPr>
      </w:pPr>
      <w:r>
        <w:rPr>
          <w:rFonts w:cstheme="minorHAnsi"/>
        </w:rPr>
        <w:t xml:space="preserve">It is up to the project proponent or the operator to decide what the appropriate </w:t>
      </w:r>
      <w:r w:rsidR="00D54844">
        <w:rPr>
          <w:rFonts w:cstheme="minorHAnsi"/>
        </w:rPr>
        <w:t>work packages</w:t>
      </w:r>
      <w:r>
        <w:rPr>
          <w:rFonts w:cstheme="minorHAnsi"/>
        </w:rPr>
        <w:t xml:space="preserve"> should b</w:t>
      </w:r>
      <w:r w:rsidR="00D54844">
        <w:rPr>
          <w:rFonts w:cstheme="minorHAnsi"/>
        </w:rPr>
        <w:t xml:space="preserve">e for their particular project and report in their AIP plan accordingly. The Authority can assist proponents and operators to choose appropriate work packages that meet the key objective of an AIP plan. </w:t>
      </w:r>
    </w:p>
    <w:p w:rsidR="00D54844" w:rsidRDefault="00D54844" w:rsidP="00D54844">
      <w:pPr>
        <w:rPr>
          <w:b/>
          <w:bCs/>
          <w:iCs/>
          <w:sz w:val="28"/>
          <w:szCs w:val="28"/>
        </w:rPr>
      </w:pPr>
      <w:r>
        <w:rPr>
          <w:b/>
          <w:iCs/>
          <w:sz w:val="28"/>
          <w:szCs w:val="28"/>
        </w:rPr>
        <w:t>Part 5</w:t>
      </w:r>
      <w:r>
        <w:rPr>
          <w:b/>
          <w:iCs/>
          <w:sz w:val="28"/>
          <w:szCs w:val="28"/>
        </w:rPr>
        <w:tab/>
        <w:t xml:space="preserve">        </w:t>
      </w:r>
      <w:r w:rsidRPr="00D54844">
        <w:rPr>
          <w:b/>
          <w:bCs/>
          <w:iCs/>
          <w:sz w:val="28"/>
          <w:szCs w:val="28"/>
        </w:rPr>
        <w:t>Notification obligations</w:t>
      </w:r>
    </w:p>
    <w:p w:rsidR="00D54844" w:rsidRDefault="00D54844" w:rsidP="00D54844">
      <w:pPr>
        <w:rPr>
          <w:b/>
          <w:iCs/>
          <w:sz w:val="28"/>
          <w:szCs w:val="28"/>
        </w:rPr>
      </w:pPr>
      <w:r>
        <w:rPr>
          <w:b/>
          <w:iCs/>
        </w:rPr>
        <w:t>9</w:t>
      </w:r>
      <w:r>
        <w:rPr>
          <w:b/>
          <w:iCs/>
        </w:rPr>
        <w:tab/>
      </w:r>
      <w:r>
        <w:rPr>
          <w:b/>
          <w:bCs/>
          <w:sz w:val="23"/>
          <w:szCs w:val="23"/>
        </w:rPr>
        <w:t>Notification of preliminary trigger day for major projects</w:t>
      </w:r>
    </w:p>
    <w:p w:rsidR="00AD1254" w:rsidRDefault="005B4D42" w:rsidP="003301DA">
      <w:pPr>
        <w:rPr>
          <w:bCs/>
          <w:sz w:val="23"/>
          <w:szCs w:val="23"/>
        </w:rPr>
      </w:pPr>
      <w:r>
        <w:rPr>
          <w:bCs/>
          <w:sz w:val="23"/>
          <w:szCs w:val="23"/>
        </w:rPr>
        <w:t xml:space="preserve">This section lists the required information that a project proponent must provide when they notify the Authority of a preliminary trigger day for a major project. </w:t>
      </w:r>
    </w:p>
    <w:p w:rsidR="005B4D42" w:rsidRDefault="005B4D42" w:rsidP="005B4D42">
      <w:pPr>
        <w:rPr>
          <w:b/>
          <w:bCs/>
          <w:iCs/>
          <w:sz w:val="28"/>
          <w:szCs w:val="28"/>
        </w:rPr>
      </w:pPr>
      <w:r>
        <w:rPr>
          <w:b/>
          <w:iCs/>
          <w:sz w:val="28"/>
          <w:szCs w:val="28"/>
        </w:rPr>
        <w:t>Part 6</w:t>
      </w:r>
      <w:r>
        <w:rPr>
          <w:b/>
          <w:iCs/>
          <w:sz w:val="28"/>
          <w:szCs w:val="28"/>
        </w:rPr>
        <w:tab/>
        <w:t xml:space="preserve">        </w:t>
      </w:r>
      <w:r>
        <w:rPr>
          <w:b/>
          <w:bCs/>
          <w:iCs/>
          <w:sz w:val="28"/>
          <w:szCs w:val="28"/>
        </w:rPr>
        <w:t>Functions of the Authority</w:t>
      </w:r>
    </w:p>
    <w:p w:rsidR="005B4D42" w:rsidRDefault="005B4D42" w:rsidP="005B4D42">
      <w:pPr>
        <w:rPr>
          <w:b/>
          <w:bCs/>
          <w:iCs/>
          <w:sz w:val="28"/>
          <w:szCs w:val="28"/>
        </w:rPr>
      </w:pPr>
      <w:r>
        <w:rPr>
          <w:b/>
          <w:iCs/>
        </w:rPr>
        <w:t>10</w:t>
      </w:r>
      <w:r>
        <w:rPr>
          <w:b/>
          <w:iCs/>
        </w:rPr>
        <w:tab/>
      </w:r>
      <w:r>
        <w:rPr>
          <w:b/>
          <w:bCs/>
          <w:sz w:val="23"/>
          <w:szCs w:val="23"/>
        </w:rPr>
        <w:t>Schemes and programs administered by the Authority</w:t>
      </w:r>
    </w:p>
    <w:p w:rsidR="007A7F75" w:rsidRDefault="007A7F75" w:rsidP="003301DA">
      <w:r>
        <w:t xml:space="preserve">Under section </w:t>
      </w:r>
      <w:r w:rsidRPr="007A7F75">
        <w:t xml:space="preserve">68(1)(k) of the Act, </w:t>
      </w:r>
      <w:r>
        <w:t xml:space="preserve">the </w:t>
      </w:r>
      <w:r w:rsidRPr="007A7F75">
        <w:t>Authority is to administer schemes and programs on behalf of the Commonwealth as part of its functions.</w:t>
      </w:r>
      <w:r>
        <w:t xml:space="preserve"> The following are those schemes and programs: </w:t>
      </w:r>
    </w:p>
    <w:p w:rsidR="007A7F75" w:rsidRPr="007A7F75" w:rsidRDefault="007A7F75" w:rsidP="007A7F75">
      <w:pPr>
        <w:pStyle w:val="ListParagraph"/>
        <w:numPr>
          <w:ilvl w:val="0"/>
          <w:numId w:val="4"/>
        </w:numPr>
      </w:pPr>
      <w:r w:rsidRPr="007A7F75">
        <w:t xml:space="preserve">the Supplier Advocates Program; and </w:t>
      </w:r>
    </w:p>
    <w:p w:rsidR="007A7F75" w:rsidRPr="007A7F75" w:rsidRDefault="007A7F75" w:rsidP="007A7F75">
      <w:pPr>
        <w:pStyle w:val="ListParagraph"/>
        <w:numPr>
          <w:ilvl w:val="0"/>
          <w:numId w:val="4"/>
        </w:numPr>
      </w:pPr>
      <w:r w:rsidRPr="007A7F75">
        <w:t xml:space="preserve">the Resources Sector Supplier Advisory Forum; and </w:t>
      </w:r>
    </w:p>
    <w:p w:rsidR="005B4D42" w:rsidRDefault="007A7F75" w:rsidP="003301DA">
      <w:pPr>
        <w:pStyle w:val="ListParagraph"/>
        <w:numPr>
          <w:ilvl w:val="0"/>
          <w:numId w:val="4"/>
        </w:numPr>
      </w:pPr>
      <w:r w:rsidRPr="007A7F75">
        <w:t>the Resources Sector Supplier Envoy Program.</w:t>
      </w:r>
    </w:p>
    <w:p w:rsidR="005B4D42" w:rsidRDefault="005B4D42" w:rsidP="003301DA">
      <w:pPr>
        <w:rPr>
          <w:b/>
          <w:bCs/>
          <w:sz w:val="23"/>
          <w:szCs w:val="23"/>
        </w:rPr>
      </w:pPr>
      <w:r>
        <w:rPr>
          <w:b/>
          <w:iCs/>
        </w:rPr>
        <w:lastRenderedPageBreak/>
        <w:t>11</w:t>
      </w:r>
      <w:r>
        <w:rPr>
          <w:b/>
          <w:iCs/>
        </w:rPr>
        <w:tab/>
      </w:r>
      <w:r>
        <w:rPr>
          <w:b/>
          <w:bCs/>
          <w:sz w:val="23"/>
          <w:szCs w:val="23"/>
        </w:rPr>
        <w:t>Functions of the Authority</w:t>
      </w:r>
    </w:p>
    <w:p w:rsidR="007A7F75" w:rsidRPr="007A7F75" w:rsidRDefault="007A7F75" w:rsidP="007A7F75">
      <w:r>
        <w:t>Under section 68(1)(m</w:t>
      </w:r>
      <w:r w:rsidRPr="007A7F75">
        <w:t>) of the Act</w:t>
      </w:r>
      <w:r>
        <w:t xml:space="preserve">, the </w:t>
      </w:r>
      <w:r w:rsidRPr="007A7F75">
        <w:t>Authority is to</w:t>
      </w:r>
      <w:r>
        <w:t xml:space="preserve"> perform certain functions in addition to the ones under section 68 of the Act. </w:t>
      </w:r>
      <w:r w:rsidRPr="007A7F75">
        <w:t xml:space="preserve">The functions of the Authority are: </w:t>
      </w:r>
    </w:p>
    <w:p w:rsidR="007A7F75" w:rsidRPr="007A7F75" w:rsidRDefault="007A7F75" w:rsidP="007A7F75">
      <w:pPr>
        <w:pStyle w:val="ListParagraph"/>
        <w:numPr>
          <w:ilvl w:val="0"/>
          <w:numId w:val="6"/>
        </w:numPr>
      </w:pPr>
      <w:r w:rsidRPr="007A7F75">
        <w:t xml:space="preserve">to provide advice on the preparation of draft AIP plans and AIP plan requirements for major Government procurements, loans and grants; and </w:t>
      </w:r>
    </w:p>
    <w:p w:rsidR="007A7F75" w:rsidRPr="007A7F75" w:rsidRDefault="007A7F75" w:rsidP="007A7F75">
      <w:pPr>
        <w:pStyle w:val="ListParagraph"/>
        <w:numPr>
          <w:ilvl w:val="0"/>
          <w:numId w:val="6"/>
        </w:numPr>
      </w:pPr>
      <w:r w:rsidRPr="007A7F75">
        <w:t xml:space="preserve">to represent the Department in relation to the Department’s company membership in Industry Capability Network Limited; and </w:t>
      </w:r>
    </w:p>
    <w:p w:rsidR="007A7F75" w:rsidRPr="007A7F75" w:rsidRDefault="007A7F75" w:rsidP="007A7F75">
      <w:pPr>
        <w:pStyle w:val="ListParagraph"/>
        <w:numPr>
          <w:ilvl w:val="0"/>
          <w:numId w:val="6"/>
        </w:numPr>
      </w:pPr>
      <w:r w:rsidRPr="007A7F75">
        <w:t xml:space="preserve">to represent the Department on Australian industry participation matters; and </w:t>
      </w:r>
    </w:p>
    <w:p w:rsidR="007A7F75" w:rsidRPr="007A7F75" w:rsidRDefault="007A7F75" w:rsidP="007A7F75">
      <w:pPr>
        <w:pStyle w:val="ListParagraph"/>
        <w:numPr>
          <w:ilvl w:val="0"/>
          <w:numId w:val="6"/>
        </w:numPr>
      </w:pPr>
      <w:r w:rsidRPr="007A7F75">
        <w:t xml:space="preserve">to provide advice on Australian industry participation matters; and </w:t>
      </w:r>
    </w:p>
    <w:p w:rsidR="007A7F75" w:rsidRPr="007A7F75" w:rsidRDefault="007A7F75" w:rsidP="007A7F75">
      <w:pPr>
        <w:pStyle w:val="ListParagraph"/>
        <w:numPr>
          <w:ilvl w:val="0"/>
          <w:numId w:val="6"/>
        </w:numPr>
      </w:pPr>
      <w:r w:rsidRPr="007A7F75">
        <w:t xml:space="preserve">to manage funding for the following schemes or programs: </w:t>
      </w:r>
    </w:p>
    <w:p w:rsidR="007A7F75" w:rsidRPr="007A7F75" w:rsidRDefault="007A7F75" w:rsidP="007A7F75">
      <w:pPr>
        <w:pStyle w:val="ListParagraph"/>
        <w:numPr>
          <w:ilvl w:val="0"/>
          <w:numId w:val="6"/>
        </w:numPr>
      </w:pPr>
      <w:r w:rsidRPr="007A7F75">
        <w:t xml:space="preserve">the Supplier Access to Major Projects Initiative; </w:t>
      </w:r>
    </w:p>
    <w:p w:rsidR="007A7F75" w:rsidRPr="007A7F75" w:rsidRDefault="007A7F75" w:rsidP="007A7F75">
      <w:pPr>
        <w:pStyle w:val="ListParagraph"/>
        <w:numPr>
          <w:ilvl w:val="0"/>
          <w:numId w:val="6"/>
        </w:numPr>
      </w:pPr>
      <w:r w:rsidRPr="007A7F75">
        <w:t xml:space="preserve">the National Sector Manager Initiative; </w:t>
      </w:r>
    </w:p>
    <w:p w:rsidR="007A7F75" w:rsidRPr="007A7F75" w:rsidRDefault="007A7F75" w:rsidP="007A7F75">
      <w:pPr>
        <w:pStyle w:val="ListParagraph"/>
        <w:numPr>
          <w:ilvl w:val="0"/>
          <w:numId w:val="6"/>
        </w:numPr>
      </w:pPr>
      <w:r w:rsidRPr="007A7F75">
        <w:t xml:space="preserve">the Industry Capability Network Limited; </w:t>
      </w:r>
    </w:p>
    <w:p w:rsidR="007A7F75" w:rsidRPr="007A7F75" w:rsidRDefault="007A7F75" w:rsidP="007A7F75">
      <w:pPr>
        <w:pStyle w:val="ListParagraph"/>
        <w:numPr>
          <w:ilvl w:val="0"/>
          <w:numId w:val="6"/>
        </w:numPr>
      </w:pPr>
      <w:r w:rsidRPr="007A7F75">
        <w:t xml:space="preserve">the National Coordination of the State, Territory and New Zealand Industry Capability Network; </w:t>
      </w:r>
    </w:p>
    <w:p w:rsidR="007A7F75" w:rsidRPr="00AD1254" w:rsidRDefault="007A7F75" w:rsidP="007A7F75">
      <w:pPr>
        <w:pStyle w:val="ListParagraph"/>
        <w:numPr>
          <w:ilvl w:val="0"/>
          <w:numId w:val="6"/>
        </w:numPr>
      </w:pPr>
      <w:r w:rsidRPr="007A7F75">
        <w:t>the Industry Capability and Project Opportunities Database.</w:t>
      </w:r>
    </w:p>
    <w:sectPr w:rsidR="007A7F75" w:rsidRPr="00AD1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5021"/>
    <w:multiLevelType w:val="hybridMultilevel"/>
    <w:tmpl w:val="364A41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D301495"/>
    <w:multiLevelType w:val="hybridMultilevel"/>
    <w:tmpl w:val="B3B6E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E5A0D5D"/>
    <w:multiLevelType w:val="hybridMultilevel"/>
    <w:tmpl w:val="BB02DF6C"/>
    <w:lvl w:ilvl="0" w:tplc="A98870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0045031"/>
    <w:multiLevelType w:val="hybridMultilevel"/>
    <w:tmpl w:val="D7DA47CE"/>
    <w:lvl w:ilvl="0" w:tplc="A98870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CE0005F"/>
    <w:multiLevelType w:val="hybridMultilevel"/>
    <w:tmpl w:val="9828BABA"/>
    <w:lvl w:ilvl="0" w:tplc="A98870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3185A04"/>
    <w:multiLevelType w:val="hybridMultilevel"/>
    <w:tmpl w:val="1792AF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2AD2648"/>
    <w:multiLevelType w:val="hybridMultilevel"/>
    <w:tmpl w:val="AF8C27EE"/>
    <w:lvl w:ilvl="0" w:tplc="A4386C8C">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2A2"/>
    <w:rsid w:val="00034250"/>
    <w:rsid w:val="00137B4A"/>
    <w:rsid w:val="0023194B"/>
    <w:rsid w:val="003301DA"/>
    <w:rsid w:val="0035757D"/>
    <w:rsid w:val="003F799B"/>
    <w:rsid w:val="004442A2"/>
    <w:rsid w:val="004A21E4"/>
    <w:rsid w:val="0050750F"/>
    <w:rsid w:val="005B4D42"/>
    <w:rsid w:val="00641533"/>
    <w:rsid w:val="0067256D"/>
    <w:rsid w:val="006C51E7"/>
    <w:rsid w:val="007A7F75"/>
    <w:rsid w:val="007D1364"/>
    <w:rsid w:val="00864E1B"/>
    <w:rsid w:val="008864A6"/>
    <w:rsid w:val="009A1EC1"/>
    <w:rsid w:val="009F0F3B"/>
    <w:rsid w:val="00A75209"/>
    <w:rsid w:val="00AD1254"/>
    <w:rsid w:val="00C12121"/>
    <w:rsid w:val="00C60F75"/>
    <w:rsid w:val="00D54844"/>
    <w:rsid w:val="00D8536B"/>
    <w:rsid w:val="00EF45FD"/>
    <w:rsid w:val="00FD22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42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2A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D1364"/>
    <w:pPr>
      <w:ind w:left="720"/>
      <w:contextualSpacing/>
    </w:pPr>
  </w:style>
  <w:style w:type="character" w:styleId="CommentReference">
    <w:name w:val="annotation reference"/>
    <w:basedOn w:val="DefaultParagraphFont"/>
    <w:uiPriority w:val="99"/>
    <w:semiHidden/>
    <w:unhideWhenUsed/>
    <w:rsid w:val="0050750F"/>
    <w:rPr>
      <w:sz w:val="16"/>
      <w:szCs w:val="16"/>
    </w:rPr>
  </w:style>
  <w:style w:type="paragraph" w:styleId="CommentText">
    <w:name w:val="annotation text"/>
    <w:basedOn w:val="Normal"/>
    <w:link w:val="CommentTextChar"/>
    <w:uiPriority w:val="99"/>
    <w:semiHidden/>
    <w:unhideWhenUsed/>
    <w:rsid w:val="0050750F"/>
    <w:pPr>
      <w:spacing w:line="240" w:lineRule="auto"/>
    </w:pPr>
    <w:rPr>
      <w:sz w:val="20"/>
      <w:szCs w:val="20"/>
    </w:rPr>
  </w:style>
  <w:style w:type="character" w:customStyle="1" w:styleId="CommentTextChar">
    <w:name w:val="Comment Text Char"/>
    <w:basedOn w:val="DefaultParagraphFont"/>
    <w:link w:val="CommentText"/>
    <w:uiPriority w:val="99"/>
    <w:semiHidden/>
    <w:rsid w:val="0050750F"/>
    <w:rPr>
      <w:sz w:val="20"/>
      <w:szCs w:val="20"/>
    </w:rPr>
  </w:style>
  <w:style w:type="paragraph" w:styleId="CommentSubject">
    <w:name w:val="annotation subject"/>
    <w:basedOn w:val="CommentText"/>
    <w:next w:val="CommentText"/>
    <w:link w:val="CommentSubjectChar"/>
    <w:uiPriority w:val="99"/>
    <w:semiHidden/>
    <w:unhideWhenUsed/>
    <w:rsid w:val="0050750F"/>
    <w:rPr>
      <w:b/>
      <w:bCs/>
    </w:rPr>
  </w:style>
  <w:style w:type="character" w:customStyle="1" w:styleId="CommentSubjectChar">
    <w:name w:val="Comment Subject Char"/>
    <w:basedOn w:val="CommentTextChar"/>
    <w:link w:val="CommentSubject"/>
    <w:uiPriority w:val="99"/>
    <w:semiHidden/>
    <w:rsid w:val="0050750F"/>
    <w:rPr>
      <w:b/>
      <w:bCs/>
      <w:sz w:val="20"/>
      <w:szCs w:val="20"/>
    </w:rPr>
  </w:style>
  <w:style w:type="paragraph" w:styleId="BalloonText">
    <w:name w:val="Balloon Text"/>
    <w:basedOn w:val="Normal"/>
    <w:link w:val="BalloonTextChar"/>
    <w:uiPriority w:val="99"/>
    <w:semiHidden/>
    <w:unhideWhenUsed/>
    <w:rsid w:val="00507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42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2A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D1364"/>
    <w:pPr>
      <w:ind w:left="720"/>
      <w:contextualSpacing/>
    </w:pPr>
  </w:style>
  <w:style w:type="character" w:styleId="CommentReference">
    <w:name w:val="annotation reference"/>
    <w:basedOn w:val="DefaultParagraphFont"/>
    <w:uiPriority w:val="99"/>
    <w:semiHidden/>
    <w:unhideWhenUsed/>
    <w:rsid w:val="0050750F"/>
    <w:rPr>
      <w:sz w:val="16"/>
      <w:szCs w:val="16"/>
    </w:rPr>
  </w:style>
  <w:style w:type="paragraph" w:styleId="CommentText">
    <w:name w:val="annotation text"/>
    <w:basedOn w:val="Normal"/>
    <w:link w:val="CommentTextChar"/>
    <w:uiPriority w:val="99"/>
    <w:semiHidden/>
    <w:unhideWhenUsed/>
    <w:rsid w:val="0050750F"/>
    <w:pPr>
      <w:spacing w:line="240" w:lineRule="auto"/>
    </w:pPr>
    <w:rPr>
      <w:sz w:val="20"/>
      <w:szCs w:val="20"/>
    </w:rPr>
  </w:style>
  <w:style w:type="character" w:customStyle="1" w:styleId="CommentTextChar">
    <w:name w:val="Comment Text Char"/>
    <w:basedOn w:val="DefaultParagraphFont"/>
    <w:link w:val="CommentText"/>
    <w:uiPriority w:val="99"/>
    <w:semiHidden/>
    <w:rsid w:val="0050750F"/>
    <w:rPr>
      <w:sz w:val="20"/>
      <w:szCs w:val="20"/>
    </w:rPr>
  </w:style>
  <w:style w:type="paragraph" w:styleId="CommentSubject">
    <w:name w:val="annotation subject"/>
    <w:basedOn w:val="CommentText"/>
    <w:next w:val="CommentText"/>
    <w:link w:val="CommentSubjectChar"/>
    <w:uiPriority w:val="99"/>
    <w:semiHidden/>
    <w:unhideWhenUsed/>
    <w:rsid w:val="0050750F"/>
    <w:rPr>
      <w:b/>
      <w:bCs/>
    </w:rPr>
  </w:style>
  <w:style w:type="character" w:customStyle="1" w:styleId="CommentSubjectChar">
    <w:name w:val="Comment Subject Char"/>
    <w:basedOn w:val="CommentTextChar"/>
    <w:link w:val="CommentSubject"/>
    <w:uiPriority w:val="99"/>
    <w:semiHidden/>
    <w:rsid w:val="0050750F"/>
    <w:rPr>
      <w:b/>
      <w:bCs/>
      <w:sz w:val="20"/>
      <w:szCs w:val="20"/>
    </w:rPr>
  </w:style>
  <w:style w:type="paragraph" w:styleId="BalloonText">
    <w:name w:val="Balloon Text"/>
    <w:basedOn w:val="Normal"/>
    <w:link w:val="BalloonTextChar"/>
    <w:uiPriority w:val="99"/>
    <w:semiHidden/>
    <w:unhideWhenUsed/>
    <w:rsid w:val="00507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1229</Words>
  <Characters>7009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AMarjan</dc:creator>
  <cp:lastModifiedBy>Doyle, Simone</cp:lastModifiedBy>
  <cp:revision>2</cp:revision>
  <dcterms:created xsi:type="dcterms:W3CDTF">2014-02-06T00:31:00Z</dcterms:created>
  <dcterms:modified xsi:type="dcterms:W3CDTF">2014-02-06T00:31:00Z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