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43" w:rsidRDefault="00380143">
      <w:pPr>
        <w:rPr>
          <w:rFonts w:ascii="Verdana" w:hAnsi="Verdana"/>
          <w:sz w:val="20"/>
          <w:szCs w:val="20"/>
        </w:rPr>
      </w:pPr>
    </w:p>
    <w:p w:rsidR="00A74F05" w:rsidRDefault="00A74F05">
      <w:pPr>
        <w:rPr>
          <w:rFonts w:ascii="Verdana" w:hAnsi="Verdana"/>
          <w:sz w:val="20"/>
          <w:szCs w:val="20"/>
        </w:rPr>
      </w:pPr>
    </w:p>
    <w:p w:rsidR="00A74F05" w:rsidRDefault="00A74F05">
      <w:pPr>
        <w:rPr>
          <w:rFonts w:ascii="Verdana" w:hAnsi="Verdana"/>
          <w:sz w:val="20"/>
          <w:szCs w:val="20"/>
        </w:rPr>
      </w:pPr>
    </w:p>
    <w:p w:rsidR="00A74F05" w:rsidRDefault="00A74F05" w:rsidP="00A74F05">
      <w:pPr>
        <w:jc w:val="center"/>
        <w:rPr>
          <w:rFonts w:ascii="Verdana" w:hAnsi="Verdana"/>
          <w:b/>
          <w:i/>
        </w:rPr>
      </w:pPr>
      <w:r>
        <w:rPr>
          <w:rFonts w:ascii="Verdana" w:hAnsi="Verdana"/>
          <w:b/>
          <w:i/>
        </w:rPr>
        <w:t>Safety, Rehabilitation and Compensation Act 1988</w:t>
      </w:r>
    </w:p>
    <w:p w:rsidR="00A74F05" w:rsidRDefault="00A74F05" w:rsidP="00A74F05">
      <w:pPr>
        <w:jc w:val="center"/>
        <w:rPr>
          <w:rFonts w:ascii="Verdana" w:hAnsi="Verdana"/>
          <w:b/>
        </w:rPr>
      </w:pPr>
      <w:r>
        <w:rPr>
          <w:rFonts w:ascii="Verdana" w:hAnsi="Verdana"/>
          <w:b/>
        </w:rPr>
        <w:t>Section 97E</w:t>
      </w:r>
    </w:p>
    <w:p w:rsidR="00A74F05" w:rsidRDefault="00A74F05" w:rsidP="00A74F05">
      <w:pPr>
        <w:jc w:val="center"/>
        <w:rPr>
          <w:rFonts w:ascii="Verdana" w:hAnsi="Verdana"/>
          <w:b/>
        </w:rPr>
      </w:pPr>
    </w:p>
    <w:p w:rsidR="00A74F05" w:rsidRDefault="00A74F05" w:rsidP="00A74F05">
      <w:pPr>
        <w:jc w:val="center"/>
        <w:rPr>
          <w:rFonts w:ascii="Verdana" w:hAnsi="Verdana"/>
          <w:b/>
        </w:rPr>
      </w:pPr>
    </w:p>
    <w:p w:rsidR="00A74F05" w:rsidRDefault="00A74F05" w:rsidP="00A74F05">
      <w:pPr>
        <w:jc w:val="center"/>
        <w:rPr>
          <w:rFonts w:ascii="Verdana" w:hAnsi="Verdana"/>
          <w:b/>
        </w:rPr>
      </w:pPr>
    </w:p>
    <w:p w:rsidR="00A74F05" w:rsidRDefault="00A74F05" w:rsidP="00A74F05">
      <w:pPr>
        <w:jc w:val="center"/>
        <w:rPr>
          <w:rFonts w:ascii="Verdana" w:hAnsi="Verdana"/>
          <w:b/>
        </w:rPr>
      </w:pPr>
      <w:r>
        <w:rPr>
          <w:rFonts w:ascii="Verdana" w:hAnsi="Verdana"/>
          <w:b/>
          <w:sz w:val="32"/>
          <w:szCs w:val="32"/>
        </w:rPr>
        <w:t xml:space="preserve">PREMIUM DETERMINATION GUIDELINES </w:t>
      </w:r>
      <w:r w:rsidR="00923331">
        <w:rPr>
          <w:rFonts w:ascii="Verdana" w:hAnsi="Verdana"/>
          <w:b/>
          <w:sz w:val="32"/>
          <w:szCs w:val="32"/>
        </w:rPr>
        <w:t>2013</w:t>
      </w:r>
    </w:p>
    <w:p w:rsidR="00A74F05" w:rsidRDefault="00A74F05" w:rsidP="00A74F05">
      <w:pPr>
        <w:jc w:val="center"/>
        <w:rPr>
          <w:rFonts w:ascii="Verdana" w:hAnsi="Verdana"/>
          <w:b/>
        </w:rPr>
      </w:pPr>
    </w:p>
    <w:p w:rsidR="00A74F05" w:rsidRDefault="00A74F05" w:rsidP="00A74F05">
      <w:pPr>
        <w:jc w:val="center"/>
        <w:rPr>
          <w:rFonts w:ascii="Verdana" w:hAnsi="Verdana"/>
          <w:b/>
        </w:rPr>
      </w:pPr>
    </w:p>
    <w:p w:rsidR="00A74F05" w:rsidRDefault="00A74F05" w:rsidP="00A74F05">
      <w:pPr>
        <w:jc w:val="both"/>
        <w:rPr>
          <w:rFonts w:ascii="Verdana" w:hAnsi="Verdana"/>
          <w:sz w:val="22"/>
          <w:szCs w:val="22"/>
        </w:rPr>
      </w:pPr>
    </w:p>
    <w:p w:rsidR="00A74F05" w:rsidRDefault="00A74F05" w:rsidP="00A74F05">
      <w:pPr>
        <w:jc w:val="both"/>
        <w:rPr>
          <w:rFonts w:ascii="Verdana" w:hAnsi="Verdana"/>
          <w:sz w:val="22"/>
          <w:szCs w:val="22"/>
        </w:rPr>
      </w:pPr>
      <w:r>
        <w:rPr>
          <w:rFonts w:ascii="Verdana" w:hAnsi="Verdana"/>
          <w:sz w:val="22"/>
          <w:szCs w:val="22"/>
        </w:rPr>
        <w:t xml:space="preserve">The Safety, Rehabilitation and Compensation Commission (‘Commission’) has prepared and issues the following guidelines to the Chief Executive Officer of Comcare under subsection 97E(1) of the </w:t>
      </w:r>
      <w:r>
        <w:rPr>
          <w:rFonts w:ascii="Verdana" w:hAnsi="Verdana"/>
          <w:i/>
          <w:sz w:val="22"/>
          <w:szCs w:val="22"/>
        </w:rPr>
        <w:t>Safety, Rehabilitation and Compensation Act 1988</w:t>
      </w:r>
      <w:r>
        <w:rPr>
          <w:rFonts w:ascii="Verdana" w:hAnsi="Verdana"/>
          <w:sz w:val="22"/>
          <w:szCs w:val="22"/>
        </w:rPr>
        <w:t xml:space="preserve"> (‘SRC Act’).  These Guidelines replace a</w:t>
      </w:r>
      <w:r w:rsidR="00BF4982">
        <w:rPr>
          <w:rFonts w:ascii="Verdana" w:hAnsi="Verdana"/>
          <w:sz w:val="22"/>
          <w:szCs w:val="22"/>
        </w:rPr>
        <w:t>ny</w:t>
      </w:r>
      <w:r>
        <w:rPr>
          <w:rFonts w:ascii="Verdana" w:hAnsi="Verdana"/>
          <w:sz w:val="22"/>
          <w:szCs w:val="22"/>
        </w:rPr>
        <w:t xml:space="preserve"> previous guidelines for the determination of premiums under the SRC Act prepared and issued by the Commission.</w:t>
      </w:r>
    </w:p>
    <w:p w:rsidR="00BF4982" w:rsidRDefault="00BF4982" w:rsidP="00A74F05">
      <w:pPr>
        <w:jc w:val="both"/>
        <w:rPr>
          <w:rFonts w:ascii="Verdana" w:hAnsi="Verdana"/>
          <w:sz w:val="22"/>
          <w:szCs w:val="22"/>
        </w:rPr>
      </w:pPr>
    </w:p>
    <w:p w:rsidR="00BF4982" w:rsidRDefault="003C71BB" w:rsidP="00A74F05">
      <w:pPr>
        <w:jc w:val="both"/>
        <w:rPr>
          <w:rFonts w:ascii="Verdana" w:hAnsi="Verdana"/>
          <w:sz w:val="22"/>
          <w:szCs w:val="22"/>
        </w:rPr>
      </w:pPr>
      <w:r>
        <w:rPr>
          <w:rFonts w:ascii="Verdana" w:hAnsi="Verdana"/>
          <w:sz w:val="22"/>
          <w:szCs w:val="22"/>
        </w:rPr>
        <w:t>This instrument</w:t>
      </w:r>
      <w:r w:rsidR="00BF4982">
        <w:rPr>
          <w:rFonts w:ascii="Verdana" w:hAnsi="Verdana"/>
          <w:sz w:val="22"/>
          <w:szCs w:val="22"/>
        </w:rPr>
        <w:t xml:space="preserve"> commence</w:t>
      </w:r>
      <w:r>
        <w:rPr>
          <w:rFonts w:ascii="Verdana" w:hAnsi="Verdana"/>
          <w:sz w:val="22"/>
          <w:szCs w:val="22"/>
        </w:rPr>
        <w:t>s on</w:t>
      </w:r>
      <w:r w:rsidR="00BF4982">
        <w:rPr>
          <w:rFonts w:ascii="Verdana" w:hAnsi="Verdana"/>
          <w:sz w:val="22"/>
          <w:szCs w:val="22"/>
        </w:rPr>
        <w:t xml:space="preserve"> the day after</w:t>
      </w:r>
      <w:r>
        <w:rPr>
          <w:rFonts w:ascii="Verdana" w:hAnsi="Verdana"/>
          <w:sz w:val="22"/>
          <w:szCs w:val="22"/>
        </w:rPr>
        <w:t xml:space="preserve"> it is</w:t>
      </w:r>
      <w:r w:rsidR="00BF4982">
        <w:rPr>
          <w:rFonts w:ascii="Verdana" w:hAnsi="Verdana"/>
          <w:sz w:val="22"/>
          <w:szCs w:val="22"/>
        </w:rPr>
        <w:t xml:space="preserve"> regist</w:t>
      </w:r>
      <w:r>
        <w:rPr>
          <w:rFonts w:ascii="Verdana" w:hAnsi="Verdana"/>
          <w:sz w:val="22"/>
          <w:szCs w:val="22"/>
        </w:rPr>
        <w:t>ered.</w:t>
      </w:r>
    </w:p>
    <w:p w:rsidR="00A74F05" w:rsidRDefault="00A74F05" w:rsidP="00A74F05">
      <w:pPr>
        <w:jc w:val="both"/>
        <w:rPr>
          <w:rFonts w:ascii="Verdana" w:hAnsi="Verdana"/>
          <w:sz w:val="22"/>
          <w:szCs w:val="22"/>
        </w:rPr>
      </w:pPr>
    </w:p>
    <w:p w:rsidR="00A74F05" w:rsidRDefault="00A74F05" w:rsidP="00A74F05">
      <w:pPr>
        <w:jc w:val="both"/>
        <w:rPr>
          <w:rFonts w:ascii="Verdana" w:hAnsi="Verdana"/>
          <w:sz w:val="22"/>
          <w:szCs w:val="22"/>
        </w:rPr>
      </w:pPr>
    </w:p>
    <w:p w:rsidR="00A74F05" w:rsidRDefault="00A74F05" w:rsidP="00A74F05">
      <w:pPr>
        <w:jc w:val="both"/>
        <w:rPr>
          <w:rFonts w:ascii="Verdana" w:hAnsi="Verdana"/>
          <w:sz w:val="22"/>
          <w:szCs w:val="22"/>
        </w:rPr>
      </w:pPr>
      <w:r>
        <w:rPr>
          <w:rFonts w:ascii="Verdana" w:hAnsi="Verdana"/>
          <w:sz w:val="22"/>
          <w:szCs w:val="22"/>
        </w:rPr>
        <w:t>DATED this</w:t>
      </w:r>
      <w:r w:rsidR="00C667BF">
        <w:rPr>
          <w:rFonts w:ascii="Verdana" w:hAnsi="Verdana"/>
          <w:sz w:val="22"/>
          <w:szCs w:val="22"/>
        </w:rPr>
        <w:t xml:space="preserve"> 3</w:t>
      </w:r>
      <w:r w:rsidR="00C667BF" w:rsidRPr="00C667BF">
        <w:rPr>
          <w:rFonts w:ascii="Verdana" w:hAnsi="Verdana"/>
          <w:sz w:val="22"/>
          <w:szCs w:val="22"/>
          <w:vertAlign w:val="superscript"/>
        </w:rPr>
        <w:t>rd</w:t>
      </w:r>
      <w:r w:rsidR="00C667BF">
        <w:rPr>
          <w:rFonts w:ascii="Verdana" w:hAnsi="Verdana"/>
          <w:sz w:val="22"/>
          <w:szCs w:val="22"/>
        </w:rPr>
        <w:t xml:space="preserve"> day of December 2013</w:t>
      </w:r>
    </w:p>
    <w:p w:rsidR="00A74F05" w:rsidRDefault="00A74F05" w:rsidP="00A74F05">
      <w:pPr>
        <w:jc w:val="both"/>
        <w:rPr>
          <w:rFonts w:ascii="Verdana" w:hAnsi="Verdana"/>
          <w:sz w:val="22"/>
          <w:szCs w:val="22"/>
        </w:rPr>
      </w:pPr>
    </w:p>
    <w:p w:rsidR="00A74F05" w:rsidRDefault="00A74F05" w:rsidP="00A74F05">
      <w:pPr>
        <w:jc w:val="both"/>
        <w:rPr>
          <w:rFonts w:ascii="Verdana" w:hAnsi="Verdana"/>
          <w:sz w:val="22"/>
          <w:szCs w:val="22"/>
        </w:rPr>
      </w:pPr>
    </w:p>
    <w:p w:rsidR="00A74F05" w:rsidRDefault="00A74F05" w:rsidP="00A74F05">
      <w:pPr>
        <w:jc w:val="both"/>
        <w:rPr>
          <w:rFonts w:ascii="Verdana" w:hAnsi="Verdana"/>
          <w:sz w:val="22"/>
          <w:szCs w:val="22"/>
        </w:rPr>
      </w:pPr>
    </w:p>
    <w:p w:rsidR="00A74F05" w:rsidRDefault="003349E2" w:rsidP="00A74F05">
      <w:pPr>
        <w:jc w:val="both"/>
        <w:rPr>
          <w:rFonts w:ascii="Verdana" w:hAnsi="Verdana"/>
          <w:sz w:val="22"/>
          <w:szCs w:val="22"/>
        </w:rPr>
      </w:pPr>
      <w:r>
        <w:rPr>
          <w:rFonts w:ascii="Verdana" w:hAnsi="Verdana"/>
          <w:sz w:val="22"/>
          <w:szCs w:val="22"/>
        </w:rPr>
        <w:t>Cameron Dick</w:t>
      </w:r>
    </w:p>
    <w:p w:rsidR="00ED2CD4" w:rsidRDefault="00425578" w:rsidP="00A74F05">
      <w:pPr>
        <w:jc w:val="both"/>
        <w:rPr>
          <w:rFonts w:ascii="Verdana" w:hAnsi="Verdana"/>
          <w:sz w:val="22"/>
          <w:szCs w:val="22"/>
        </w:rPr>
      </w:pPr>
      <w:r>
        <w:rPr>
          <w:rFonts w:ascii="Verdana" w:hAnsi="Verdana"/>
          <w:sz w:val="22"/>
          <w:szCs w:val="22"/>
        </w:rPr>
        <w:t>Chairperson</w:t>
      </w:r>
    </w:p>
    <w:p w:rsidR="00ED2CD4" w:rsidRDefault="00ED2CD4" w:rsidP="00ED2CD4">
      <w:pPr>
        <w:jc w:val="center"/>
        <w:rPr>
          <w:rFonts w:ascii="Verdana" w:hAnsi="Verdan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5040"/>
        <w:gridCol w:w="2112"/>
      </w:tblGrid>
      <w:tr w:rsidR="00ED2CD4" w:rsidTr="00474BDE">
        <w:trPr>
          <w:trHeight w:val="71"/>
        </w:trPr>
        <w:tc>
          <w:tcPr>
            <w:tcW w:w="1908" w:type="dxa"/>
          </w:tcPr>
          <w:p w:rsidR="00ED2CD4" w:rsidRDefault="00ED2CD4" w:rsidP="00ED2CD4">
            <w:pPr>
              <w:jc w:val="center"/>
              <w:rPr>
                <w:rFonts w:ascii="Verdana" w:hAnsi="Verdana"/>
                <w:sz w:val="22"/>
                <w:szCs w:val="22"/>
              </w:rPr>
            </w:pPr>
          </w:p>
          <w:p w:rsidR="002948AF" w:rsidRDefault="002948AF" w:rsidP="00ED2CD4">
            <w:pPr>
              <w:jc w:val="center"/>
              <w:rPr>
                <w:rFonts w:ascii="Verdana" w:hAnsi="Verdana"/>
                <w:sz w:val="22"/>
                <w:szCs w:val="22"/>
              </w:rPr>
            </w:pPr>
          </w:p>
        </w:tc>
        <w:tc>
          <w:tcPr>
            <w:tcW w:w="5040" w:type="dxa"/>
            <w:tcBorders>
              <w:bottom w:val="single" w:sz="4" w:space="0" w:color="auto"/>
            </w:tcBorders>
          </w:tcPr>
          <w:p w:rsidR="00ED2CD4" w:rsidRDefault="00C667BF" w:rsidP="00ED2CD4">
            <w:pPr>
              <w:jc w:val="center"/>
              <w:rPr>
                <w:rFonts w:ascii="Verdana" w:hAnsi="Verdana"/>
                <w:sz w:val="22"/>
                <w:szCs w:val="22"/>
              </w:rPr>
            </w:pPr>
            <w:r>
              <w:rPr>
                <w:rFonts w:ascii="Verdana" w:hAnsi="Verdana"/>
                <w:sz w:val="22"/>
                <w:szCs w:val="22"/>
              </w:rPr>
              <w:t>Cameron Dick</w:t>
            </w:r>
            <w:bookmarkStart w:id="0" w:name="_GoBack"/>
            <w:bookmarkEnd w:id="0"/>
          </w:p>
        </w:tc>
        <w:tc>
          <w:tcPr>
            <w:tcW w:w="2112" w:type="dxa"/>
          </w:tcPr>
          <w:p w:rsidR="00ED2CD4" w:rsidRDefault="00ED2CD4" w:rsidP="00ED2CD4">
            <w:pPr>
              <w:jc w:val="center"/>
              <w:rPr>
                <w:rFonts w:ascii="Verdana" w:hAnsi="Verdana"/>
                <w:sz w:val="22"/>
                <w:szCs w:val="22"/>
              </w:rPr>
            </w:pPr>
          </w:p>
        </w:tc>
      </w:tr>
    </w:tbl>
    <w:p w:rsidR="00ED2CD4" w:rsidRDefault="00ED2CD4" w:rsidP="00ED2CD4">
      <w:pPr>
        <w:jc w:val="center"/>
        <w:rPr>
          <w:rFonts w:ascii="Verdana" w:hAnsi="Verdana"/>
          <w:sz w:val="22"/>
          <w:szCs w:val="22"/>
        </w:rPr>
      </w:pPr>
    </w:p>
    <w:p w:rsidR="00474BDE" w:rsidRDefault="00474BDE" w:rsidP="00673F78">
      <w:pPr>
        <w:ind w:right="204"/>
        <w:jc w:val="both"/>
        <w:rPr>
          <w:rFonts w:ascii="Verdana" w:hAnsi="Verdana"/>
          <w:sz w:val="22"/>
          <w:szCs w:val="22"/>
        </w:rPr>
      </w:pPr>
    </w:p>
    <w:p w:rsidR="002948AF" w:rsidRDefault="002948AF" w:rsidP="00673F78">
      <w:pPr>
        <w:ind w:right="204"/>
        <w:jc w:val="both"/>
        <w:rPr>
          <w:rFonts w:ascii="Verdana" w:hAnsi="Verdana"/>
          <w:sz w:val="22"/>
          <w:szCs w:val="22"/>
        </w:rPr>
      </w:pPr>
    </w:p>
    <w:p w:rsidR="00673F78" w:rsidRDefault="003A7784" w:rsidP="00C0671F">
      <w:pPr>
        <w:spacing w:after="120"/>
        <w:ind w:left="720" w:right="204" w:hanging="720"/>
        <w:jc w:val="both"/>
        <w:rPr>
          <w:rFonts w:ascii="Verdana" w:hAnsi="Verdana"/>
          <w:sz w:val="22"/>
          <w:szCs w:val="22"/>
        </w:rPr>
      </w:pPr>
      <w:r>
        <w:rPr>
          <w:rFonts w:ascii="Verdana" w:hAnsi="Verdana"/>
          <w:sz w:val="22"/>
          <w:szCs w:val="22"/>
        </w:rPr>
        <w:t>1</w:t>
      </w:r>
      <w:r w:rsidR="00474BDE">
        <w:rPr>
          <w:rFonts w:ascii="Verdana" w:hAnsi="Verdana"/>
          <w:sz w:val="22"/>
          <w:szCs w:val="22"/>
        </w:rPr>
        <w:t>.</w:t>
      </w:r>
      <w:r>
        <w:rPr>
          <w:rFonts w:ascii="Verdana" w:hAnsi="Verdana"/>
          <w:sz w:val="22"/>
          <w:szCs w:val="22"/>
        </w:rPr>
        <w:tab/>
      </w:r>
      <w:r w:rsidR="00673F78">
        <w:rPr>
          <w:rFonts w:ascii="Verdana" w:hAnsi="Verdana"/>
          <w:sz w:val="22"/>
          <w:szCs w:val="22"/>
        </w:rPr>
        <w:t xml:space="preserve">In determining </w:t>
      </w:r>
      <w:r w:rsidR="00AD5CCE">
        <w:rPr>
          <w:rFonts w:ascii="Verdana" w:hAnsi="Verdana"/>
          <w:sz w:val="22"/>
          <w:szCs w:val="22"/>
        </w:rPr>
        <w:t xml:space="preserve">the </w:t>
      </w:r>
      <w:r w:rsidR="00673F78">
        <w:rPr>
          <w:rFonts w:ascii="Verdana" w:hAnsi="Verdana"/>
          <w:sz w:val="22"/>
          <w:szCs w:val="22"/>
        </w:rPr>
        <w:t xml:space="preserve">workers compensation premiums payable by Entities and Commonwealth </w:t>
      </w:r>
      <w:r w:rsidR="00AD5CCE">
        <w:rPr>
          <w:rFonts w:ascii="Verdana" w:hAnsi="Verdana"/>
          <w:sz w:val="22"/>
          <w:szCs w:val="22"/>
        </w:rPr>
        <w:t xml:space="preserve">authorities (‘Agencies’) under the SRC Act in </w:t>
      </w:r>
      <w:r w:rsidR="00474BDE">
        <w:rPr>
          <w:rFonts w:ascii="Verdana" w:hAnsi="Verdana"/>
          <w:sz w:val="22"/>
          <w:szCs w:val="22"/>
        </w:rPr>
        <w:t>respect</w:t>
      </w:r>
      <w:r w:rsidR="00AD5CCE">
        <w:rPr>
          <w:rFonts w:ascii="Verdana" w:hAnsi="Verdana"/>
          <w:sz w:val="22"/>
          <w:szCs w:val="22"/>
        </w:rPr>
        <w:t xml:space="preserve"> of a financial year, Comcare </w:t>
      </w:r>
      <w:r w:rsidR="00474BDE">
        <w:rPr>
          <w:rFonts w:ascii="Verdana" w:hAnsi="Verdana"/>
          <w:sz w:val="22"/>
          <w:szCs w:val="22"/>
        </w:rPr>
        <w:t>shall</w:t>
      </w:r>
      <w:r w:rsidR="00AD5CCE">
        <w:rPr>
          <w:rFonts w:ascii="Verdana" w:hAnsi="Verdana"/>
          <w:sz w:val="22"/>
          <w:szCs w:val="22"/>
        </w:rPr>
        <w:t>:</w:t>
      </w:r>
    </w:p>
    <w:p w:rsidR="00AD5CCE" w:rsidRDefault="00AD5CCE" w:rsidP="00C0671F">
      <w:pPr>
        <w:spacing w:after="120"/>
        <w:ind w:left="1440" w:right="204" w:hanging="720"/>
        <w:jc w:val="both"/>
        <w:rPr>
          <w:rFonts w:ascii="Verdana" w:hAnsi="Verdana"/>
          <w:sz w:val="22"/>
          <w:szCs w:val="22"/>
        </w:rPr>
      </w:pPr>
      <w:r>
        <w:rPr>
          <w:rFonts w:ascii="Verdana" w:hAnsi="Verdana"/>
          <w:sz w:val="22"/>
          <w:szCs w:val="22"/>
        </w:rPr>
        <w:t>(a)</w:t>
      </w:r>
      <w:r>
        <w:rPr>
          <w:rFonts w:ascii="Verdana" w:hAnsi="Verdana"/>
          <w:sz w:val="22"/>
          <w:szCs w:val="22"/>
        </w:rPr>
        <w:tab/>
      </w:r>
      <w:proofErr w:type="gramStart"/>
      <w:r>
        <w:rPr>
          <w:rFonts w:ascii="Verdana" w:hAnsi="Verdana"/>
          <w:sz w:val="22"/>
          <w:szCs w:val="22"/>
        </w:rPr>
        <w:t>comply</w:t>
      </w:r>
      <w:proofErr w:type="gramEnd"/>
      <w:r>
        <w:rPr>
          <w:rFonts w:ascii="Verdana" w:hAnsi="Verdana"/>
          <w:sz w:val="22"/>
          <w:szCs w:val="22"/>
        </w:rPr>
        <w:t xml:space="preserve"> with section 97A of the SRC Act and any relevant directions by the Minister under section 73 of the SRC Act; and</w:t>
      </w:r>
    </w:p>
    <w:p w:rsidR="00AD5CCE" w:rsidRDefault="00AD5CCE" w:rsidP="00C0671F">
      <w:pPr>
        <w:spacing w:after="120"/>
        <w:ind w:left="1440" w:right="204" w:hanging="720"/>
        <w:jc w:val="both"/>
        <w:rPr>
          <w:rFonts w:ascii="Verdana" w:hAnsi="Verdana"/>
          <w:sz w:val="22"/>
          <w:szCs w:val="22"/>
        </w:rPr>
      </w:pPr>
      <w:r>
        <w:rPr>
          <w:rFonts w:ascii="Verdana" w:hAnsi="Verdana"/>
          <w:sz w:val="22"/>
          <w:szCs w:val="22"/>
        </w:rPr>
        <w:t>(b)</w:t>
      </w:r>
      <w:r>
        <w:rPr>
          <w:rFonts w:ascii="Verdana" w:hAnsi="Verdana"/>
          <w:sz w:val="22"/>
          <w:szCs w:val="22"/>
        </w:rPr>
        <w:tab/>
      </w:r>
      <w:proofErr w:type="gramStart"/>
      <w:r>
        <w:rPr>
          <w:rFonts w:ascii="Verdana" w:hAnsi="Verdana"/>
          <w:sz w:val="22"/>
          <w:szCs w:val="22"/>
        </w:rPr>
        <w:t>save</w:t>
      </w:r>
      <w:proofErr w:type="gramEnd"/>
      <w:r>
        <w:rPr>
          <w:rFonts w:ascii="Verdana" w:hAnsi="Verdana"/>
          <w:sz w:val="22"/>
          <w:szCs w:val="22"/>
        </w:rPr>
        <w:t xml:space="preserve"> for any inconsistency with the matters referred to in paragraph (a), comply with the following guidelines –</w:t>
      </w:r>
    </w:p>
    <w:p w:rsidR="00AD5CCE" w:rsidRDefault="00AD5CCE" w:rsidP="00C0671F">
      <w:pPr>
        <w:spacing w:after="120"/>
        <w:ind w:left="2160" w:right="924" w:hanging="720"/>
        <w:jc w:val="both"/>
        <w:rPr>
          <w:rFonts w:ascii="Verdana" w:hAnsi="Verdana"/>
          <w:sz w:val="22"/>
          <w:szCs w:val="22"/>
        </w:rPr>
      </w:pPr>
      <w:proofErr w:type="spellStart"/>
      <w:r>
        <w:rPr>
          <w:rFonts w:ascii="Verdana" w:hAnsi="Verdana"/>
          <w:sz w:val="22"/>
          <w:szCs w:val="22"/>
        </w:rPr>
        <w:t>i</w:t>
      </w:r>
      <w:proofErr w:type="spellEnd"/>
      <w:r>
        <w:rPr>
          <w:rFonts w:ascii="Verdana" w:hAnsi="Verdana"/>
          <w:sz w:val="22"/>
          <w:szCs w:val="22"/>
        </w:rPr>
        <w:t>)</w:t>
      </w:r>
      <w:r>
        <w:rPr>
          <w:rFonts w:ascii="Verdana" w:hAnsi="Verdana"/>
          <w:sz w:val="22"/>
          <w:szCs w:val="22"/>
        </w:rPr>
        <w:tab/>
      </w:r>
      <w:r w:rsidR="003349E2">
        <w:rPr>
          <w:rFonts w:ascii="Verdana" w:hAnsi="Verdana"/>
          <w:sz w:val="22"/>
          <w:szCs w:val="22"/>
        </w:rPr>
        <w:t xml:space="preserve">The worker’s compensation scheme </w:t>
      </w:r>
      <w:r w:rsidR="00A73AB2">
        <w:rPr>
          <w:rFonts w:ascii="Verdana" w:hAnsi="Verdana"/>
          <w:sz w:val="22"/>
          <w:szCs w:val="22"/>
        </w:rPr>
        <w:t xml:space="preserve">under the </w:t>
      </w:r>
      <w:r w:rsidR="00A73AB2" w:rsidRPr="00A73AB2">
        <w:rPr>
          <w:rFonts w:ascii="Verdana" w:hAnsi="Verdana"/>
          <w:i/>
          <w:sz w:val="22"/>
          <w:szCs w:val="22"/>
        </w:rPr>
        <w:t>Safety, Rehabilitation and Compensation Act 1988</w:t>
      </w:r>
      <w:r w:rsidR="00A73AB2">
        <w:rPr>
          <w:rFonts w:ascii="Verdana" w:hAnsi="Verdana"/>
          <w:sz w:val="22"/>
          <w:szCs w:val="22"/>
        </w:rPr>
        <w:t xml:space="preserve"> </w:t>
      </w:r>
      <w:r w:rsidR="003349E2">
        <w:rPr>
          <w:rFonts w:ascii="Verdana" w:hAnsi="Verdana"/>
          <w:sz w:val="22"/>
          <w:szCs w:val="22"/>
        </w:rPr>
        <w:t>is to be fully funded on a year-by-year basis.</w:t>
      </w:r>
    </w:p>
    <w:p w:rsidR="00AD5CCE" w:rsidRDefault="00AD5CCE" w:rsidP="00C0671F">
      <w:pPr>
        <w:spacing w:after="120"/>
        <w:ind w:left="2160" w:right="924" w:hanging="720"/>
        <w:jc w:val="both"/>
        <w:rPr>
          <w:rFonts w:ascii="Verdana" w:hAnsi="Verdana"/>
          <w:sz w:val="22"/>
          <w:szCs w:val="22"/>
        </w:rPr>
      </w:pPr>
      <w:r>
        <w:rPr>
          <w:rFonts w:ascii="Verdana" w:hAnsi="Verdana"/>
          <w:sz w:val="22"/>
          <w:szCs w:val="22"/>
        </w:rPr>
        <w:t>ii)</w:t>
      </w:r>
      <w:r>
        <w:rPr>
          <w:rFonts w:ascii="Verdana" w:hAnsi="Verdana"/>
          <w:sz w:val="22"/>
          <w:szCs w:val="22"/>
        </w:rPr>
        <w:tab/>
      </w:r>
      <w:r w:rsidR="003349E2">
        <w:rPr>
          <w:rFonts w:ascii="Verdana" w:hAnsi="Verdana"/>
          <w:sz w:val="22"/>
          <w:szCs w:val="22"/>
        </w:rPr>
        <w:t>Premium rates should respond to claim performance while avoiding excessive fluctuations on a year-by-year basis</w:t>
      </w:r>
      <w:r>
        <w:rPr>
          <w:rFonts w:ascii="Verdana" w:hAnsi="Verdana"/>
          <w:sz w:val="22"/>
          <w:szCs w:val="22"/>
        </w:rPr>
        <w:t>.</w:t>
      </w:r>
    </w:p>
    <w:p w:rsidR="003A7784" w:rsidRDefault="00AD5CCE" w:rsidP="00C0671F">
      <w:pPr>
        <w:spacing w:after="120"/>
        <w:ind w:left="2160" w:right="924" w:hanging="720"/>
        <w:jc w:val="both"/>
        <w:rPr>
          <w:rFonts w:ascii="Verdana" w:hAnsi="Verdana"/>
          <w:sz w:val="22"/>
          <w:szCs w:val="22"/>
        </w:rPr>
      </w:pPr>
      <w:r>
        <w:rPr>
          <w:rFonts w:ascii="Verdana" w:hAnsi="Verdana"/>
          <w:sz w:val="22"/>
          <w:szCs w:val="22"/>
        </w:rPr>
        <w:t>iii)</w:t>
      </w:r>
      <w:r>
        <w:rPr>
          <w:rFonts w:ascii="Verdana" w:hAnsi="Verdana"/>
          <w:sz w:val="22"/>
          <w:szCs w:val="22"/>
        </w:rPr>
        <w:tab/>
        <w:t xml:space="preserve">Significant long-term cross-subsidisation </w:t>
      </w:r>
      <w:r w:rsidR="00923331">
        <w:rPr>
          <w:rFonts w:ascii="Verdana" w:hAnsi="Verdana"/>
          <w:sz w:val="22"/>
          <w:szCs w:val="22"/>
        </w:rPr>
        <w:t xml:space="preserve">between </w:t>
      </w:r>
      <w:r>
        <w:rPr>
          <w:rFonts w:ascii="Verdana" w:hAnsi="Verdana"/>
          <w:sz w:val="22"/>
          <w:szCs w:val="22"/>
        </w:rPr>
        <w:t>Agencies should be avoided.</w:t>
      </w:r>
    </w:p>
    <w:p w:rsidR="00A73AB2" w:rsidRDefault="003A7784" w:rsidP="00C0671F">
      <w:pPr>
        <w:spacing w:after="120"/>
        <w:ind w:left="2160" w:right="924" w:hanging="720"/>
        <w:jc w:val="both"/>
        <w:rPr>
          <w:rFonts w:ascii="Verdana" w:hAnsi="Verdana"/>
          <w:sz w:val="22"/>
          <w:szCs w:val="22"/>
        </w:rPr>
      </w:pPr>
      <w:proofErr w:type="gramStart"/>
      <w:r>
        <w:rPr>
          <w:rFonts w:ascii="Verdana" w:hAnsi="Verdana"/>
          <w:sz w:val="22"/>
          <w:szCs w:val="22"/>
        </w:rPr>
        <w:lastRenderedPageBreak/>
        <w:t>iv)</w:t>
      </w:r>
      <w:r>
        <w:rPr>
          <w:rFonts w:ascii="Verdana" w:hAnsi="Verdana"/>
          <w:sz w:val="22"/>
          <w:szCs w:val="22"/>
        </w:rPr>
        <w:tab/>
      </w:r>
      <w:r w:rsidR="00A73AB2">
        <w:rPr>
          <w:rFonts w:ascii="Verdana" w:hAnsi="Verdana"/>
          <w:sz w:val="22"/>
          <w:szCs w:val="22"/>
        </w:rPr>
        <w:t>Methodology</w:t>
      </w:r>
      <w:proofErr w:type="gramEnd"/>
      <w:r w:rsidR="00A73AB2">
        <w:rPr>
          <w:rFonts w:ascii="Verdana" w:hAnsi="Verdana"/>
          <w:sz w:val="22"/>
          <w:szCs w:val="22"/>
        </w:rPr>
        <w:t xml:space="preserve"> for calculation of premiums in one year should be used to calculate penalty and bonus amounts in the following year (regardless of whether the methodology has been varied in the interim).</w:t>
      </w:r>
    </w:p>
    <w:p w:rsidR="00AD5CCE" w:rsidRDefault="00A73AB2" w:rsidP="00A73AB2">
      <w:pPr>
        <w:spacing w:after="120"/>
        <w:ind w:left="2160" w:right="924" w:hanging="720"/>
        <w:jc w:val="both"/>
        <w:rPr>
          <w:rFonts w:ascii="Verdana" w:hAnsi="Verdana"/>
          <w:sz w:val="22"/>
          <w:szCs w:val="22"/>
        </w:rPr>
      </w:pPr>
      <w:r>
        <w:rPr>
          <w:rFonts w:ascii="Verdana" w:hAnsi="Verdana"/>
          <w:sz w:val="22"/>
          <w:szCs w:val="22"/>
        </w:rPr>
        <w:t>v)</w:t>
      </w:r>
      <w:r>
        <w:rPr>
          <w:rFonts w:ascii="Verdana" w:hAnsi="Verdana"/>
          <w:sz w:val="22"/>
          <w:szCs w:val="22"/>
        </w:rPr>
        <w:tab/>
      </w:r>
      <w:r w:rsidR="003349E2">
        <w:rPr>
          <w:rFonts w:ascii="Verdana" w:hAnsi="Verdana"/>
          <w:sz w:val="22"/>
          <w:szCs w:val="22"/>
        </w:rPr>
        <w:t>Impact of claim performance and other variable costs on premiums must be transparent and explained to Agencies</w:t>
      </w:r>
      <w:r w:rsidR="008B40E3">
        <w:rPr>
          <w:rFonts w:ascii="Verdana" w:hAnsi="Verdana"/>
          <w:sz w:val="22"/>
          <w:szCs w:val="22"/>
        </w:rPr>
        <w:t>.</w:t>
      </w:r>
    </w:p>
    <w:p w:rsidR="003A7784" w:rsidRDefault="003A7784" w:rsidP="00C0671F">
      <w:pPr>
        <w:spacing w:after="120"/>
        <w:ind w:left="2160" w:right="924" w:hanging="720"/>
        <w:jc w:val="both"/>
        <w:rPr>
          <w:rFonts w:ascii="Verdana" w:hAnsi="Verdana"/>
          <w:sz w:val="22"/>
          <w:szCs w:val="22"/>
        </w:rPr>
      </w:pPr>
      <w:proofErr w:type="gramStart"/>
      <w:r>
        <w:rPr>
          <w:rFonts w:ascii="Verdana" w:hAnsi="Verdana"/>
          <w:sz w:val="22"/>
          <w:szCs w:val="22"/>
        </w:rPr>
        <w:t>v</w:t>
      </w:r>
      <w:r w:rsidR="00A73AB2">
        <w:rPr>
          <w:rFonts w:ascii="Verdana" w:hAnsi="Verdana"/>
          <w:sz w:val="22"/>
          <w:szCs w:val="22"/>
        </w:rPr>
        <w:t>i</w:t>
      </w:r>
      <w:r>
        <w:rPr>
          <w:rFonts w:ascii="Verdana" w:hAnsi="Verdana"/>
          <w:sz w:val="22"/>
          <w:szCs w:val="22"/>
        </w:rPr>
        <w:t>)</w:t>
      </w:r>
      <w:r>
        <w:rPr>
          <w:rFonts w:ascii="Verdana" w:hAnsi="Verdana"/>
          <w:sz w:val="22"/>
          <w:szCs w:val="22"/>
        </w:rPr>
        <w:tab/>
      </w:r>
      <w:r w:rsidR="003349E2">
        <w:rPr>
          <w:rFonts w:ascii="Verdana" w:hAnsi="Verdana"/>
          <w:sz w:val="22"/>
          <w:szCs w:val="22"/>
        </w:rPr>
        <w:t>Indicative</w:t>
      </w:r>
      <w:proofErr w:type="gramEnd"/>
      <w:r w:rsidR="003349E2">
        <w:rPr>
          <w:rFonts w:ascii="Verdana" w:hAnsi="Verdana"/>
          <w:sz w:val="22"/>
          <w:szCs w:val="22"/>
        </w:rPr>
        <w:t xml:space="preserve"> rates for premiums should be advised to </w:t>
      </w:r>
      <w:r w:rsidR="00465F1B">
        <w:rPr>
          <w:rFonts w:ascii="Verdana" w:hAnsi="Verdana"/>
          <w:sz w:val="22"/>
          <w:szCs w:val="22"/>
        </w:rPr>
        <w:t>A</w:t>
      </w:r>
      <w:r w:rsidR="003349E2">
        <w:rPr>
          <w:rFonts w:ascii="Verdana" w:hAnsi="Verdana"/>
          <w:sz w:val="22"/>
          <w:szCs w:val="22"/>
        </w:rPr>
        <w:t xml:space="preserve">gencies in time for consideration in the </w:t>
      </w:r>
      <w:r w:rsidR="008B40E3">
        <w:rPr>
          <w:rFonts w:ascii="Verdana" w:hAnsi="Verdana"/>
          <w:sz w:val="22"/>
          <w:szCs w:val="22"/>
        </w:rPr>
        <w:t>context</w:t>
      </w:r>
      <w:r w:rsidR="003349E2">
        <w:rPr>
          <w:rFonts w:ascii="Verdana" w:hAnsi="Verdana"/>
          <w:sz w:val="22"/>
          <w:szCs w:val="22"/>
        </w:rPr>
        <w:t xml:space="preserve"> of Agencies’ budgets for the following financial year.</w:t>
      </w:r>
    </w:p>
    <w:p w:rsidR="003A7784" w:rsidRDefault="003A7784" w:rsidP="00C0671F">
      <w:pPr>
        <w:spacing w:after="120"/>
        <w:ind w:left="2160" w:right="924" w:hanging="720"/>
        <w:jc w:val="both"/>
        <w:rPr>
          <w:rFonts w:ascii="Verdana" w:hAnsi="Verdana"/>
          <w:color w:val="000000"/>
          <w:sz w:val="22"/>
          <w:szCs w:val="22"/>
        </w:rPr>
      </w:pPr>
      <w:r w:rsidRPr="002176F6">
        <w:rPr>
          <w:rFonts w:ascii="Verdana" w:hAnsi="Verdana"/>
          <w:color w:val="000000"/>
          <w:sz w:val="22"/>
          <w:szCs w:val="22"/>
        </w:rPr>
        <w:t>vi</w:t>
      </w:r>
      <w:r w:rsidR="00A73AB2">
        <w:rPr>
          <w:rFonts w:ascii="Verdana" w:hAnsi="Verdana"/>
          <w:color w:val="000000"/>
          <w:sz w:val="22"/>
          <w:szCs w:val="22"/>
        </w:rPr>
        <w:t>i</w:t>
      </w:r>
      <w:r w:rsidRPr="002176F6">
        <w:rPr>
          <w:rFonts w:ascii="Verdana" w:hAnsi="Verdana"/>
          <w:color w:val="000000"/>
          <w:sz w:val="22"/>
          <w:szCs w:val="22"/>
        </w:rPr>
        <w:t>)</w:t>
      </w:r>
      <w:r w:rsidRPr="002176F6">
        <w:rPr>
          <w:rFonts w:ascii="Verdana" w:hAnsi="Verdana"/>
          <w:color w:val="000000"/>
          <w:sz w:val="22"/>
          <w:szCs w:val="22"/>
        </w:rPr>
        <w:tab/>
      </w:r>
      <w:r w:rsidR="00391480">
        <w:rPr>
          <w:rFonts w:ascii="Verdana" w:hAnsi="Verdana"/>
          <w:color w:val="000000"/>
          <w:sz w:val="22"/>
          <w:szCs w:val="22"/>
        </w:rPr>
        <w:t>A</w:t>
      </w:r>
      <w:r w:rsidRPr="002176F6">
        <w:rPr>
          <w:rFonts w:ascii="Verdana" w:hAnsi="Verdana"/>
          <w:color w:val="000000"/>
          <w:sz w:val="22"/>
          <w:szCs w:val="22"/>
        </w:rPr>
        <w:t xml:space="preserve">djustments due to correction of data </w:t>
      </w:r>
      <w:r w:rsidR="003349E2">
        <w:rPr>
          <w:rFonts w:ascii="Verdana" w:hAnsi="Verdana"/>
          <w:color w:val="000000"/>
          <w:sz w:val="22"/>
          <w:szCs w:val="22"/>
        </w:rPr>
        <w:t>should only be made if identified before finalisation of the charge to which they relate.</w:t>
      </w:r>
    </w:p>
    <w:p w:rsidR="003349E2" w:rsidRDefault="00640C80" w:rsidP="00C0671F">
      <w:pPr>
        <w:spacing w:after="120"/>
        <w:ind w:left="2160" w:right="924" w:hanging="720"/>
        <w:jc w:val="both"/>
        <w:rPr>
          <w:rFonts w:ascii="Verdana" w:hAnsi="Verdana"/>
          <w:color w:val="000000"/>
          <w:sz w:val="22"/>
          <w:szCs w:val="22"/>
        </w:rPr>
      </w:pPr>
      <w:r>
        <w:rPr>
          <w:rFonts w:ascii="Verdana" w:hAnsi="Verdana"/>
          <w:color w:val="000000"/>
          <w:sz w:val="22"/>
          <w:szCs w:val="22"/>
        </w:rPr>
        <w:t>viii</w:t>
      </w:r>
      <w:r w:rsidR="003349E2">
        <w:rPr>
          <w:rFonts w:ascii="Verdana" w:hAnsi="Verdana"/>
          <w:color w:val="000000"/>
          <w:sz w:val="22"/>
          <w:szCs w:val="22"/>
        </w:rPr>
        <w:t>)</w:t>
      </w:r>
      <w:r w:rsidR="003349E2">
        <w:rPr>
          <w:rFonts w:ascii="Verdana" w:hAnsi="Verdana"/>
          <w:color w:val="000000"/>
          <w:sz w:val="22"/>
          <w:szCs w:val="22"/>
        </w:rPr>
        <w:tab/>
        <w:t>Significant changes to premiums methodology will be explained to Agencies</w:t>
      </w:r>
    </w:p>
    <w:p w:rsidR="003349E2" w:rsidRDefault="00640C80" w:rsidP="00C0671F">
      <w:pPr>
        <w:spacing w:after="120"/>
        <w:ind w:left="2160" w:right="924" w:hanging="720"/>
        <w:jc w:val="both"/>
        <w:rPr>
          <w:rFonts w:ascii="Verdana" w:hAnsi="Verdana"/>
          <w:color w:val="000000"/>
          <w:sz w:val="22"/>
          <w:szCs w:val="22"/>
        </w:rPr>
      </w:pPr>
      <w:r>
        <w:rPr>
          <w:rFonts w:ascii="Verdana" w:hAnsi="Verdana"/>
          <w:color w:val="000000"/>
          <w:sz w:val="22"/>
          <w:szCs w:val="22"/>
        </w:rPr>
        <w:t>i</w:t>
      </w:r>
      <w:r w:rsidR="003349E2">
        <w:rPr>
          <w:rFonts w:ascii="Verdana" w:hAnsi="Verdana"/>
          <w:color w:val="000000"/>
          <w:sz w:val="22"/>
          <w:szCs w:val="22"/>
        </w:rPr>
        <w:t>x)</w:t>
      </w:r>
      <w:r w:rsidR="003349E2">
        <w:rPr>
          <w:rFonts w:ascii="Verdana" w:hAnsi="Verdana"/>
          <w:color w:val="000000"/>
          <w:sz w:val="22"/>
          <w:szCs w:val="22"/>
        </w:rPr>
        <w:tab/>
        <w:t xml:space="preserve">Comcare will seek to avoid inequitable “rate shock”, as </w:t>
      </w:r>
      <w:r w:rsidR="008B40E3">
        <w:rPr>
          <w:rFonts w:ascii="Verdana" w:hAnsi="Verdana"/>
          <w:color w:val="000000"/>
          <w:sz w:val="22"/>
          <w:szCs w:val="22"/>
        </w:rPr>
        <w:t xml:space="preserve">far as practicable, in the movement of premium rates for </w:t>
      </w:r>
      <w:r w:rsidR="00465F1B">
        <w:rPr>
          <w:rFonts w:ascii="Verdana" w:hAnsi="Verdana"/>
          <w:color w:val="000000"/>
          <w:sz w:val="22"/>
          <w:szCs w:val="22"/>
        </w:rPr>
        <w:t>a</w:t>
      </w:r>
      <w:r w:rsidR="008472E6">
        <w:rPr>
          <w:rFonts w:ascii="Verdana" w:hAnsi="Verdana"/>
          <w:color w:val="000000"/>
          <w:sz w:val="22"/>
          <w:szCs w:val="22"/>
        </w:rPr>
        <w:t xml:space="preserve"> customer </w:t>
      </w:r>
      <w:r w:rsidR="008B40E3">
        <w:rPr>
          <w:rFonts w:ascii="Verdana" w:hAnsi="Verdana"/>
          <w:color w:val="000000"/>
          <w:sz w:val="22"/>
          <w:szCs w:val="22"/>
        </w:rPr>
        <w:t>between consecutive years.</w:t>
      </w:r>
    </w:p>
    <w:p w:rsidR="002176F6" w:rsidRPr="002176F6" w:rsidRDefault="008B40E3" w:rsidP="00EB41B6">
      <w:pPr>
        <w:spacing w:after="120"/>
        <w:ind w:left="2160" w:right="924" w:hanging="720"/>
        <w:jc w:val="both"/>
        <w:rPr>
          <w:rFonts w:ascii="Verdana" w:hAnsi="Verdana"/>
          <w:b/>
          <w:color w:val="808080"/>
          <w:sz w:val="16"/>
          <w:szCs w:val="16"/>
        </w:rPr>
      </w:pPr>
      <w:r>
        <w:rPr>
          <w:rFonts w:ascii="Verdana" w:hAnsi="Verdana"/>
          <w:color w:val="000000"/>
          <w:sz w:val="22"/>
          <w:szCs w:val="22"/>
        </w:rPr>
        <w:t>x)</w:t>
      </w:r>
      <w:r>
        <w:rPr>
          <w:rFonts w:ascii="Verdana" w:hAnsi="Verdana"/>
          <w:color w:val="000000"/>
          <w:sz w:val="22"/>
          <w:szCs w:val="22"/>
        </w:rPr>
        <w:tab/>
        <w:t xml:space="preserve">Comcare will report to the </w:t>
      </w:r>
      <w:r w:rsidR="00465F1B">
        <w:rPr>
          <w:rFonts w:ascii="Verdana" w:hAnsi="Verdana"/>
          <w:color w:val="000000"/>
          <w:sz w:val="22"/>
          <w:szCs w:val="22"/>
        </w:rPr>
        <w:t>C</w:t>
      </w:r>
      <w:r>
        <w:rPr>
          <w:rFonts w:ascii="Verdana" w:hAnsi="Verdana"/>
          <w:color w:val="000000"/>
          <w:sz w:val="22"/>
          <w:szCs w:val="22"/>
        </w:rPr>
        <w:t xml:space="preserve">ommission each year on the performance of the system for determining and collecting premiums and seek the </w:t>
      </w:r>
      <w:r w:rsidR="00465F1B">
        <w:rPr>
          <w:rFonts w:ascii="Verdana" w:hAnsi="Verdana"/>
          <w:color w:val="000000"/>
          <w:sz w:val="22"/>
          <w:szCs w:val="22"/>
        </w:rPr>
        <w:t>C</w:t>
      </w:r>
      <w:r>
        <w:rPr>
          <w:rFonts w:ascii="Verdana" w:hAnsi="Verdana"/>
          <w:color w:val="000000"/>
          <w:sz w:val="22"/>
          <w:szCs w:val="22"/>
        </w:rPr>
        <w:t xml:space="preserve">ommission’s endorsement of changes to the premiums model. </w:t>
      </w:r>
    </w:p>
    <w:p w:rsidR="002948AF" w:rsidRDefault="002176F6" w:rsidP="00474BDE">
      <w:pPr>
        <w:ind w:left="1440" w:right="924" w:hanging="720"/>
        <w:jc w:val="both"/>
        <w:rPr>
          <w:b/>
          <w:color w:val="808080"/>
          <w:sz w:val="18"/>
          <w:szCs w:val="18"/>
        </w:rPr>
      </w:pPr>
      <w:r>
        <w:rPr>
          <w:b/>
          <w:color w:val="808080"/>
          <w:sz w:val="18"/>
          <w:szCs w:val="18"/>
        </w:rPr>
        <w:t>NOTE</w:t>
      </w:r>
      <w:r w:rsidR="002948AF">
        <w:rPr>
          <w:b/>
          <w:color w:val="808080"/>
          <w:sz w:val="18"/>
          <w:szCs w:val="18"/>
        </w:rPr>
        <w:t>S:</w:t>
      </w:r>
    </w:p>
    <w:p w:rsidR="00A9648E" w:rsidRDefault="002948AF" w:rsidP="00F94144">
      <w:pPr>
        <w:ind w:left="1440" w:right="204" w:hanging="720"/>
        <w:jc w:val="both"/>
        <w:rPr>
          <w:b/>
          <w:color w:val="808080"/>
          <w:sz w:val="18"/>
          <w:szCs w:val="18"/>
        </w:rPr>
      </w:pPr>
      <w:r>
        <w:rPr>
          <w:b/>
          <w:color w:val="808080"/>
          <w:sz w:val="18"/>
          <w:szCs w:val="18"/>
        </w:rPr>
        <w:t>1.</w:t>
      </w:r>
      <w:r w:rsidR="002176F6">
        <w:rPr>
          <w:b/>
          <w:color w:val="808080"/>
          <w:sz w:val="18"/>
          <w:szCs w:val="18"/>
        </w:rPr>
        <w:tab/>
      </w:r>
      <w:r>
        <w:rPr>
          <w:b/>
          <w:color w:val="808080"/>
          <w:sz w:val="18"/>
          <w:szCs w:val="18"/>
        </w:rPr>
        <w:t xml:space="preserve">‘Entity’ and ‘Commonwealth authority’ are defined by section 4 of the SRC Act and, by reason of a declaration made under section 4A of the SRC Act the </w:t>
      </w:r>
      <w:smartTag w:uri="urn:schemas-microsoft-com:office:smarttags" w:element="State">
        <w:smartTag w:uri="urn:schemas-microsoft-com:office:smarttags" w:element="place">
          <w:r>
            <w:rPr>
              <w:b/>
              <w:color w:val="808080"/>
              <w:sz w:val="18"/>
              <w:szCs w:val="18"/>
            </w:rPr>
            <w:t>Australian Capital Territory</w:t>
          </w:r>
        </w:smartTag>
      </w:smartTag>
      <w:r>
        <w:rPr>
          <w:b/>
          <w:color w:val="808080"/>
          <w:sz w:val="18"/>
          <w:szCs w:val="18"/>
        </w:rPr>
        <w:t xml:space="preserve"> is a Commonwealth authority</w:t>
      </w:r>
      <w:r w:rsidR="00A9648E">
        <w:rPr>
          <w:b/>
          <w:color w:val="808080"/>
          <w:sz w:val="18"/>
          <w:szCs w:val="18"/>
        </w:rPr>
        <w:t>.</w:t>
      </w:r>
    </w:p>
    <w:p w:rsidR="00A9648E" w:rsidRDefault="00A9648E" w:rsidP="00F94144">
      <w:pPr>
        <w:ind w:left="1440" w:right="204" w:hanging="720"/>
        <w:jc w:val="both"/>
        <w:rPr>
          <w:b/>
          <w:color w:val="808080"/>
          <w:sz w:val="18"/>
          <w:szCs w:val="18"/>
        </w:rPr>
      </w:pPr>
      <w:r>
        <w:rPr>
          <w:b/>
          <w:color w:val="808080"/>
          <w:sz w:val="18"/>
          <w:szCs w:val="18"/>
        </w:rPr>
        <w:t>2.</w:t>
      </w:r>
      <w:r>
        <w:rPr>
          <w:b/>
          <w:color w:val="808080"/>
          <w:sz w:val="18"/>
          <w:szCs w:val="18"/>
        </w:rPr>
        <w:tab/>
        <w:t xml:space="preserve">Premiums fund Comcare’s lifetime claim liabilities and claim management expenses in respect of injuries suffered by employees of Agencies during the financial year the premium relates to. </w:t>
      </w:r>
    </w:p>
    <w:p w:rsidR="00F94144" w:rsidRDefault="00A9648E" w:rsidP="00F94144">
      <w:pPr>
        <w:ind w:left="1440" w:right="204" w:hanging="720"/>
        <w:jc w:val="both"/>
        <w:rPr>
          <w:b/>
          <w:color w:val="808080"/>
          <w:sz w:val="18"/>
          <w:szCs w:val="18"/>
        </w:rPr>
      </w:pPr>
      <w:r>
        <w:rPr>
          <w:b/>
          <w:color w:val="808080"/>
          <w:sz w:val="18"/>
          <w:szCs w:val="18"/>
        </w:rPr>
        <w:t>3</w:t>
      </w:r>
      <w:r w:rsidR="00F94144">
        <w:rPr>
          <w:b/>
          <w:color w:val="808080"/>
          <w:sz w:val="18"/>
          <w:szCs w:val="18"/>
        </w:rPr>
        <w:t>.</w:t>
      </w:r>
      <w:r w:rsidR="00F94144">
        <w:rPr>
          <w:b/>
          <w:color w:val="808080"/>
          <w:sz w:val="18"/>
          <w:szCs w:val="18"/>
        </w:rPr>
        <w:tab/>
        <w:t>Section:</w:t>
      </w:r>
    </w:p>
    <w:p w:rsidR="00F94144" w:rsidRDefault="00F94144" w:rsidP="00CC4C4F">
      <w:pPr>
        <w:ind w:left="2160" w:right="924" w:hanging="720"/>
        <w:jc w:val="both"/>
        <w:rPr>
          <w:b/>
          <w:color w:val="808080"/>
          <w:sz w:val="18"/>
          <w:szCs w:val="18"/>
        </w:rPr>
      </w:pPr>
      <w:r>
        <w:rPr>
          <w:b/>
          <w:color w:val="808080"/>
          <w:sz w:val="18"/>
          <w:szCs w:val="18"/>
        </w:rPr>
        <w:t>(a)</w:t>
      </w:r>
      <w:r>
        <w:rPr>
          <w:b/>
          <w:color w:val="808080"/>
          <w:sz w:val="18"/>
          <w:szCs w:val="18"/>
        </w:rPr>
        <w:tab/>
        <w:t>97J of the SRC Act provides for the review by Comcare, at the request of an Agency, of a premium determination under section 97 of the SRC Act;</w:t>
      </w:r>
    </w:p>
    <w:p w:rsidR="00F94144" w:rsidRDefault="00F94144" w:rsidP="00CC4C4F">
      <w:pPr>
        <w:ind w:left="2160" w:right="924" w:hanging="720"/>
        <w:jc w:val="both"/>
        <w:rPr>
          <w:b/>
          <w:color w:val="808080"/>
          <w:sz w:val="18"/>
          <w:szCs w:val="18"/>
        </w:rPr>
      </w:pPr>
      <w:r>
        <w:rPr>
          <w:b/>
          <w:color w:val="808080"/>
          <w:sz w:val="18"/>
          <w:szCs w:val="18"/>
        </w:rPr>
        <w:t>(b)</w:t>
      </w:r>
      <w:r>
        <w:rPr>
          <w:b/>
          <w:color w:val="808080"/>
          <w:sz w:val="18"/>
          <w:szCs w:val="18"/>
        </w:rPr>
        <w:tab/>
        <w:t>97K of the SRC Act provides for the further review by the Commission, at the request of an Agency, of a premium determination under section 97 of the SRC Act that has been reviewed by Comcare under section 97J of the SRC Act; and</w:t>
      </w:r>
    </w:p>
    <w:p w:rsidR="00F94144" w:rsidRDefault="00F94144" w:rsidP="00CC4C4F">
      <w:pPr>
        <w:ind w:left="2160" w:right="924" w:hanging="720"/>
        <w:jc w:val="both"/>
        <w:rPr>
          <w:b/>
          <w:color w:val="808080"/>
          <w:sz w:val="18"/>
          <w:szCs w:val="18"/>
        </w:rPr>
      </w:pPr>
      <w:r>
        <w:rPr>
          <w:b/>
          <w:color w:val="808080"/>
          <w:sz w:val="18"/>
          <w:szCs w:val="18"/>
        </w:rPr>
        <w:t>(c)</w:t>
      </w:r>
      <w:r>
        <w:rPr>
          <w:b/>
          <w:color w:val="808080"/>
          <w:sz w:val="18"/>
          <w:szCs w:val="18"/>
        </w:rPr>
        <w:tab/>
        <w:t>97M of the SRC Act provides for the variation by Comcare, in certain specified circumstances, of a premium determination.</w:t>
      </w:r>
    </w:p>
    <w:p w:rsidR="002948AF" w:rsidRDefault="00A9648E" w:rsidP="00F94144">
      <w:pPr>
        <w:ind w:left="1440" w:right="204" w:hanging="720"/>
        <w:jc w:val="both"/>
        <w:rPr>
          <w:b/>
          <w:color w:val="808080"/>
          <w:sz w:val="18"/>
          <w:szCs w:val="18"/>
        </w:rPr>
      </w:pPr>
      <w:r>
        <w:rPr>
          <w:b/>
          <w:color w:val="808080"/>
          <w:sz w:val="18"/>
          <w:szCs w:val="18"/>
        </w:rPr>
        <w:t>4</w:t>
      </w:r>
      <w:r w:rsidR="002948AF">
        <w:rPr>
          <w:b/>
          <w:color w:val="808080"/>
          <w:sz w:val="18"/>
          <w:szCs w:val="18"/>
        </w:rPr>
        <w:t>.</w:t>
      </w:r>
      <w:r w:rsidR="002948AF">
        <w:rPr>
          <w:b/>
          <w:color w:val="808080"/>
          <w:sz w:val="18"/>
          <w:szCs w:val="18"/>
        </w:rPr>
        <w:tab/>
      </w:r>
      <w:proofErr w:type="gramStart"/>
      <w:r w:rsidR="002948AF">
        <w:rPr>
          <w:b/>
          <w:color w:val="808080"/>
          <w:sz w:val="18"/>
          <w:szCs w:val="18"/>
        </w:rPr>
        <w:t>When :</w:t>
      </w:r>
      <w:proofErr w:type="gramEnd"/>
    </w:p>
    <w:p w:rsidR="002948AF" w:rsidRDefault="002948AF" w:rsidP="00CC4C4F">
      <w:pPr>
        <w:ind w:left="2160" w:right="924" w:hanging="720"/>
        <w:jc w:val="both"/>
        <w:rPr>
          <w:b/>
          <w:color w:val="808080"/>
          <w:sz w:val="18"/>
          <w:szCs w:val="18"/>
        </w:rPr>
      </w:pPr>
      <w:r>
        <w:rPr>
          <w:b/>
          <w:color w:val="808080"/>
          <w:sz w:val="18"/>
          <w:szCs w:val="18"/>
        </w:rPr>
        <w:t>(a)</w:t>
      </w:r>
      <w:r>
        <w:rPr>
          <w:b/>
          <w:color w:val="808080"/>
          <w:sz w:val="18"/>
          <w:szCs w:val="18"/>
        </w:rPr>
        <w:tab/>
        <w:t>reviewing a premium determination under section 97J of the SRC Act or varying a premium determination under section 97M of the SRC Act</w:t>
      </w:r>
      <w:r w:rsidR="00F94144">
        <w:rPr>
          <w:b/>
          <w:color w:val="808080"/>
          <w:sz w:val="18"/>
          <w:szCs w:val="18"/>
        </w:rPr>
        <w:t>,</w:t>
      </w:r>
      <w:r>
        <w:rPr>
          <w:b/>
          <w:color w:val="808080"/>
          <w:sz w:val="18"/>
          <w:szCs w:val="18"/>
        </w:rPr>
        <w:t xml:space="preserve"> Comcare will need to consider whether the premium determination being reviewed or as varied complies with section 97A of the SRC Act and these guidelines</w:t>
      </w:r>
      <w:r w:rsidR="00F94144">
        <w:rPr>
          <w:b/>
          <w:color w:val="808080"/>
          <w:sz w:val="18"/>
          <w:szCs w:val="18"/>
        </w:rPr>
        <w:t>; and</w:t>
      </w:r>
    </w:p>
    <w:p w:rsidR="00F94144" w:rsidRPr="002176F6" w:rsidRDefault="00F94144" w:rsidP="00CC4C4F">
      <w:pPr>
        <w:ind w:left="2160" w:right="924" w:hanging="720"/>
        <w:jc w:val="both"/>
        <w:rPr>
          <w:b/>
          <w:color w:val="808080"/>
          <w:sz w:val="18"/>
          <w:szCs w:val="18"/>
        </w:rPr>
      </w:pPr>
      <w:r>
        <w:rPr>
          <w:b/>
          <w:color w:val="808080"/>
          <w:sz w:val="18"/>
          <w:szCs w:val="18"/>
        </w:rPr>
        <w:t>(b)</w:t>
      </w:r>
      <w:r>
        <w:rPr>
          <w:b/>
          <w:color w:val="808080"/>
          <w:sz w:val="18"/>
          <w:szCs w:val="18"/>
        </w:rPr>
        <w:tab/>
      </w:r>
      <w:proofErr w:type="gramStart"/>
      <w:r>
        <w:rPr>
          <w:b/>
          <w:color w:val="808080"/>
          <w:sz w:val="18"/>
          <w:szCs w:val="18"/>
        </w:rPr>
        <w:t>reviewing</w:t>
      </w:r>
      <w:proofErr w:type="gramEnd"/>
      <w:r>
        <w:rPr>
          <w:b/>
          <w:color w:val="808080"/>
          <w:sz w:val="18"/>
          <w:szCs w:val="18"/>
        </w:rPr>
        <w:t xml:space="preserve"> a premium determination under section 97K of the SRC Act, the Commission will need to consider whether the premium determination being reviewed complies with section 97A of the SRC Act and these guidelines.</w:t>
      </w:r>
    </w:p>
    <w:p w:rsidR="003A7784" w:rsidRPr="00673F78" w:rsidRDefault="003A7784" w:rsidP="002F6263">
      <w:pPr>
        <w:ind w:right="204"/>
        <w:jc w:val="both"/>
        <w:rPr>
          <w:rFonts w:ascii="Verdana" w:hAnsi="Verdana"/>
          <w:sz w:val="22"/>
          <w:szCs w:val="22"/>
        </w:rPr>
      </w:pPr>
    </w:p>
    <w:sectPr w:rsidR="003A7784" w:rsidRPr="00673F78" w:rsidSect="002F626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8E" w:rsidRDefault="00A9648E">
      <w:r>
        <w:separator/>
      </w:r>
    </w:p>
  </w:endnote>
  <w:endnote w:type="continuationSeparator" w:id="0">
    <w:p w:rsidR="00A9648E" w:rsidRDefault="00A9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8E" w:rsidRDefault="00A9648E">
      <w:r>
        <w:separator/>
      </w:r>
    </w:p>
  </w:footnote>
  <w:footnote w:type="continuationSeparator" w:id="0">
    <w:p w:rsidR="00A9648E" w:rsidRDefault="00A96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F05"/>
    <w:rsid w:val="00003B1C"/>
    <w:rsid w:val="00005D04"/>
    <w:rsid w:val="000063AF"/>
    <w:rsid w:val="000071DF"/>
    <w:rsid w:val="0001131F"/>
    <w:rsid w:val="00011C89"/>
    <w:rsid w:val="00011C8F"/>
    <w:rsid w:val="000149B5"/>
    <w:rsid w:val="000216B8"/>
    <w:rsid w:val="0002262F"/>
    <w:rsid w:val="00027096"/>
    <w:rsid w:val="00030882"/>
    <w:rsid w:val="00036ECA"/>
    <w:rsid w:val="000372E0"/>
    <w:rsid w:val="00041E12"/>
    <w:rsid w:val="000449BF"/>
    <w:rsid w:val="00044B67"/>
    <w:rsid w:val="000529D9"/>
    <w:rsid w:val="00062927"/>
    <w:rsid w:val="00062A4C"/>
    <w:rsid w:val="00063C1E"/>
    <w:rsid w:val="00065701"/>
    <w:rsid w:val="0007201F"/>
    <w:rsid w:val="00072A8F"/>
    <w:rsid w:val="0007726E"/>
    <w:rsid w:val="000773C0"/>
    <w:rsid w:val="00081A76"/>
    <w:rsid w:val="000829E3"/>
    <w:rsid w:val="000857EB"/>
    <w:rsid w:val="000931B5"/>
    <w:rsid w:val="0009384A"/>
    <w:rsid w:val="0009415D"/>
    <w:rsid w:val="000A035D"/>
    <w:rsid w:val="000A2F59"/>
    <w:rsid w:val="000A2FA6"/>
    <w:rsid w:val="000A6D84"/>
    <w:rsid w:val="000B0191"/>
    <w:rsid w:val="000B1E6F"/>
    <w:rsid w:val="000B1EB6"/>
    <w:rsid w:val="000B6661"/>
    <w:rsid w:val="000C3D46"/>
    <w:rsid w:val="000C58D2"/>
    <w:rsid w:val="000D3EF5"/>
    <w:rsid w:val="000D4901"/>
    <w:rsid w:val="000D7BB9"/>
    <w:rsid w:val="000E0012"/>
    <w:rsid w:val="000E407D"/>
    <w:rsid w:val="000E41AB"/>
    <w:rsid w:val="000E5F53"/>
    <w:rsid w:val="000E748A"/>
    <w:rsid w:val="000F1CD9"/>
    <w:rsid w:val="000F3E42"/>
    <w:rsid w:val="000F40F1"/>
    <w:rsid w:val="000F6CA4"/>
    <w:rsid w:val="001000FC"/>
    <w:rsid w:val="00101039"/>
    <w:rsid w:val="00103E2B"/>
    <w:rsid w:val="0010686A"/>
    <w:rsid w:val="001071F2"/>
    <w:rsid w:val="001144FE"/>
    <w:rsid w:val="00116F71"/>
    <w:rsid w:val="00117B2E"/>
    <w:rsid w:val="00123C1E"/>
    <w:rsid w:val="00127AB1"/>
    <w:rsid w:val="001308DF"/>
    <w:rsid w:val="00135C2A"/>
    <w:rsid w:val="00140763"/>
    <w:rsid w:val="001422B6"/>
    <w:rsid w:val="00142C63"/>
    <w:rsid w:val="001431A8"/>
    <w:rsid w:val="0014432A"/>
    <w:rsid w:val="00144DB6"/>
    <w:rsid w:val="00150795"/>
    <w:rsid w:val="00150E22"/>
    <w:rsid w:val="001517C0"/>
    <w:rsid w:val="0015370A"/>
    <w:rsid w:val="00153A4C"/>
    <w:rsid w:val="001543F8"/>
    <w:rsid w:val="00155675"/>
    <w:rsid w:val="00156978"/>
    <w:rsid w:val="0016183F"/>
    <w:rsid w:val="00163D57"/>
    <w:rsid w:val="001654F2"/>
    <w:rsid w:val="001765C5"/>
    <w:rsid w:val="00176C36"/>
    <w:rsid w:val="00190EB5"/>
    <w:rsid w:val="001936AB"/>
    <w:rsid w:val="00196876"/>
    <w:rsid w:val="001A08A7"/>
    <w:rsid w:val="001A3F54"/>
    <w:rsid w:val="001A6ABE"/>
    <w:rsid w:val="001B42C2"/>
    <w:rsid w:val="001B5308"/>
    <w:rsid w:val="001B734C"/>
    <w:rsid w:val="001C380E"/>
    <w:rsid w:val="001C5F6B"/>
    <w:rsid w:val="001C6AED"/>
    <w:rsid w:val="001D245C"/>
    <w:rsid w:val="001D31F2"/>
    <w:rsid w:val="001D51F0"/>
    <w:rsid w:val="001D5D7F"/>
    <w:rsid w:val="001D6792"/>
    <w:rsid w:val="001E0976"/>
    <w:rsid w:val="001F0CDB"/>
    <w:rsid w:val="001F287D"/>
    <w:rsid w:val="001F7655"/>
    <w:rsid w:val="002038FD"/>
    <w:rsid w:val="00210CC5"/>
    <w:rsid w:val="00212F02"/>
    <w:rsid w:val="002157AA"/>
    <w:rsid w:val="002167F8"/>
    <w:rsid w:val="00216CA9"/>
    <w:rsid w:val="002176F6"/>
    <w:rsid w:val="00223859"/>
    <w:rsid w:val="00223D8C"/>
    <w:rsid w:val="0022573B"/>
    <w:rsid w:val="00234621"/>
    <w:rsid w:val="002370B2"/>
    <w:rsid w:val="00237838"/>
    <w:rsid w:val="00237D59"/>
    <w:rsid w:val="00241640"/>
    <w:rsid w:val="00244FC7"/>
    <w:rsid w:val="00245D1C"/>
    <w:rsid w:val="00246DDF"/>
    <w:rsid w:val="00247755"/>
    <w:rsid w:val="00250194"/>
    <w:rsid w:val="002547FF"/>
    <w:rsid w:val="00254AD4"/>
    <w:rsid w:val="00265742"/>
    <w:rsid w:val="002707BE"/>
    <w:rsid w:val="00271BBA"/>
    <w:rsid w:val="002763B1"/>
    <w:rsid w:val="002764B1"/>
    <w:rsid w:val="00281EE5"/>
    <w:rsid w:val="00290C63"/>
    <w:rsid w:val="002948AF"/>
    <w:rsid w:val="002A4A87"/>
    <w:rsid w:val="002A70C8"/>
    <w:rsid w:val="002B12EA"/>
    <w:rsid w:val="002C28E7"/>
    <w:rsid w:val="002C3752"/>
    <w:rsid w:val="002C7D56"/>
    <w:rsid w:val="002D1760"/>
    <w:rsid w:val="002D2A7E"/>
    <w:rsid w:val="002D38A3"/>
    <w:rsid w:val="002E0CCB"/>
    <w:rsid w:val="002E17BB"/>
    <w:rsid w:val="002E4FF5"/>
    <w:rsid w:val="002E7197"/>
    <w:rsid w:val="002F6263"/>
    <w:rsid w:val="00303C71"/>
    <w:rsid w:val="00304C32"/>
    <w:rsid w:val="003077F7"/>
    <w:rsid w:val="00310DEA"/>
    <w:rsid w:val="003143FC"/>
    <w:rsid w:val="00314E5A"/>
    <w:rsid w:val="003151E3"/>
    <w:rsid w:val="003176AA"/>
    <w:rsid w:val="00333B73"/>
    <w:rsid w:val="00333E64"/>
    <w:rsid w:val="0033431B"/>
    <w:rsid w:val="003349E2"/>
    <w:rsid w:val="00336249"/>
    <w:rsid w:val="00340009"/>
    <w:rsid w:val="00345588"/>
    <w:rsid w:val="00345A69"/>
    <w:rsid w:val="00347E01"/>
    <w:rsid w:val="003527CC"/>
    <w:rsid w:val="00355719"/>
    <w:rsid w:val="0035704F"/>
    <w:rsid w:val="00363085"/>
    <w:rsid w:val="00370928"/>
    <w:rsid w:val="003724BA"/>
    <w:rsid w:val="003767A6"/>
    <w:rsid w:val="0038012E"/>
    <w:rsid w:val="00380143"/>
    <w:rsid w:val="0038234B"/>
    <w:rsid w:val="00391480"/>
    <w:rsid w:val="0039399F"/>
    <w:rsid w:val="00396580"/>
    <w:rsid w:val="003A0001"/>
    <w:rsid w:val="003A7784"/>
    <w:rsid w:val="003B125F"/>
    <w:rsid w:val="003B2E6D"/>
    <w:rsid w:val="003B5E6E"/>
    <w:rsid w:val="003C0753"/>
    <w:rsid w:val="003C71BB"/>
    <w:rsid w:val="003E18D9"/>
    <w:rsid w:val="003E2B4E"/>
    <w:rsid w:val="003F19A5"/>
    <w:rsid w:val="003F1F87"/>
    <w:rsid w:val="003F4951"/>
    <w:rsid w:val="00402797"/>
    <w:rsid w:val="004041D8"/>
    <w:rsid w:val="00404966"/>
    <w:rsid w:val="004053DF"/>
    <w:rsid w:val="00405EE9"/>
    <w:rsid w:val="00406A3B"/>
    <w:rsid w:val="004072F0"/>
    <w:rsid w:val="00407D3D"/>
    <w:rsid w:val="004137A2"/>
    <w:rsid w:val="00421F93"/>
    <w:rsid w:val="004224FF"/>
    <w:rsid w:val="00425578"/>
    <w:rsid w:val="0043204B"/>
    <w:rsid w:val="00436707"/>
    <w:rsid w:val="004437AD"/>
    <w:rsid w:val="00443C36"/>
    <w:rsid w:val="0044446A"/>
    <w:rsid w:val="004475BC"/>
    <w:rsid w:val="0046523A"/>
    <w:rsid w:val="00465F1B"/>
    <w:rsid w:val="00466923"/>
    <w:rsid w:val="0046766F"/>
    <w:rsid w:val="004713BE"/>
    <w:rsid w:val="00472EF7"/>
    <w:rsid w:val="00474BDE"/>
    <w:rsid w:val="004813C0"/>
    <w:rsid w:val="004836E9"/>
    <w:rsid w:val="00487040"/>
    <w:rsid w:val="00490E73"/>
    <w:rsid w:val="00493452"/>
    <w:rsid w:val="004A1413"/>
    <w:rsid w:val="004A1AA5"/>
    <w:rsid w:val="004A2022"/>
    <w:rsid w:val="004A66CF"/>
    <w:rsid w:val="004A6863"/>
    <w:rsid w:val="004B0263"/>
    <w:rsid w:val="004B2CC0"/>
    <w:rsid w:val="004B6C36"/>
    <w:rsid w:val="004B7125"/>
    <w:rsid w:val="004B7463"/>
    <w:rsid w:val="004B7578"/>
    <w:rsid w:val="004B7ECD"/>
    <w:rsid w:val="004C0DFC"/>
    <w:rsid w:val="004C5668"/>
    <w:rsid w:val="004C60A0"/>
    <w:rsid w:val="004C7C58"/>
    <w:rsid w:val="004D04B4"/>
    <w:rsid w:val="004D2E08"/>
    <w:rsid w:val="004D3DF7"/>
    <w:rsid w:val="004D47FC"/>
    <w:rsid w:val="004E1C86"/>
    <w:rsid w:val="004E2030"/>
    <w:rsid w:val="004E7BF9"/>
    <w:rsid w:val="004F2EE9"/>
    <w:rsid w:val="004F5AD2"/>
    <w:rsid w:val="0050057B"/>
    <w:rsid w:val="00502A39"/>
    <w:rsid w:val="0050436E"/>
    <w:rsid w:val="005047A4"/>
    <w:rsid w:val="00505347"/>
    <w:rsid w:val="00506267"/>
    <w:rsid w:val="00506737"/>
    <w:rsid w:val="005076FB"/>
    <w:rsid w:val="00510A72"/>
    <w:rsid w:val="00511B39"/>
    <w:rsid w:val="0051487E"/>
    <w:rsid w:val="00515146"/>
    <w:rsid w:val="00520ABD"/>
    <w:rsid w:val="00522865"/>
    <w:rsid w:val="00522D67"/>
    <w:rsid w:val="005237E2"/>
    <w:rsid w:val="00526688"/>
    <w:rsid w:val="00526ABF"/>
    <w:rsid w:val="00531B38"/>
    <w:rsid w:val="00542351"/>
    <w:rsid w:val="005430EE"/>
    <w:rsid w:val="005472A6"/>
    <w:rsid w:val="00547782"/>
    <w:rsid w:val="00547ADA"/>
    <w:rsid w:val="0055373F"/>
    <w:rsid w:val="00553CF3"/>
    <w:rsid w:val="005615BF"/>
    <w:rsid w:val="005626BD"/>
    <w:rsid w:val="00564BF4"/>
    <w:rsid w:val="00574524"/>
    <w:rsid w:val="005760EA"/>
    <w:rsid w:val="0057647C"/>
    <w:rsid w:val="00576A58"/>
    <w:rsid w:val="005771B5"/>
    <w:rsid w:val="00580A67"/>
    <w:rsid w:val="00582BE1"/>
    <w:rsid w:val="005838B4"/>
    <w:rsid w:val="00583E9B"/>
    <w:rsid w:val="00584B22"/>
    <w:rsid w:val="00590530"/>
    <w:rsid w:val="0059289C"/>
    <w:rsid w:val="0059604C"/>
    <w:rsid w:val="005A50D1"/>
    <w:rsid w:val="005C0915"/>
    <w:rsid w:val="005C1EAD"/>
    <w:rsid w:val="005D0104"/>
    <w:rsid w:val="005D05CA"/>
    <w:rsid w:val="005D1CC4"/>
    <w:rsid w:val="005D363E"/>
    <w:rsid w:val="005E0081"/>
    <w:rsid w:val="005E7603"/>
    <w:rsid w:val="00607D53"/>
    <w:rsid w:val="006100BE"/>
    <w:rsid w:val="006171B3"/>
    <w:rsid w:val="0062493C"/>
    <w:rsid w:val="006302F7"/>
    <w:rsid w:val="00640C80"/>
    <w:rsid w:val="00643590"/>
    <w:rsid w:val="006443A7"/>
    <w:rsid w:val="00647B46"/>
    <w:rsid w:val="00650E73"/>
    <w:rsid w:val="00664885"/>
    <w:rsid w:val="00673F78"/>
    <w:rsid w:val="0067639B"/>
    <w:rsid w:val="00682E87"/>
    <w:rsid w:val="0068484F"/>
    <w:rsid w:val="00686180"/>
    <w:rsid w:val="00693F6B"/>
    <w:rsid w:val="006A6E4C"/>
    <w:rsid w:val="006A728F"/>
    <w:rsid w:val="006C0063"/>
    <w:rsid w:val="006C041B"/>
    <w:rsid w:val="006C4C5C"/>
    <w:rsid w:val="006D1F62"/>
    <w:rsid w:val="006E0080"/>
    <w:rsid w:val="006E128F"/>
    <w:rsid w:val="006E2C00"/>
    <w:rsid w:val="006E32CF"/>
    <w:rsid w:val="006E5CFD"/>
    <w:rsid w:val="006E6DA1"/>
    <w:rsid w:val="006E731C"/>
    <w:rsid w:val="006E758C"/>
    <w:rsid w:val="006F503C"/>
    <w:rsid w:val="006F7E88"/>
    <w:rsid w:val="00702E5A"/>
    <w:rsid w:val="00704641"/>
    <w:rsid w:val="007050A9"/>
    <w:rsid w:val="00707F90"/>
    <w:rsid w:val="00710625"/>
    <w:rsid w:val="007110B7"/>
    <w:rsid w:val="00713495"/>
    <w:rsid w:val="00716F21"/>
    <w:rsid w:val="007223E4"/>
    <w:rsid w:val="0072292A"/>
    <w:rsid w:val="00723426"/>
    <w:rsid w:val="0072706F"/>
    <w:rsid w:val="007273CE"/>
    <w:rsid w:val="00731386"/>
    <w:rsid w:val="00744359"/>
    <w:rsid w:val="00750F97"/>
    <w:rsid w:val="00751E75"/>
    <w:rsid w:val="00752F5A"/>
    <w:rsid w:val="00765119"/>
    <w:rsid w:val="00771202"/>
    <w:rsid w:val="00771EA8"/>
    <w:rsid w:val="00771F4A"/>
    <w:rsid w:val="0077576A"/>
    <w:rsid w:val="00782AD9"/>
    <w:rsid w:val="0078321D"/>
    <w:rsid w:val="00784E39"/>
    <w:rsid w:val="0079215D"/>
    <w:rsid w:val="00792EDE"/>
    <w:rsid w:val="0079385B"/>
    <w:rsid w:val="00794BB5"/>
    <w:rsid w:val="0079511C"/>
    <w:rsid w:val="00796DB2"/>
    <w:rsid w:val="007A0E2F"/>
    <w:rsid w:val="007A3C84"/>
    <w:rsid w:val="007A53A5"/>
    <w:rsid w:val="007A6A88"/>
    <w:rsid w:val="007B7204"/>
    <w:rsid w:val="007B7416"/>
    <w:rsid w:val="007C105F"/>
    <w:rsid w:val="007C25A7"/>
    <w:rsid w:val="007C2A1D"/>
    <w:rsid w:val="007C2BD1"/>
    <w:rsid w:val="007C3E7A"/>
    <w:rsid w:val="007C5437"/>
    <w:rsid w:val="007D1BF9"/>
    <w:rsid w:val="007D5253"/>
    <w:rsid w:val="007D7422"/>
    <w:rsid w:val="007E126F"/>
    <w:rsid w:val="007E1902"/>
    <w:rsid w:val="007E2E9A"/>
    <w:rsid w:val="007E3818"/>
    <w:rsid w:val="007F0FA9"/>
    <w:rsid w:val="007F3054"/>
    <w:rsid w:val="008048E7"/>
    <w:rsid w:val="0080542E"/>
    <w:rsid w:val="008054B0"/>
    <w:rsid w:val="00810605"/>
    <w:rsid w:val="00812B31"/>
    <w:rsid w:val="00815F98"/>
    <w:rsid w:val="00822802"/>
    <w:rsid w:val="0082341B"/>
    <w:rsid w:val="00833F58"/>
    <w:rsid w:val="0084173E"/>
    <w:rsid w:val="00842146"/>
    <w:rsid w:val="00842EA9"/>
    <w:rsid w:val="00844FFC"/>
    <w:rsid w:val="00845754"/>
    <w:rsid w:val="00845F0A"/>
    <w:rsid w:val="008472E6"/>
    <w:rsid w:val="008521DC"/>
    <w:rsid w:val="00855E03"/>
    <w:rsid w:val="00856884"/>
    <w:rsid w:val="0085795C"/>
    <w:rsid w:val="008608A2"/>
    <w:rsid w:val="00862F75"/>
    <w:rsid w:val="00866D31"/>
    <w:rsid w:val="008834CE"/>
    <w:rsid w:val="00891EE4"/>
    <w:rsid w:val="00893164"/>
    <w:rsid w:val="00897A11"/>
    <w:rsid w:val="008A3B2D"/>
    <w:rsid w:val="008A4AAE"/>
    <w:rsid w:val="008A779A"/>
    <w:rsid w:val="008A7D16"/>
    <w:rsid w:val="008B0D2B"/>
    <w:rsid w:val="008B40E3"/>
    <w:rsid w:val="008C1188"/>
    <w:rsid w:val="008C16D5"/>
    <w:rsid w:val="008C1FFC"/>
    <w:rsid w:val="008C308F"/>
    <w:rsid w:val="008C3E6D"/>
    <w:rsid w:val="008C4836"/>
    <w:rsid w:val="008C60E2"/>
    <w:rsid w:val="008D7277"/>
    <w:rsid w:val="008D7CF1"/>
    <w:rsid w:val="008E0D80"/>
    <w:rsid w:val="008E4B6F"/>
    <w:rsid w:val="008E6833"/>
    <w:rsid w:val="008E6ED2"/>
    <w:rsid w:val="008F0BD5"/>
    <w:rsid w:val="008F1171"/>
    <w:rsid w:val="008F3B32"/>
    <w:rsid w:val="008F7DB1"/>
    <w:rsid w:val="00901392"/>
    <w:rsid w:val="009115D9"/>
    <w:rsid w:val="00911F03"/>
    <w:rsid w:val="0092162A"/>
    <w:rsid w:val="009222C9"/>
    <w:rsid w:val="00923331"/>
    <w:rsid w:val="009249B0"/>
    <w:rsid w:val="00926194"/>
    <w:rsid w:val="00932371"/>
    <w:rsid w:val="00932374"/>
    <w:rsid w:val="009347A5"/>
    <w:rsid w:val="00943039"/>
    <w:rsid w:val="0094695E"/>
    <w:rsid w:val="00950CD5"/>
    <w:rsid w:val="00962F2B"/>
    <w:rsid w:val="00970703"/>
    <w:rsid w:val="00973AE4"/>
    <w:rsid w:val="00975A6A"/>
    <w:rsid w:val="0098064B"/>
    <w:rsid w:val="00981743"/>
    <w:rsid w:val="00983254"/>
    <w:rsid w:val="00984D2B"/>
    <w:rsid w:val="00986A6A"/>
    <w:rsid w:val="00995820"/>
    <w:rsid w:val="009972DE"/>
    <w:rsid w:val="00997F43"/>
    <w:rsid w:val="009A5335"/>
    <w:rsid w:val="009A5DB7"/>
    <w:rsid w:val="009A7A30"/>
    <w:rsid w:val="009C0189"/>
    <w:rsid w:val="009C2ECA"/>
    <w:rsid w:val="009D1122"/>
    <w:rsid w:val="009D3102"/>
    <w:rsid w:val="009D4E25"/>
    <w:rsid w:val="009D6C59"/>
    <w:rsid w:val="009E1AF9"/>
    <w:rsid w:val="009E24B9"/>
    <w:rsid w:val="009E30AA"/>
    <w:rsid w:val="009E50EE"/>
    <w:rsid w:val="009E5DD2"/>
    <w:rsid w:val="009E7923"/>
    <w:rsid w:val="009F24DA"/>
    <w:rsid w:val="009F6F87"/>
    <w:rsid w:val="00A02DFE"/>
    <w:rsid w:val="00A0756E"/>
    <w:rsid w:val="00A12FB4"/>
    <w:rsid w:val="00A1551C"/>
    <w:rsid w:val="00A15C54"/>
    <w:rsid w:val="00A204B5"/>
    <w:rsid w:val="00A2149A"/>
    <w:rsid w:val="00A24D99"/>
    <w:rsid w:val="00A2699C"/>
    <w:rsid w:val="00A27317"/>
    <w:rsid w:val="00A27563"/>
    <w:rsid w:val="00A304D8"/>
    <w:rsid w:val="00A33688"/>
    <w:rsid w:val="00A3667C"/>
    <w:rsid w:val="00A40828"/>
    <w:rsid w:val="00A44BB3"/>
    <w:rsid w:val="00A46938"/>
    <w:rsid w:val="00A505D9"/>
    <w:rsid w:val="00A513F6"/>
    <w:rsid w:val="00A518E7"/>
    <w:rsid w:val="00A54509"/>
    <w:rsid w:val="00A54E3C"/>
    <w:rsid w:val="00A66718"/>
    <w:rsid w:val="00A70497"/>
    <w:rsid w:val="00A73AB2"/>
    <w:rsid w:val="00A747FE"/>
    <w:rsid w:val="00A74F05"/>
    <w:rsid w:val="00A81EE7"/>
    <w:rsid w:val="00A8302C"/>
    <w:rsid w:val="00A9648E"/>
    <w:rsid w:val="00A97648"/>
    <w:rsid w:val="00AA0A69"/>
    <w:rsid w:val="00AB1149"/>
    <w:rsid w:val="00AB114E"/>
    <w:rsid w:val="00AB1BDC"/>
    <w:rsid w:val="00AB2A16"/>
    <w:rsid w:val="00AC0947"/>
    <w:rsid w:val="00AC2860"/>
    <w:rsid w:val="00AC4747"/>
    <w:rsid w:val="00AC7171"/>
    <w:rsid w:val="00AD3789"/>
    <w:rsid w:val="00AD52AC"/>
    <w:rsid w:val="00AD5CCE"/>
    <w:rsid w:val="00AE1ED8"/>
    <w:rsid w:val="00AE271B"/>
    <w:rsid w:val="00AE6A96"/>
    <w:rsid w:val="00AF3A9F"/>
    <w:rsid w:val="00AF5688"/>
    <w:rsid w:val="00AF5B81"/>
    <w:rsid w:val="00B052DA"/>
    <w:rsid w:val="00B063FC"/>
    <w:rsid w:val="00B13197"/>
    <w:rsid w:val="00B136C4"/>
    <w:rsid w:val="00B17A57"/>
    <w:rsid w:val="00B237E4"/>
    <w:rsid w:val="00B276FF"/>
    <w:rsid w:val="00B27C4C"/>
    <w:rsid w:val="00B27E6E"/>
    <w:rsid w:val="00B3130F"/>
    <w:rsid w:val="00B31717"/>
    <w:rsid w:val="00B33067"/>
    <w:rsid w:val="00B343EA"/>
    <w:rsid w:val="00B36036"/>
    <w:rsid w:val="00B405E4"/>
    <w:rsid w:val="00B45E66"/>
    <w:rsid w:val="00B51D56"/>
    <w:rsid w:val="00B5311B"/>
    <w:rsid w:val="00B543B9"/>
    <w:rsid w:val="00B553F7"/>
    <w:rsid w:val="00B65A26"/>
    <w:rsid w:val="00B7141F"/>
    <w:rsid w:val="00B872C6"/>
    <w:rsid w:val="00B95453"/>
    <w:rsid w:val="00BA0682"/>
    <w:rsid w:val="00BA1DB8"/>
    <w:rsid w:val="00BB48C9"/>
    <w:rsid w:val="00BB55BF"/>
    <w:rsid w:val="00BC08EA"/>
    <w:rsid w:val="00BC47B2"/>
    <w:rsid w:val="00BC5E00"/>
    <w:rsid w:val="00BD0F5F"/>
    <w:rsid w:val="00BD3706"/>
    <w:rsid w:val="00BD417B"/>
    <w:rsid w:val="00BD477C"/>
    <w:rsid w:val="00BE461A"/>
    <w:rsid w:val="00BE7634"/>
    <w:rsid w:val="00BE7BB6"/>
    <w:rsid w:val="00BF1D17"/>
    <w:rsid w:val="00BF4982"/>
    <w:rsid w:val="00BF7056"/>
    <w:rsid w:val="00BF7269"/>
    <w:rsid w:val="00C02185"/>
    <w:rsid w:val="00C0671F"/>
    <w:rsid w:val="00C1730A"/>
    <w:rsid w:val="00C31E3F"/>
    <w:rsid w:val="00C32EE1"/>
    <w:rsid w:val="00C339D4"/>
    <w:rsid w:val="00C34A66"/>
    <w:rsid w:val="00C35E08"/>
    <w:rsid w:val="00C43645"/>
    <w:rsid w:val="00C462B0"/>
    <w:rsid w:val="00C4650C"/>
    <w:rsid w:val="00C50B02"/>
    <w:rsid w:val="00C52339"/>
    <w:rsid w:val="00C62807"/>
    <w:rsid w:val="00C667BF"/>
    <w:rsid w:val="00C730A6"/>
    <w:rsid w:val="00C766DD"/>
    <w:rsid w:val="00C825F8"/>
    <w:rsid w:val="00C82A7C"/>
    <w:rsid w:val="00C860B2"/>
    <w:rsid w:val="00C86EA3"/>
    <w:rsid w:val="00C97E64"/>
    <w:rsid w:val="00CA0466"/>
    <w:rsid w:val="00CA0557"/>
    <w:rsid w:val="00CA2283"/>
    <w:rsid w:val="00CA3EA0"/>
    <w:rsid w:val="00CA45FF"/>
    <w:rsid w:val="00CA69BF"/>
    <w:rsid w:val="00CA7608"/>
    <w:rsid w:val="00CB4DB7"/>
    <w:rsid w:val="00CC040C"/>
    <w:rsid w:val="00CC06C8"/>
    <w:rsid w:val="00CC4C4F"/>
    <w:rsid w:val="00CD140E"/>
    <w:rsid w:val="00CE07B9"/>
    <w:rsid w:val="00CF216D"/>
    <w:rsid w:val="00CF43C0"/>
    <w:rsid w:val="00CF5C11"/>
    <w:rsid w:val="00CF6F44"/>
    <w:rsid w:val="00CF723A"/>
    <w:rsid w:val="00D01C13"/>
    <w:rsid w:val="00D067D2"/>
    <w:rsid w:val="00D10032"/>
    <w:rsid w:val="00D10B84"/>
    <w:rsid w:val="00D11175"/>
    <w:rsid w:val="00D1542D"/>
    <w:rsid w:val="00D20BC1"/>
    <w:rsid w:val="00D22BC8"/>
    <w:rsid w:val="00D263AA"/>
    <w:rsid w:val="00D269D0"/>
    <w:rsid w:val="00D3127A"/>
    <w:rsid w:val="00D329B7"/>
    <w:rsid w:val="00D351C0"/>
    <w:rsid w:val="00D41CF6"/>
    <w:rsid w:val="00D42869"/>
    <w:rsid w:val="00D460C3"/>
    <w:rsid w:val="00D461F7"/>
    <w:rsid w:val="00D47102"/>
    <w:rsid w:val="00D477C4"/>
    <w:rsid w:val="00D47944"/>
    <w:rsid w:val="00D75A25"/>
    <w:rsid w:val="00D76ED0"/>
    <w:rsid w:val="00D81C35"/>
    <w:rsid w:val="00D83A4B"/>
    <w:rsid w:val="00D9193D"/>
    <w:rsid w:val="00DA089F"/>
    <w:rsid w:val="00DA3924"/>
    <w:rsid w:val="00DA4770"/>
    <w:rsid w:val="00DB1130"/>
    <w:rsid w:val="00DB46B3"/>
    <w:rsid w:val="00DB62FC"/>
    <w:rsid w:val="00DC1EBC"/>
    <w:rsid w:val="00DC22D1"/>
    <w:rsid w:val="00DC32AE"/>
    <w:rsid w:val="00DC3EBF"/>
    <w:rsid w:val="00DE2AC2"/>
    <w:rsid w:val="00DF3794"/>
    <w:rsid w:val="00DF47A4"/>
    <w:rsid w:val="00E00A2B"/>
    <w:rsid w:val="00E01727"/>
    <w:rsid w:val="00E04AAD"/>
    <w:rsid w:val="00E11792"/>
    <w:rsid w:val="00E12DE5"/>
    <w:rsid w:val="00E2218B"/>
    <w:rsid w:val="00E228C0"/>
    <w:rsid w:val="00E259B2"/>
    <w:rsid w:val="00E263D5"/>
    <w:rsid w:val="00E32B17"/>
    <w:rsid w:val="00E336BE"/>
    <w:rsid w:val="00E401FC"/>
    <w:rsid w:val="00E44273"/>
    <w:rsid w:val="00E44B23"/>
    <w:rsid w:val="00E45503"/>
    <w:rsid w:val="00E515CF"/>
    <w:rsid w:val="00E51714"/>
    <w:rsid w:val="00E536D3"/>
    <w:rsid w:val="00E562D7"/>
    <w:rsid w:val="00E61AC5"/>
    <w:rsid w:val="00E64072"/>
    <w:rsid w:val="00E66DAA"/>
    <w:rsid w:val="00E673DE"/>
    <w:rsid w:val="00E710BD"/>
    <w:rsid w:val="00E74E52"/>
    <w:rsid w:val="00E77C12"/>
    <w:rsid w:val="00E83B81"/>
    <w:rsid w:val="00E85937"/>
    <w:rsid w:val="00E8696F"/>
    <w:rsid w:val="00E92354"/>
    <w:rsid w:val="00E93E63"/>
    <w:rsid w:val="00E961D7"/>
    <w:rsid w:val="00E966BB"/>
    <w:rsid w:val="00EA0674"/>
    <w:rsid w:val="00EA0902"/>
    <w:rsid w:val="00EB41B6"/>
    <w:rsid w:val="00EB546A"/>
    <w:rsid w:val="00EB5679"/>
    <w:rsid w:val="00EB7221"/>
    <w:rsid w:val="00EC0AC5"/>
    <w:rsid w:val="00EC4B38"/>
    <w:rsid w:val="00EC553B"/>
    <w:rsid w:val="00EC6460"/>
    <w:rsid w:val="00ED27D1"/>
    <w:rsid w:val="00ED2CD4"/>
    <w:rsid w:val="00ED3413"/>
    <w:rsid w:val="00ED6B40"/>
    <w:rsid w:val="00EE3379"/>
    <w:rsid w:val="00EE3748"/>
    <w:rsid w:val="00EE736E"/>
    <w:rsid w:val="00EF028A"/>
    <w:rsid w:val="00EF07FB"/>
    <w:rsid w:val="00EF2675"/>
    <w:rsid w:val="00EF2A91"/>
    <w:rsid w:val="00EF3AF3"/>
    <w:rsid w:val="00EF3EAD"/>
    <w:rsid w:val="00EF6692"/>
    <w:rsid w:val="00F00B74"/>
    <w:rsid w:val="00F026CE"/>
    <w:rsid w:val="00F03FDB"/>
    <w:rsid w:val="00F04B16"/>
    <w:rsid w:val="00F06E8B"/>
    <w:rsid w:val="00F07DDA"/>
    <w:rsid w:val="00F10BFD"/>
    <w:rsid w:val="00F12A64"/>
    <w:rsid w:val="00F137AF"/>
    <w:rsid w:val="00F17928"/>
    <w:rsid w:val="00F17C0F"/>
    <w:rsid w:val="00F22A11"/>
    <w:rsid w:val="00F22F51"/>
    <w:rsid w:val="00F233E9"/>
    <w:rsid w:val="00F30BDE"/>
    <w:rsid w:val="00F3409A"/>
    <w:rsid w:val="00F34E62"/>
    <w:rsid w:val="00F523D9"/>
    <w:rsid w:val="00F52683"/>
    <w:rsid w:val="00F602D8"/>
    <w:rsid w:val="00F6616F"/>
    <w:rsid w:val="00F70C83"/>
    <w:rsid w:val="00F73963"/>
    <w:rsid w:val="00F76E59"/>
    <w:rsid w:val="00F822B3"/>
    <w:rsid w:val="00F9063E"/>
    <w:rsid w:val="00F929F3"/>
    <w:rsid w:val="00F94144"/>
    <w:rsid w:val="00F95D1F"/>
    <w:rsid w:val="00F97315"/>
    <w:rsid w:val="00FA0FF4"/>
    <w:rsid w:val="00FA2557"/>
    <w:rsid w:val="00FA342A"/>
    <w:rsid w:val="00FB093D"/>
    <w:rsid w:val="00FB1EDD"/>
    <w:rsid w:val="00FD106F"/>
    <w:rsid w:val="00FD31DF"/>
    <w:rsid w:val="00FE04E3"/>
    <w:rsid w:val="00FE0842"/>
    <w:rsid w:val="00FE2DBB"/>
    <w:rsid w:val="00FE3C5D"/>
    <w:rsid w:val="00FE7937"/>
    <w:rsid w:val="00FF4F17"/>
    <w:rsid w:val="00FF7BCA"/>
    <w:rsid w:val="00FF7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2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74BDE"/>
    <w:rPr>
      <w:rFonts w:ascii="Tahoma" w:hAnsi="Tahoma" w:cs="Tahoma"/>
      <w:sz w:val="16"/>
      <w:szCs w:val="16"/>
    </w:rPr>
  </w:style>
  <w:style w:type="paragraph" w:styleId="Header">
    <w:name w:val="header"/>
    <w:basedOn w:val="Normal"/>
    <w:rsid w:val="00237838"/>
    <w:pPr>
      <w:tabs>
        <w:tab w:val="center" w:pos="4153"/>
        <w:tab w:val="right" w:pos="8306"/>
      </w:tabs>
    </w:pPr>
  </w:style>
  <w:style w:type="paragraph" w:styleId="Footer">
    <w:name w:val="footer"/>
    <w:basedOn w:val="Normal"/>
    <w:rsid w:val="00237838"/>
    <w:pPr>
      <w:tabs>
        <w:tab w:val="center" w:pos="4153"/>
        <w:tab w:val="right" w:pos="8306"/>
      </w:tabs>
    </w:pPr>
  </w:style>
  <w:style w:type="character" w:styleId="CommentReference">
    <w:name w:val="annotation reference"/>
    <w:basedOn w:val="DefaultParagraphFont"/>
    <w:rsid w:val="00923331"/>
    <w:rPr>
      <w:sz w:val="16"/>
      <w:szCs w:val="16"/>
    </w:rPr>
  </w:style>
  <w:style w:type="paragraph" w:styleId="CommentText">
    <w:name w:val="annotation text"/>
    <w:basedOn w:val="Normal"/>
    <w:link w:val="CommentTextChar"/>
    <w:rsid w:val="00923331"/>
    <w:rPr>
      <w:sz w:val="20"/>
      <w:szCs w:val="20"/>
    </w:rPr>
  </w:style>
  <w:style w:type="character" w:customStyle="1" w:styleId="CommentTextChar">
    <w:name w:val="Comment Text Char"/>
    <w:basedOn w:val="DefaultParagraphFont"/>
    <w:link w:val="CommentText"/>
    <w:rsid w:val="00923331"/>
  </w:style>
  <w:style w:type="paragraph" w:styleId="CommentSubject">
    <w:name w:val="annotation subject"/>
    <w:basedOn w:val="CommentText"/>
    <w:next w:val="CommentText"/>
    <w:link w:val="CommentSubjectChar"/>
    <w:rsid w:val="00923331"/>
    <w:rPr>
      <w:b/>
      <w:bCs/>
    </w:rPr>
  </w:style>
  <w:style w:type="character" w:customStyle="1" w:styleId="CommentSubjectChar">
    <w:name w:val="Comment Subject Char"/>
    <w:basedOn w:val="CommentTextChar"/>
    <w:link w:val="CommentSubject"/>
    <w:rsid w:val="009233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Safety, Rehabilitation and Compensation Act 1988</vt:lpstr>
    </vt:vector>
  </TitlesOfParts>
  <Company>COMCARE</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Rehabilitation and Compensation Act 1988</dc:title>
  <dc:subject/>
  <dc:creator>whitcombe.ken</dc:creator>
  <cp:keywords/>
  <dc:description/>
  <cp:lastModifiedBy>Kelly Schoonderwoerd</cp:lastModifiedBy>
  <cp:revision>3</cp:revision>
  <cp:lastPrinted>2014-01-30T23:19:00Z</cp:lastPrinted>
  <dcterms:created xsi:type="dcterms:W3CDTF">2014-01-30T23:27:00Z</dcterms:created>
  <dcterms:modified xsi:type="dcterms:W3CDTF">2014-01-30T23:46:00Z</dcterms:modified>
</cp:coreProperties>
</file>