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43" w:rsidRPr="00AC1F86" w:rsidRDefault="00AC1F86" w:rsidP="00AC1F86">
      <w:pPr>
        <w:jc w:val="center"/>
        <w:rPr>
          <w:rFonts w:ascii="Verdana" w:hAnsi="Verdana"/>
          <w:b/>
          <w:color w:val="000000"/>
          <w:sz w:val="22"/>
          <w:szCs w:val="22"/>
        </w:rPr>
      </w:pPr>
      <w:bookmarkStart w:id="0" w:name="_GoBack"/>
      <w:bookmarkEnd w:id="0"/>
      <w:r w:rsidRPr="00AC1F86">
        <w:rPr>
          <w:rFonts w:ascii="Verdana" w:hAnsi="Verdana"/>
          <w:b/>
          <w:color w:val="000000"/>
          <w:sz w:val="22"/>
          <w:szCs w:val="22"/>
        </w:rPr>
        <w:t>EXPLANATORY STATEMENT</w:t>
      </w:r>
    </w:p>
    <w:p w:rsidR="00AC1F86" w:rsidRDefault="00AC1F86" w:rsidP="00AC1F86">
      <w:pPr>
        <w:jc w:val="center"/>
        <w:rPr>
          <w:rFonts w:ascii="Verdana" w:hAnsi="Verdana"/>
          <w:b/>
          <w:color w:val="000000"/>
        </w:rPr>
      </w:pPr>
    </w:p>
    <w:p w:rsidR="00AC1F86" w:rsidRPr="00AC1F86" w:rsidRDefault="00AC1F86" w:rsidP="00AC1F86">
      <w:pPr>
        <w:jc w:val="center"/>
        <w:rPr>
          <w:rFonts w:ascii="Verdana" w:hAnsi="Verdana"/>
          <w:i/>
          <w:color w:val="000000"/>
          <w:sz w:val="22"/>
          <w:szCs w:val="22"/>
        </w:rPr>
      </w:pPr>
      <w:r w:rsidRPr="00AC1F86">
        <w:rPr>
          <w:rFonts w:ascii="Verdana" w:hAnsi="Verdana"/>
          <w:i/>
          <w:color w:val="000000"/>
          <w:sz w:val="22"/>
          <w:szCs w:val="22"/>
        </w:rPr>
        <w:t>Safety, Rehabilitation and Compensation Act 1988</w:t>
      </w:r>
    </w:p>
    <w:p w:rsidR="003C05CD" w:rsidRDefault="003C05CD" w:rsidP="00AC1F86">
      <w:pPr>
        <w:jc w:val="center"/>
        <w:rPr>
          <w:rFonts w:ascii="Verdana" w:hAnsi="Verdana"/>
          <w:color w:val="000000"/>
          <w:sz w:val="22"/>
          <w:szCs w:val="22"/>
        </w:rPr>
      </w:pPr>
    </w:p>
    <w:p w:rsidR="00AC1F86" w:rsidRPr="00AC1F86" w:rsidRDefault="00AC1F86" w:rsidP="00AC1F86">
      <w:pPr>
        <w:jc w:val="center"/>
        <w:rPr>
          <w:rFonts w:ascii="Verdana" w:hAnsi="Verdana"/>
          <w:color w:val="000000"/>
          <w:sz w:val="22"/>
          <w:szCs w:val="22"/>
        </w:rPr>
      </w:pPr>
      <w:r w:rsidRPr="00AC1F86">
        <w:rPr>
          <w:rFonts w:ascii="Verdana" w:hAnsi="Verdana"/>
          <w:color w:val="000000"/>
          <w:sz w:val="22"/>
          <w:szCs w:val="22"/>
        </w:rPr>
        <w:t>Issued by the Safety, Rehabilitation and Compensation Commission</w:t>
      </w:r>
    </w:p>
    <w:p w:rsidR="00AC1F86" w:rsidRDefault="00AC1F86" w:rsidP="00AC1F86">
      <w:pPr>
        <w:jc w:val="center"/>
        <w:rPr>
          <w:rFonts w:ascii="Verdana" w:hAnsi="Verdana"/>
          <w:color w:val="000000"/>
        </w:rPr>
      </w:pPr>
    </w:p>
    <w:p w:rsidR="00AC1F86" w:rsidRDefault="00AC1F86" w:rsidP="00AC1F86">
      <w:pPr>
        <w:jc w:val="center"/>
        <w:rPr>
          <w:rFonts w:ascii="Verdana" w:hAnsi="Verdana"/>
          <w:b/>
          <w:color w:val="000000"/>
          <w:sz w:val="22"/>
          <w:szCs w:val="22"/>
        </w:rPr>
      </w:pPr>
      <w:r w:rsidRPr="00AC1F86">
        <w:rPr>
          <w:rFonts w:ascii="Verdana" w:hAnsi="Verdana"/>
          <w:b/>
          <w:color w:val="000000"/>
          <w:sz w:val="22"/>
          <w:szCs w:val="22"/>
        </w:rPr>
        <w:t>Notice of a Disallowable</w:t>
      </w:r>
      <w:r>
        <w:rPr>
          <w:rFonts w:ascii="Verdana" w:hAnsi="Verdana"/>
          <w:b/>
          <w:color w:val="000000"/>
          <w:sz w:val="22"/>
          <w:szCs w:val="22"/>
        </w:rPr>
        <w:t xml:space="preserve"> Instrument and</w:t>
      </w:r>
    </w:p>
    <w:p w:rsidR="00AC1F86" w:rsidRDefault="00AC1F86" w:rsidP="00AC1F86">
      <w:pPr>
        <w:jc w:val="center"/>
        <w:rPr>
          <w:rFonts w:ascii="Verdana" w:hAnsi="Verdana"/>
          <w:b/>
          <w:color w:val="000000"/>
          <w:sz w:val="22"/>
          <w:szCs w:val="22"/>
        </w:rPr>
      </w:pPr>
      <w:r>
        <w:rPr>
          <w:rFonts w:ascii="Verdana" w:hAnsi="Verdana"/>
          <w:b/>
          <w:color w:val="000000"/>
          <w:sz w:val="22"/>
          <w:szCs w:val="22"/>
        </w:rPr>
        <w:t>Statement of Compatibility with Human Rights</w:t>
      </w:r>
    </w:p>
    <w:p w:rsidR="003C05CD" w:rsidRDefault="003C05CD" w:rsidP="00AC1F86">
      <w:pPr>
        <w:jc w:val="center"/>
        <w:rPr>
          <w:rFonts w:ascii="Verdana" w:hAnsi="Verdana"/>
          <w:b/>
          <w:color w:val="000000"/>
          <w:sz w:val="22"/>
          <w:szCs w:val="22"/>
        </w:rPr>
      </w:pPr>
    </w:p>
    <w:p w:rsidR="003C05CD" w:rsidRDefault="003C05CD" w:rsidP="00AC1F86">
      <w:pPr>
        <w:jc w:val="center"/>
        <w:rPr>
          <w:rFonts w:ascii="Verdana" w:hAnsi="Verdana"/>
          <w:b/>
          <w:color w:val="000000"/>
          <w:sz w:val="22"/>
          <w:szCs w:val="22"/>
        </w:rPr>
      </w:pPr>
    </w:p>
    <w:p w:rsidR="003C05CD" w:rsidRDefault="003C05CD" w:rsidP="00AC1F86">
      <w:pPr>
        <w:jc w:val="center"/>
        <w:rPr>
          <w:rFonts w:ascii="Verdana" w:hAnsi="Verdana"/>
          <w:b/>
          <w:color w:val="000000"/>
          <w:sz w:val="22"/>
          <w:szCs w:val="22"/>
        </w:rPr>
      </w:pPr>
      <w:r w:rsidRPr="003C05CD">
        <w:rPr>
          <w:rFonts w:ascii="Verdana" w:hAnsi="Verdana"/>
          <w:b/>
          <w:color w:val="000000"/>
          <w:sz w:val="22"/>
          <w:szCs w:val="22"/>
        </w:rPr>
        <w:t xml:space="preserve">Premium Determination Guidelines </w:t>
      </w:r>
      <w:r w:rsidR="007100CF">
        <w:rPr>
          <w:rFonts w:ascii="Verdana" w:hAnsi="Verdana"/>
          <w:b/>
          <w:color w:val="000000"/>
          <w:sz w:val="22"/>
          <w:szCs w:val="22"/>
        </w:rPr>
        <w:t>2013</w:t>
      </w:r>
    </w:p>
    <w:p w:rsidR="008867BD" w:rsidRDefault="008867BD" w:rsidP="003C05CD">
      <w:pPr>
        <w:jc w:val="both"/>
        <w:rPr>
          <w:rFonts w:ascii="Verdana" w:hAnsi="Verdana"/>
          <w:b/>
          <w:color w:val="000000"/>
          <w:sz w:val="22"/>
          <w:szCs w:val="22"/>
        </w:rPr>
      </w:pPr>
    </w:p>
    <w:p w:rsidR="00601F1C" w:rsidRPr="000F7636" w:rsidRDefault="00601F1C" w:rsidP="003C05CD">
      <w:pPr>
        <w:jc w:val="both"/>
        <w:rPr>
          <w:rFonts w:ascii="Verdana" w:hAnsi="Verdana"/>
          <w:sz w:val="21"/>
          <w:szCs w:val="21"/>
        </w:rPr>
      </w:pPr>
      <w:r w:rsidRPr="000F7636">
        <w:rPr>
          <w:rFonts w:ascii="Verdana" w:hAnsi="Verdana"/>
          <w:sz w:val="21"/>
          <w:szCs w:val="21"/>
        </w:rPr>
        <w:t xml:space="preserve">Section 97 of the </w:t>
      </w:r>
      <w:r w:rsidRPr="000F7636">
        <w:rPr>
          <w:rFonts w:ascii="Verdana" w:hAnsi="Verdana"/>
          <w:i/>
          <w:sz w:val="21"/>
          <w:szCs w:val="21"/>
        </w:rPr>
        <w:t>Safety, Rehabilitation and Compensation Act 1988</w:t>
      </w:r>
      <w:r w:rsidRPr="000F7636">
        <w:rPr>
          <w:rFonts w:ascii="Verdana" w:hAnsi="Verdana"/>
          <w:sz w:val="21"/>
          <w:szCs w:val="21"/>
        </w:rPr>
        <w:t xml:space="preserve"> (the SRC Act) provides that Comcare must make a determination of the premium to be paid by each Entity and Commonwealth authority for each financial year. </w:t>
      </w:r>
    </w:p>
    <w:p w:rsidR="00601F1C" w:rsidRPr="00395F76" w:rsidRDefault="00601F1C" w:rsidP="003C05CD">
      <w:pPr>
        <w:jc w:val="both"/>
        <w:rPr>
          <w:rFonts w:ascii="Verdana" w:hAnsi="Verdana"/>
          <w:color w:val="000000"/>
          <w:sz w:val="21"/>
          <w:szCs w:val="21"/>
        </w:rPr>
      </w:pPr>
    </w:p>
    <w:p w:rsidR="003C05CD" w:rsidRPr="00395F76" w:rsidRDefault="003C05CD" w:rsidP="003C05CD">
      <w:pPr>
        <w:jc w:val="both"/>
        <w:rPr>
          <w:rFonts w:ascii="Verdana" w:hAnsi="Verdana"/>
          <w:color w:val="000000"/>
          <w:sz w:val="21"/>
          <w:szCs w:val="21"/>
        </w:rPr>
      </w:pPr>
      <w:r w:rsidRPr="00395F76">
        <w:rPr>
          <w:rFonts w:ascii="Verdana" w:hAnsi="Verdana"/>
          <w:color w:val="000000"/>
          <w:sz w:val="21"/>
          <w:szCs w:val="21"/>
        </w:rPr>
        <w:t xml:space="preserve">The purpose of the instrument to which this notice relates is to issue guidelines for the determination by Comcare of the annual workers’ compensation premiums payable to Comcare </w:t>
      </w:r>
      <w:r w:rsidR="003F4B9D" w:rsidRPr="00395F76">
        <w:rPr>
          <w:rFonts w:ascii="Verdana" w:hAnsi="Verdana"/>
          <w:color w:val="000000"/>
          <w:sz w:val="21"/>
          <w:szCs w:val="21"/>
        </w:rPr>
        <w:t>by the employers of employees of the Commonwealth and Commonwealth authorities.</w:t>
      </w:r>
      <w:r w:rsidR="00BE193E" w:rsidRPr="00395F76">
        <w:rPr>
          <w:rFonts w:ascii="Verdana" w:hAnsi="Verdana"/>
          <w:color w:val="000000"/>
          <w:sz w:val="21"/>
          <w:szCs w:val="21"/>
        </w:rPr>
        <w:t xml:space="preserve"> They guide Comcare’s consideration of the matters set out in section 97A of the </w:t>
      </w:r>
      <w:r w:rsidR="00BE193E" w:rsidRPr="00395F76">
        <w:rPr>
          <w:rFonts w:ascii="Verdana" w:hAnsi="Verdana"/>
          <w:i/>
          <w:color w:val="000000"/>
          <w:sz w:val="21"/>
          <w:szCs w:val="21"/>
        </w:rPr>
        <w:t>Safety, Rehabilitation and Compensation Act 1988</w:t>
      </w:r>
      <w:r w:rsidR="00BE193E" w:rsidRPr="00395F76">
        <w:rPr>
          <w:rFonts w:ascii="Verdana" w:hAnsi="Verdana"/>
          <w:color w:val="000000"/>
          <w:sz w:val="21"/>
          <w:szCs w:val="21"/>
        </w:rPr>
        <w:t xml:space="preserve"> (the SRC Act).</w:t>
      </w:r>
    </w:p>
    <w:p w:rsidR="00395F76" w:rsidRPr="00395F76" w:rsidRDefault="00395F76" w:rsidP="003C05CD">
      <w:pPr>
        <w:jc w:val="both"/>
        <w:rPr>
          <w:rFonts w:ascii="Verdana" w:hAnsi="Verdana"/>
          <w:color w:val="000000"/>
          <w:sz w:val="21"/>
          <w:szCs w:val="21"/>
        </w:rPr>
      </w:pPr>
    </w:p>
    <w:p w:rsidR="00395F76" w:rsidRPr="00395F76" w:rsidRDefault="00395F76" w:rsidP="00395F76">
      <w:pPr>
        <w:jc w:val="both"/>
        <w:rPr>
          <w:rFonts w:ascii="Verdana" w:hAnsi="Verdana"/>
          <w:color w:val="000000"/>
          <w:sz w:val="21"/>
          <w:szCs w:val="21"/>
        </w:rPr>
      </w:pPr>
      <w:r w:rsidRPr="00395F76">
        <w:rPr>
          <w:rFonts w:ascii="Verdana" w:hAnsi="Verdana"/>
          <w:color w:val="000000"/>
          <w:sz w:val="21"/>
          <w:szCs w:val="21"/>
        </w:rPr>
        <w:t xml:space="preserve">The Guidelines are intended to ensure that the workers’ compensation scheme under the SRC Act is </w:t>
      </w:r>
      <w:r w:rsidR="007D5B40">
        <w:rPr>
          <w:rFonts w:ascii="Verdana" w:hAnsi="Verdana"/>
          <w:color w:val="000000"/>
          <w:sz w:val="21"/>
          <w:szCs w:val="21"/>
        </w:rPr>
        <w:t xml:space="preserve">to be </w:t>
      </w:r>
      <w:r w:rsidRPr="00395F76">
        <w:rPr>
          <w:rFonts w:ascii="Verdana" w:hAnsi="Verdana"/>
          <w:color w:val="000000"/>
          <w:sz w:val="21"/>
          <w:szCs w:val="21"/>
        </w:rPr>
        <w:t xml:space="preserve">fully funded year-by-year, that </w:t>
      </w:r>
      <w:r w:rsidR="0070676E">
        <w:rPr>
          <w:rFonts w:ascii="Verdana" w:hAnsi="Verdana"/>
          <w:color w:val="000000"/>
          <w:sz w:val="21"/>
          <w:szCs w:val="21"/>
        </w:rPr>
        <w:t xml:space="preserve">the impact of claim performance and other variable costs on premiums must be transparent and explained to premium paying agencies, that </w:t>
      </w:r>
      <w:r w:rsidR="00F00FB0">
        <w:rPr>
          <w:rFonts w:ascii="Verdana" w:hAnsi="Verdana"/>
          <w:color w:val="000000"/>
          <w:sz w:val="21"/>
          <w:szCs w:val="21"/>
        </w:rPr>
        <w:t>indicative</w:t>
      </w:r>
      <w:r w:rsidR="0070676E">
        <w:rPr>
          <w:rFonts w:ascii="Verdana" w:hAnsi="Verdana"/>
          <w:color w:val="000000"/>
          <w:sz w:val="21"/>
          <w:szCs w:val="21"/>
        </w:rPr>
        <w:t xml:space="preserve"> rates for premiums should be advised to premium paying agencies in time for consideration in the context of </w:t>
      </w:r>
      <w:r w:rsidR="00F00FB0">
        <w:rPr>
          <w:rFonts w:ascii="Verdana" w:hAnsi="Verdana"/>
          <w:color w:val="000000"/>
          <w:sz w:val="21"/>
          <w:szCs w:val="21"/>
        </w:rPr>
        <w:t>agencies’</w:t>
      </w:r>
      <w:r w:rsidR="0070676E">
        <w:rPr>
          <w:rFonts w:ascii="Verdana" w:hAnsi="Verdana"/>
          <w:color w:val="000000"/>
          <w:sz w:val="21"/>
          <w:szCs w:val="21"/>
        </w:rPr>
        <w:t xml:space="preserve"> budgets for the following financial year, that significant changes to premiums methodology will be explained to premium paying agencies and that Comcare will report to the Commission each year on the performance of the system for </w:t>
      </w:r>
      <w:r w:rsidR="00F00FB0">
        <w:rPr>
          <w:rFonts w:ascii="Verdana" w:hAnsi="Verdana"/>
          <w:color w:val="000000"/>
          <w:sz w:val="21"/>
          <w:szCs w:val="21"/>
        </w:rPr>
        <w:t>determining</w:t>
      </w:r>
      <w:r w:rsidR="0070676E">
        <w:rPr>
          <w:rFonts w:ascii="Verdana" w:hAnsi="Verdana"/>
          <w:color w:val="000000"/>
          <w:sz w:val="21"/>
          <w:szCs w:val="21"/>
        </w:rPr>
        <w:t xml:space="preserve"> and collect</w:t>
      </w:r>
      <w:r w:rsidR="00F00FB0">
        <w:rPr>
          <w:rFonts w:ascii="Verdana" w:hAnsi="Verdana"/>
          <w:color w:val="000000"/>
          <w:sz w:val="21"/>
          <w:szCs w:val="21"/>
        </w:rPr>
        <w:t>ing</w:t>
      </w:r>
      <w:r w:rsidR="0070676E">
        <w:rPr>
          <w:rFonts w:ascii="Verdana" w:hAnsi="Verdana"/>
          <w:color w:val="000000"/>
          <w:sz w:val="21"/>
          <w:szCs w:val="21"/>
        </w:rPr>
        <w:t xml:space="preserve"> premiums.</w:t>
      </w:r>
      <w:r w:rsidR="0070676E" w:rsidRPr="00395F76" w:rsidDel="0070676E">
        <w:rPr>
          <w:rFonts w:ascii="Verdana" w:hAnsi="Verdana"/>
          <w:color w:val="000000"/>
          <w:sz w:val="21"/>
          <w:szCs w:val="21"/>
        </w:rPr>
        <w:t xml:space="preserve"> </w:t>
      </w:r>
      <w:r w:rsidRPr="000F7636">
        <w:rPr>
          <w:rFonts w:ascii="Verdana" w:hAnsi="Verdana"/>
          <w:strike/>
          <w:color w:val="000000"/>
          <w:sz w:val="21"/>
          <w:szCs w:val="21"/>
        </w:rPr>
        <w:t xml:space="preserve"> </w:t>
      </w:r>
    </w:p>
    <w:p w:rsidR="00395F76" w:rsidRPr="00395F76" w:rsidRDefault="00395F76" w:rsidP="003C05CD">
      <w:pPr>
        <w:jc w:val="both"/>
        <w:rPr>
          <w:rFonts w:ascii="Verdana" w:hAnsi="Verdana"/>
          <w:color w:val="000000"/>
          <w:sz w:val="21"/>
          <w:szCs w:val="21"/>
        </w:rPr>
      </w:pPr>
    </w:p>
    <w:p w:rsidR="003C05CD" w:rsidRPr="00395F76" w:rsidRDefault="003C05CD" w:rsidP="003C05CD">
      <w:pPr>
        <w:jc w:val="both"/>
        <w:rPr>
          <w:rFonts w:ascii="Verdana" w:hAnsi="Verdana"/>
          <w:color w:val="000000"/>
          <w:sz w:val="21"/>
          <w:szCs w:val="21"/>
        </w:rPr>
      </w:pPr>
      <w:r w:rsidRPr="00395F76">
        <w:rPr>
          <w:rFonts w:ascii="Verdana" w:hAnsi="Verdana"/>
          <w:color w:val="000000"/>
          <w:sz w:val="21"/>
          <w:szCs w:val="21"/>
        </w:rPr>
        <w:t xml:space="preserve">Section 97E of the SRC Act provides that the Safety, Rehabilitation and Compensation Commission (the Commission) may prepare and issue guidelines to the Chief Executive Officer of Comcare for that purpose.  </w:t>
      </w:r>
    </w:p>
    <w:p w:rsidR="003C05CD" w:rsidRPr="00395F76" w:rsidRDefault="003C05CD" w:rsidP="003C05CD">
      <w:pPr>
        <w:jc w:val="both"/>
        <w:rPr>
          <w:rFonts w:ascii="Verdana" w:hAnsi="Verdana"/>
          <w:color w:val="000000"/>
          <w:sz w:val="21"/>
          <w:szCs w:val="21"/>
        </w:rPr>
      </w:pPr>
    </w:p>
    <w:p w:rsidR="003C05CD" w:rsidRPr="00395F76" w:rsidRDefault="003C05CD" w:rsidP="003C05CD">
      <w:pPr>
        <w:jc w:val="both"/>
        <w:rPr>
          <w:rFonts w:ascii="Verdana" w:hAnsi="Verdana"/>
          <w:color w:val="000000"/>
          <w:sz w:val="21"/>
          <w:szCs w:val="21"/>
        </w:rPr>
      </w:pPr>
      <w:r w:rsidRPr="00395F76">
        <w:rPr>
          <w:rFonts w:ascii="Verdana" w:hAnsi="Verdana"/>
          <w:color w:val="000000"/>
          <w:sz w:val="21"/>
          <w:szCs w:val="21"/>
        </w:rPr>
        <w:t xml:space="preserve">The instrument is a legislative instrument within the meaning of the </w:t>
      </w:r>
      <w:r w:rsidRPr="00395F76">
        <w:rPr>
          <w:rFonts w:ascii="Verdana" w:hAnsi="Verdana"/>
          <w:i/>
          <w:color w:val="000000"/>
          <w:sz w:val="21"/>
          <w:szCs w:val="21"/>
        </w:rPr>
        <w:t>Legislative Instruments Act 2003</w:t>
      </w:r>
      <w:r w:rsidRPr="00395F76">
        <w:rPr>
          <w:rFonts w:ascii="Verdana" w:hAnsi="Verdana"/>
          <w:color w:val="000000"/>
          <w:sz w:val="21"/>
          <w:szCs w:val="21"/>
        </w:rPr>
        <w:t>.</w:t>
      </w:r>
    </w:p>
    <w:p w:rsidR="003C05CD" w:rsidRPr="00395F76" w:rsidRDefault="003C05CD" w:rsidP="003C05CD">
      <w:pPr>
        <w:jc w:val="both"/>
        <w:rPr>
          <w:rFonts w:ascii="Verdana" w:hAnsi="Verdana"/>
          <w:color w:val="000000"/>
          <w:sz w:val="21"/>
          <w:szCs w:val="21"/>
        </w:rPr>
      </w:pPr>
    </w:p>
    <w:p w:rsidR="00601F1C" w:rsidRPr="00395F76" w:rsidRDefault="003C05CD" w:rsidP="00601F1C">
      <w:pPr>
        <w:jc w:val="both"/>
        <w:rPr>
          <w:rFonts w:ascii="Verdana" w:hAnsi="Verdana"/>
          <w:color w:val="000000"/>
          <w:sz w:val="21"/>
          <w:szCs w:val="21"/>
        </w:rPr>
      </w:pPr>
      <w:r w:rsidRPr="00395F76">
        <w:rPr>
          <w:rFonts w:ascii="Verdana" w:hAnsi="Verdana"/>
          <w:color w:val="000000"/>
          <w:sz w:val="21"/>
          <w:szCs w:val="21"/>
        </w:rPr>
        <w:t>The instrument was developed by the Commission</w:t>
      </w:r>
      <w:r w:rsidR="008867BD" w:rsidRPr="00395F76">
        <w:rPr>
          <w:rFonts w:ascii="Verdana" w:hAnsi="Verdana"/>
          <w:color w:val="000000"/>
          <w:sz w:val="21"/>
          <w:szCs w:val="21"/>
        </w:rPr>
        <w:t xml:space="preserve"> in consultation with Comcare.  Given the purpose and limited scope of this interest and employee and employer representation on the Commission the instrument was not released for public consultation.</w:t>
      </w:r>
      <w:r w:rsidR="00601F1C" w:rsidRPr="00395F76">
        <w:rPr>
          <w:rFonts w:ascii="Verdana" w:hAnsi="Verdana"/>
          <w:color w:val="000000"/>
          <w:sz w:val="21"/>
          <w:szCs w:val="21"/>
        </w:rPr>
        <w:t xml:space="preserve">   </w:t>
      </w:r>
    </w:p>
    <w:p w:rsidR="00601F1C" w:rsidRPr="00395F76" w:rsidRDefault="00601F1C" w:rsidP="003C05CD">
      <w:pPr>
        <w:jc w:val="both"/>
        <w:rPr>
          <w:rFonts w:ascii="Verdana" w:hAnsi="Verdana"/>
          <w:color w:val="000000"/>
          <w:sz w:val="21"/>
          <w:szCs w:val="21"/>
        </w:rPr>
      </w:pPr>
    </w:p>
    <w:p w:rsidR="003F4B9D" w:rsidRPr="00395F76" w:rsidRDefault="003F4B9D" w:rsidP="003C05CD">
      <w:pPr>
        <w:jc w:val="both"/>
        <w:rPr>
          <w:rFonts w:ascii="Verdana" w:hAnsi="Verdana"/>
          <w:color w:val="000000"/>
          <w:sz w:val="21"/>
          <w:szCs w:val="21"/>
        </w:rPr>
      </w:pPr>
      <w:r w:rsidRPr="00395F76">
        <w:rPr>
          <w:rFonts w:ascii="Verdana" w:hAnsi="Verdana"/>
          <w:color w:val="000000"/>
          <w:sz w:val="21"/>
          <w:szCs w:val="21"/>
        </w:rPr>
        <w:t xml:space="preserve">As the relevant premium paying employers are public sector agencies the instrument has no impact on business and the non-profit sector and </w:t>
      </w:r>
      <w:r w:rsidR="00291100">
        <w:rPr>
          <w:rFonts w:ascii="Verdana" w:hAnsi="Verdana"/>
          <w:color w:val="000000"/>
          <w:sz w:val="21"/>
          <w:szCs w:val="21"/>
        </w:rPr>
        <w:t xml:space="preserve">the Office of Best Practice Regulation has advised </w:t>
      </w:r>
      <w:r w:rsidRPr="00395F76">
        <w:rPr>
          <w:rFonts w:ascii="Verdana" w:hAnsi="Verdana"/>
          <w:color w:val="000000"/>
          <w:sz w:val="21"/>
          <w:szCs w:val="21"/>
        </w:rPr>
        <w:t>no regulation impact statement was required.</w:t>
      </w:r>
    </w:p>
    <w:p w:rsidR="008867BD" w:rsidRPr="00395F76" w:rsidRDefault="008867BD" w:rsidP="003C05CD">
      <w:pPr>
        <w:jc w:val="both"/>
        <w:rPr>
          <w:rFonts w:ascii="Verdana" w:hAnsi="Verdana"/>
          <w:color w:val="000000"/>
          <w:sz w:val="21"/>
          <w:szCs w:val="21"/>
        </w:rPr>
      </w:pPr>
    </w:p>
    <w:p w:rsidR="003C05CD" w:rsidRPr="00601F1C" w:rsidRDefault="008867BD" w:rsidP="00395F76">
      <w:pPr>
        <w:jc w:val="both"/>
        <w:rPr>
          <w:rFonts w:ascii="Verdana" w:hAnsi="Verdana"/>
          <w:color w:val="000000"/>
          <w:sz w:val="22"/>
          <w:szCs w:val="22"/>
        </w:rPr>
      </w:pPr>
      <w:r w:rsidRPr="00395F76">
        <w:rPr>
          <w:rFonts w:ascii="Verdana" w:hAnsi="Verdana"/>
          <w:color w:val="000000"/>
          <w:sz w:val="21"/>
          <w:szCs w:val="21"/>
        </w:rPr>
        <w:t xml:space="preserve">The instrument </w:t>
      </w:r>
      <w:r w:rsidR="003F4B9D" w:rsidRPr="00395F76">
        <w:rPr>
          <w:rFonts w:ascii="Verdana" w:hAnsi="Verdana"/>
          <w:color w:val="000000"/>
          <w:sz w:val="21"/>
          <w:szCs w:val="21"/>
        </w:rPr>
        <w:t xml:space="preserve">does not </w:t>
      </w:r>
      <w:r w:rsidR="00AD454B">
        <w:rPr>
          <w:rFonts w:ascii="Verdana" w:hAnsi="Verdana"/>
          <w:color w:val="000000"/>
          <w:sz w:val="21"/>
          <w:szCs w:val="21"/>
        </w:rPr>
        <w:t>engage</w:t>
      </w:r>
      <w:r w:rsidR="00AD454B" w:rsidRPr="00395F76">
        <w:rPr>
          <w:rFonts w:ascii="Verdana" w:hAnsi="Verdana"/>
          <w:color w:val="000000"/>
          <w:sz w:val="21"/>
          <w:szCs w:val="21"/>
        </w:rPr>
        <w:t xml:space="preserve"> </w:t>
      </w:r>
      <w:r w:rsidR="003F4B9D" w:rsidRPr="00395F76">
        <w:rPr>
          <w:rFonts w:ascii="Verdana" w:hAnsi="Verdana"/>
          <w:color w:val="000000"/>
          <w:sz w:val="21"/>
          <w:szCs w:val="21"/>
        </w:rPr>
        <w:t xml:space="preserve">any human rights issues and is compatible with the human rights and freedoms recognised or declared in the international instruments listed in section 3 of the </w:t>
      </w:r>
      <w:r w:rsidR="003F4B9D" w:rsidRPr="00395F76">
        <w:rPr>
          <w:rFonts w:ascii="Verdana" w:hAnsi="Verdana"/>
          <w:i/>
          <w:color w:val="000000"/>
          <w:sz w:val="21"/>
          <w:szCs w:val="21"/>
        </w:rPr>
        <w:t>Human Rights (Parliamentary Scrutiny) Act 2011</w:t>
      </w:r>
      <w:r w:rsidR="003F4B9D" w:rsidRPr="00395F76">
        <w:rPr>
          <w:rFonts w:ascii="Verdana" w:hAnsi="Verdana"/>
          <w:color w:val="000000"/>
          <w:sz w:val="21"/>
          <w:szCs w:val="21"/>
        </w:rPr>
        <w:t>.</w:t>
      </w:r>
    </w:p>
    <w:sectPr w:rsidR="003C05CD" w:rsidRPr="00601F1C" w:rsidSect="000F7636">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86"/>
    <w:rsid w:val="00003B1C"/>
    <w:rsid w:val="00005D04"/>
    <w:rsid w:val="000063AF"/>
    <w:rsid w:val="000071DF"/>
    <w:rsid w:val="0001131F"/>
    <w:rsid w:val="00011C89"/>
    <w:rsid w:val="00011C8F"/>
    <w:rsid w:val="000149B5"/>
    <w:rsid w:val="000216B8"/>
    <w:rsid w:val="0002262F"/>
    <w:rsid w:val="00027096"/>
    <w:rsid w:val="00030882"/>
    <w:rsid w:val="00030EEA"/>
    <w:rsid w:val="00036ECA"/>
    <w:rsid w:val="000372E0"/>
    <w:rsid w:val="00041E12"/>
    <w:rsid w:val="000449BF"/>
    <w:rsid w:val="00044B67"/>
    <w:rsid w:val="00062927"/>
    <w:rsid w:val="00062A4C"/>
    <w:rsid w:val="00063C1E"/>
    <w:rsid w:val="00065701"/>
    <w:rsid w:val="0007201F"/>
    <w:rsid w:val="00072A8F"/>
    <w:rsid w:val="0007726E"/>
    <w:rsid w:val="000773C0"/>
    <w:rsid w:val="00081A76"/>
    <w:rsid w:val="000829E3"/>
    <w:rsid w:val="000857EB"/>
    <w:rsid w:val="000931B5"/>
    <w:rsid w:val="0009384A"/>
    <w:rsid w:val="0009415D"/>
    <w:rsid w:val="000A035D"/>
    <w:rsid w:val="000A2F59"/>
    <w:rsid w:val="000A2FA6"/>
    <w:rsid w:val="000A59E3"/>
    <w:rsid w:val="000A6D84"/>
    <w:rsid w:val="000B0191"/>
    <w:rsid w:val="000B1E6F"/>
    <w:rsid w:val="000B1EB6"/>
    <w:rsid w:val="000B6661"/>
    <w:rsid w:val="000C3D46"/>
    <w:rsid w:val="000C58D2"/>
    <w:rsid w:val="000D3EF5"/>
    <w:rsid w:val="000D4901"/>
    <w:rsid w:val="000D7BB9"/>
    <w:rsid w:val="000E0012"/>
    <w:rsid w:val="000E407D"/>
    <w:rsid w:val="000E41AB"/>
    <w:rsid w:val="000E5F53"/>
    <w:rsid w:val="000E748A"/>
    <w:rsid w:val="000F1CD9"/>
    <w:rsid w:val="000F3E42"/>
    <w:rsid w:val="000F40F1"/>
    <w:rsid w:val="000F6CA4"/>
    <w:rsid w:val="000F7636"/>
    <w:rsid w:val="000F7B1A"/>
    <w:rsid w:val="001000FC"/>
    <w:rsid w:val="00101039"/>
    <w:rsid w:val="00103E2B"/>
    <w:rsid w:val="0010686A"/>
    <w:rsid w:val="001071F2"/>
    <w:rsid w:val="001144FE"/>
    <w:rsid w:val="00116F71"/>
    <w:rsid w:val="00117B2E"/>
    <w:rsid w:val="00123C1E"/>
    <w:rsid w:val="00127AB1"/>
    <w:rsid w:val="001308DF"/>
    <w:rsid w:val="00135C2A"/>
    <w:rsid w:val="00140763"/>
    <w:rsid w:val="001422B6"/>
    <w:rsid w:val="00142C63"/>
    <w:rsid w:val="001431A8"/>
    <w:rsid w:val="0014432A"/>
    <w:rsid w:val="00144DB6"/>
    <w:rsid w:val="00150795"/>
    <w:rsid w:val="00150E22"/>
    <w:rsid w:val="001517C0"/>
    <w:rsid w:val="0015370A"/>
    <w:rsid w:val="00153A4C"/>
    <w:rsid w:val="001543F8"/>
    <w:rsid w:val="00155675"/>
    <w:rsid w:val="00156978"/>
    <w:rsid w:val="0016183F"/>
    <w:rsid w:val="00163D57"/>
    <w:rsid w:val="001654F2"/>
    <w:rsid w:val="001765C5"/>
    <w:rsid w:val="00176C36"/>
    <w:rsid w:val="00190EB5"/>
    <w:rsid w:val="001936AB"/>
    <w:rsid w:val="00196876"/>
    <w:rsid w:val="001A08A7"/>
    <w:rsid w:val="001A3F54"/>
    <w:rsid w:val="001A6ABE"/>
    <w:rsid w:val="001B42C2"/>
    <w:rsid w:val="001B5308"/>
    <w:rsid w:val="001B734C"/>
    <w:rsid w:val="001C380E"/>
    <w:rsid w:val="001C5F6B"/>
    <w:rsid w:val="001C6AED"/>
    <w:rsid w:val="001D245C"/>
    <w:rsid w:val="001D31F2"/>
    <w:rsid w:val="001D51F0"/>
    <w:rsid w:val="001D5D7F"/>
    <w:rsid w:val="001D6792"/>
    <w:rsid w:val="001E0976"/>
    <w:rsid w:val="001F0CDB"/>
    <w:rsid w:val="001F287D"/>
    <w:rsid w:val="001F7655"/>
    <w:rsid w:val="002038FD"/>
    <w:rsid w:val="00210CC5"/>
    <w:rsid w:val="00212F02"/>
    <w:rsid w:val="002157AA"/>
    <w:rsid w:val="002167F8"/>
    <w:rsid w:val="00216CA9"/>
    <w:rsid w:val="00223859"/>
    <w:rsid w:val="00223D8C"/>
    <w:rsid w:val="0022573B"/>
    <w:rsid w:val="00234621"/>
    <w:rsid w:val="002370B2"/>
    <w:rsid w:val="00237D59"/>
    <w:rsid w:val="00241640"/>
    <w:rsid w:val="00244FC7"/>
    <w:rsid w:val="00245D1C"/>
    <w:rsid w:val="00246DDF"/>
    <w:rsid w:val="00247755"/>
    <w:rsid w:val="00250194"/>
    <w:rsid w:val="002547FF"/>
    <w:rsid w:val="00254AD4"/>
    <w:rsid w:val="00265742"/>
    <w:rsid w:val="002707BE"/>
    <w:rsid w:val="00271BBA"/>
    <w:rsid w:val="002763B1"/>
    <w:rsid w:val="002764B1"/>
    <w:rsid w:val="00281EE5"/>
    <w:rsid w:val="00290C63"/>
    <w:rsid w:val="00291100"/>
    <w:rsid w:val="002A4A87"/>
    <w:rsid w:val="002A70C8"/>
    <w:rsid w:val="002B12EA"/>
    <w:rsid w:val="002C28E7"/>
    <w:rsid w:val="002C3752"/>
    <w:rsid w:val="002C7D56"/>
    <w:rsid w:val="002D1760"/>
    <w:rsid w:val="002D2A7E"/>
    <w:rsid w:val="002D38A3"/>
    <w:rsid w:val="002E0CCB"/>
    <w:rsid w:val="002E17BB"/>
    <w:rsid w:val="002E4FF5"/>
    <w:rsid w:val="002E7197"/>
    <w:rsid w:val="00303C71"/>
    <w:rsid w:val="00304C32"/>
    <w:rsid w:val="003077F7"/>
    <w:rsid w:val="00310DEA"/>
    <w:rsid w:val="00314E5A"/>
    <w:rsid w:val="003151E3"/>
    <w:rsid w:val="003176AA"/>
    <w:rsid w:val="00333B73"/>
    <w:rsid w:val="00333E64"/>
    <w:rsid w:val="0033431B"/>
    <w:rsid w:val="00336249"/>
    <w:rsid w:val="00340009"/>
    <w:rsid w:val="00345588"/>
    <w:rsid w:val="00345A69"/>
    <w:rsid w:val="00347E01"/>
    <w:rsid w:val="003527CC"/>
    <w:rsid w:val="00355719"/>
    <w:rsid w:val="0035704F"/>
    <w:rsid w:val="00363085"/>
    <w:rsid w:val="00370928"/>
    <w:rsid w:val="003724BA"/>
    <w:rsid w:val="003767A6"/>
    <w:rsid w:val="0038012E"/>
    <w:rsid w:val="00380143"/>
    <w:rsid w:val="0038234B"/>
    <w:rsid w:val="0039399F"/>
    <w:rsid w:val="00395F76"/>
    <w:rsid w:val="003A0001"/>
    <w:rsid w:val="003A7D93"/>
    <w:rsid w:val="003B125F"/>
    <w:rsid w:val="003B2E6D"/>
    <w:rsid w:val="003B5E6E"/>
    <w:rsid w:val="003B6707"/>
    <w:rsid w:val="003C05CD"/>
    <w:rsid w:val="003C0753"/>
    <w:rsid w:val="003E18D9"/>
    <w:rsid w:val="003E2B4E"/>
    <w:rsid w:val="003F19A5"/>
    <w:rsid w:val="003F1F87"/>
    <w:rsid w:val="003F4951"/>
    <w:rsid w:val="003F4B9D"/>
    <w:rsid w:val="00402797"/>
    <w:rsid w:val="004041D8"/>
    <w:rsid w:val="00404966"/>
    <w:rsid w:val="004053DF"/>
    <w:rsid w:val="00405EE9"/>
    <w:rsid w:val="00406A3B"/>
    <w:rsid w:val="004072F0"/>
    <w:rsid w:val="00407D3D"/>
    <w:rsid w:val="004137A2"/>
    <w:rsid w:val="00421F93"/>
    <w:rsid w:val="004224FF"/>
    <w:rsid w:val="0043204B"/>
    <w:rsid w:val="00436707"/>
    <w:rsid w:val="004428D7"/>
    <w:rsid w:val="004437AD"/>
    <w:rsid w:val="00443C36"/>
    <w:rsid w:val="0044446A"/>
    <w:rsid w:val="004475BC"/>
    <w:rsid w:val="0046208C"/>
    <w:rsid w:val="0046523A"/>
    <w:rsid w:val="00466923"/>
    <w:rsid w:val="0046766F"/>
    <w:rsid w:val="004713BE"/>
    <w:rsid w:val="00472EF7"/>
    <w:rsid w:val="004813C0"/>
    <w:rsid w:val="00482EB3"/>
    <w:rsid w:val="004836E9"/>
    <w:rsid w:val="00487040"/>
    <w:rsid w:val="00490E73"/>
    <w:rsid w:val="00493452"/>
    <w:rsid w:val="004A1413"/>
    <w:rsid w:val="004A1AA5"/>
    <w:rsid w:val="004A2022"/>
    <w:rsid w:val="004A66CF"/>
    <w:rsid w:val="004A6863"/>
    <w:rsid w:val="004B0263"/>
    <w:rsid w:val="004B2CC0"/>
    <w:rsid w:val="004B6C36"/>
    <w:rsid w:val="004B7125"/>
    <w:rsid w:val="004B7463"/>
    <w:rsid w:val="004B7578"/>
    <w:rsid w:val="004B7ECD"/>
    <w:rsid w:val="004C0DFC"/>
    <w:rsid w:val="004C5668"/>
    <w:rsid w:val="004C60A0"/>
    <w:rsid w:val="004C7C58"/>
    <w:rsid w:val="004D04B4"/>
    <w:rsid w:val="004D2E08"/>
    <w:rsid w:val="004D3DF7"/>
    <w:rsid w:val="004D47FC"/>
    <w:rsid w:val="004E1C86"/>
    <w:rsid w:val="004E2030"/>
    <w:rsid w:val="004E7BF9"/>
    <w:rsid w:val="004F2EE9"/>
    <w:rsid w:val="004F5AD2"/>
    <w:rsid w:val="0050057B"/>
    <w:rsid w:val="00502A39"/>
    <w:rsid w:val="0050436E"/>
    <w:rsid w:val="005047A4"/>
    <w:rsid w:val="00505347"/>
    <w:rsid w:val="00506267"/>
    <w:rsid w:val="00506737"/>
    <w:rsid w:val="005076FB"/>
    <w:rsid w:val="00510A72"/>
    <w:rsid w:val="00511B39"/>
    <w:rsid w:val="0051487E"/>
    <w:rsid w:val="00515146"/>
    <w:rsid w:val="00520ABD"/>
    <w:rsid w:val="00522865"/>
    <w:rsid w:val="00522D67"/>
    <w:rsid w:val="005237E2"/>
    <w:rsid w:val="00526688"/>
    <w:rsid w:val="00526ABF"/>
    <w:rsid w:val="00531B38"/>
    <w:rsid w:val="00542351"/>
    <w:rsid w:val="005430EE"/>
    <w:rsid w:val="005472A6"/>
    <w:rsid w:val="00547782"/>
    <w:rsid w:val="00547ADA"/>
    <w:rsid w:val="00551EE7"/>
    <w:rsid w:val="0055373F"/>
    <w:rsid w:val="00553CF3"/>
    <w:rsid w:val="005615BF"/>
    <w:rsid w:val="00561D5F"/>
    <w:rsid w:val="005626BD"/>
    <w:rsid w:val="00564BF4"/>
    <w:rsid w:val="00574524"/>
    <w:rsid w:val="005760EA"/>
    <w:rsid w:val="00576A58"/>
    <w:rsid w:val="005771B5"/>
    <w:rsid w:val="00580A67"/>
    <w:rsid w:val="00582BE1"/>
    <w:rsid w:val="005838B4"/>
    <w:rsid w:val="00583E9B"/>
    <w:rsid w:val="00590530"/>
    <w:rsid w:val="0059289C"/>
    <w:rsid w:val="0059604C"/>
    <w:rsid w:val="005A50D1"/>
    <w:rsid w:val="005C0915"/>
    <w:rsid w:val="005C1EAD"/>
    <w:rsid w:val="005D0104"/>
    <w:rsid w:val="005D05CA"/>
    <w:rsid w:val="005D1CC4"/>
    <w:rsid w:val="005D363E"/>
    <w:rsid w:val="005E0081"/>
    <w:rsid w:val="005E3EB7"/>
    <w:rsid w:val="005E7603"/>
    <w:rsid w:val="00601F1C"/>
    <w:rsid w:val="00607D53"/>
    <w:rsid w:val="006100BE"/>
    <w:rsid w:val="00615B11"/>
    <w:rsid w:val="006171B3"/>
    <w:rsid w:val="0062493C"/>
    <w:rsid w:val="006443A7"/>
    <w:rsid w:val="00647B46"/>
    <w:rsid w:val="00650E73"/>
    <w:rsid w:val="00664885"/>
    <w:rsid w:val="0067639B"/>
    <w:rsid w:val="00682E87"/>
    <w:rsid w:val="0068484F"/>
    <w:rsid w:val="00686180"/>
    <w:rsid w:val="00693F6B"/>
    <w:rsid w:val="006A6E4C"/>
    <w:rsid w:val="006A728F"/>
    <w:rsid w:val="006C0063"/>
    <w:rsid w:val="006C041B"/>
    <w:rsid w:val="006C4C5C"/>
    <w:rsid w:val="006D1F62"/>
    <w:rsid w:val="006E0080"/>
    <w:rsid w:val="006E128F"/>
    <w:rsid w:val="006E2C00"/>
    <w:rsid w:val="006E32CF"/>
    <w:rsid w:val="006E5CFD"/>
    <w:rsid w:val="006E6DA1"/>
    <w:rsid w:val="006E731C"/>
    <w:rsid w:val="006E758C"/>
    <w:rsid w:val="006F503C"/>
    <w:rsid w:val="006F7E88"/>
    <w:rsid w:val="00702E5A"/>
    <w:rsid w:val="00704641"/>
    <w:rsid w:val="007049D5"/>
    <w:rsid w:val="007050A9"/>
    <w:rsid w:val="0070676E"/>
    <w:rsid w:val="00707F90"/>
    <w:rsid w:val="007100CF"/>
    <w:rsid w:val="00710625"/>
    <w:rsid w:val="007110B7"/>
    <w:rsid w:val="00713495"/>
    <w:rsid w:val="00716F21"/>
    <w:rsid w:val="007223E4"/>
    <w:rsid w:val="0072292A"/>
    <w:rsid w:val="00723426"/>
    <w:rsid w:val="0072706F"/>
    <w:rsid w:val="007273CE"/>
    <w:rsid w:val="00731386"/>
    <w:rsid w:val="00744359"/>
    <w:rsid w:val="00750F97"/>
    <w:rsid w:val="00751E75"/>
    <w:rsid w:val="00752F5A"/>
    <w:rsid w:val="00765119"/>
    <w:rsid w:val="00771202"/>
    <w:rsid w:val="00771EA8"/>
    <w:rsid w:val="00771F4A"/>
    <w:rsid w:val="0077576A"/>
    <w:rsid w:val="00782AD9"/>
    <w:rsid w:val="0078321D"/>
    <w:rsid w:val="00784E39"/>
    <w:rsid w:val="0079215D"/>
    <w:rsid w:val="00792EDE"/>
    <w:rsid w:val="0079385B"/>
    <w:rsid w:val="00794BB5"/>
    <w:rsid w:val="0079511C"/>
    <w:rsid w:val="00796DB2"/>
    <w:rsid w:val="007A0E2F"/>
    <w:rsid w:val="007A3C84"/>
    <w:rsid w:val="007A53A5"/>
    <w:rsid w:val="007A6A88"/>
    <w:rsid w:val="007B324F"/>
    <w:rsid w:val="007B7204"/>
    <w:rsid w:val="007B7416"/>
    <w:rsid w:val="007C105F"/>
    <w:rsid w:val="007C25A7"/>
    <w:rsid w:val="007C2A1D"/>
    <w:rsid w:val="007C2BD1"/>
    <w:rsid w:val="007C3E7A"/>
    <w:rsid w:val="007C5437"/>
    <w:rsid w:val="007D1BF9"/>
    <w:rsid w:val="007D5253"/>
    <w:rsid w:val="007D5B40"/>
    <w:rsid w:val="007D7422"/>
    <w:rsid w:val="007E126F"/>
    <w:rsid w:val="007E1902"/>
    <w:rsid w:val="007E3818"/>
    <w:rsid w:val="007F0FA9"/>
    <w:rsid w:val="007F3054"/>
    <w:rsid w:val="008048E7"/>
    <w:rsid w:val="0080542E"/>
    <w:rsid w:val="008054B0"/>
    <w:rsid w:val="00810605"/>
    <w:rsid w:val="00812B31"/>
    <w:rsid w:val="00815F98"/>
    <w:rsid w:val="00822802"/>
    <w:rsid w:val="0082341B"/>
    <w:rsid w:val="00833F58"/>
    <w:rsid w:val="0084173E"/>
    <w:rsid w:val="00842146"/>
    <w:rsid w:val="00842EA9"/>
    <w:rsid w:val="00844FFC"/>
    <w:rsid w:val="00845754"/>
    <w:rsid w:val="00845F0A"/>
    <w:rsid w:val="008521DC"/>
    <w:rsid w:val="00855E03"/>
    <w:rsid w:val="00856884"/>
    <w:rsid w:val="0085795C"/>
    <w:rsid w:val="008608A2"/>
    <w:rsid w:val="00862F75"/>
    <w:rsid w:val="00866D31"/>
    <w:rsid w:val="008834CE"/>
    <w:rsid w:val="008867BD"/>
    <w:rsid w:val="00891EE4"/>
    <w:rsid w:val="00893164"/>
    <w:rsid w:val="00897A11"/>
    <w:rsid w:val="008A3B2D"/>
    <w:rsid w:val="008A4AAE"/>
    <w:rsid w:val="008A779A"/>
    <w:rsid w:val="008A7D16"/>
    <w:rsid w:val="008B0D2B"/>
    <w:rsid w:val="008C1188"/>
    <w:rsid w:val="008C16D5"/>
    <w:rsid w:val="008C1FFC"/>
    <w:rsid w:val="008C308F"/>
    <w:rsid w:val="008C3E6D"/>
    <w:rsid w:val="008C4836"/>
    <w:rsid w:val="008C60E2"/>
    <w:rsid w:val="008D7277"/>
    <w:rsid w:val="008D7CF1"/>
    <w:rsid w:val="008E0D80"/>
    <w:rsid w:val="008E4B6F"/>
    <w:rsid w:val="008E6833"/>
    <w:rsid w:val="008E6ED2"/>
    <w:rsid w:val="008F0BD5"/>
    <w:rsid w:val="008F1171"/>
    <w:rsid w:val="008F3B32"/>
    <w:rsid w:val="008F7DB1"/>
    <w:rsid w:val="00901392"/>
    <w:rsid w:val="009115D9"/>
    <w:rsid w:val="00911F03"/>
    <w:rsid w:val="0092162A"/>
    <w:rsid w:val="009222C9"/>
    <w:rsid w:val="009249B0"/>
    <w:rsid w:val="00926194"/>
    <w:rsid w:val="00932371"/>
    <w:rsid w:val="00932374"/>
    <w:rsid w:val="009347A5"/>
    <w:rsid w:val="00943039"/>
    <w:rsid w:val="0094695E"/>
    <w:rsid w:val="00950CD5"/>
    <w:rsid w:val="00962F2B"/>
    <w:rsid w:val="00970703"/>
    <w:rsid w:val="00973AE4"/>
    <w:rsid w:val="00975A6A"/>
    <w:rsid w:val="0098064B"/>
    <w:rsid w:val="00981743"/>
    <w:rsid w:val="00983254"/>
    <w:rsid w:val="00984D2B"/>
    <w:rsid w:val="00986A6A"/>
    <w:rsid w:val="00995820"/>
    <w:rsid w:val="009972DE"/>
    <w:rsid w:val="00997F43"/>
    <w:rsid w:val="009A5335"/>
    <w:rsid w:val="009A5DB7"/>
    <w:rsid w:val="009A7A30"/>
    <w:rsid w:val="009C0189"/>
    <w:rsid w:val="009C2ECA"/>
    <w:rsid w:val="009D1122"/>
    <w:rsid w:val="009D3102"/>
    <w:rsid w:val="009D4E25"/>
    <w:rsid w:val="009D6C59"/>
    <w:rsid w:val="009E24B9"/>
    <w:rsid w:val="009E30AA"/>
    <w:rsid w:val="009E50EE"/>
    <w:rsid w:val="009E5DD2"/>
    <w:rsid w:val="009E7923"/>
    <w:rsid w:val="009F24DA"/>
    <w:rsid w:val="009F6F87"/>
    <w:rsid w:val="00A02DFE"/>
    <w:rsid w:val="00A0756E"/>
    <w:rsid w:val="00A12FB4"/>
    <w:rsid w:val="00A1551C"/>
    <w:rsid w:val="00A15C54"/>
    <w:rsid w:val="00A204B5"/>
    <w:rsid w:val="00A2149A"/>
    <w:rsid w:val="00A24D99"/>
    <w:rsid w:val="00A2699C"/>
    <w:rsid w:val="00A27317"/>
    <w:rsid w:val="00A27563"/>
    <w:rsid w:val="00A304D8"/>
    <w:rsid w:val="00A33688"/>
    <w:rsid w:val="00A3667C"/>
    <w:rsid w:val="00A40828"/>
    <w:rsid w:val="00A449BF"/>
    <w:rsid w:val="00A46938"/>
    <w:rsid w:val="00A505D9"/>
    <w:rsid w:val="00A513F6"/>
    <w:rsid w:val="00A518E7"/>
    <w:rsid w:val="00A54509"/>
    <w:rsid w:val="00A54E3C"/>
    <w:rsid w:val="00A66718"/>
    <w:rsid w:val="00A70497"/>
    <w:rsid w:val="00A747FE"/>
    <w:rsid w:val="00A81EE7"/>
    <w:rsid w:val="00A8302C"/>
    <w:rsid w:val="00A97648"/>
    <w:rsid w:val="00AA0A69"/>
    <w:rsid w:val="00AB1149"/>
    <w:rsid w:val="00AB114E"/>
    <w:rsid w:val="00AB1BDC"/>
    <w:rsid w:val="00AB2A16"/>
    <w:rsid w:val="00AC0947"/>
    <w:rsid w:val="00AC1F86"/>
    <w:rsid w:val="00AC2860"/>
    <w:rsid w:val="00AC4747"/>
    <w:rsid w:val="00AC7171"/>
    <w:rsid w:val="00AD3789"/>
    <w:rsid w:val="00AD454B"/>
    <w:rsid w:val="00AD52AC"/>
    <w:rsid w:val="00AE1ED8"/>
    <w:rsid w:val="00AE271B"/>
    <w:rsid w:val="00AE6A96"/>
    <w:rsid w:val="00AF3A9F"/>
    <w:rsid w:val="00AF5688"/>
    <w:rsid w:val="00AF5B81"/>
    <w:rsid w:val="00B052DA"/>
    <w:rsid w:val="00B063FC"/>
    <w:rsid w:val="00B13197"/>
    <w:rsid w:val="00B136C4"/>
    <w:rsid w:val="00B17A57"/>
    <w:rsid w:val="00B237E4"/>
    <w:rsid w:val="00B276FF"/>
    <w:rsid w:val="00B27C4C"/>
    <w:rsid w:val="00B27E6E"/>
    <w:rsid w:val="00B3130F"/>
    <w:rsid w:val="00B31717"/>
    <w:rsid w:val="00B33067"/>
    <w:rsid w:val="00B343EA"/>
    <w:rsid w:val="00B36036"/>
    <w:rsid w:val="00B405E4"/>
    <w:rsid w:val="00B45E66"/>
    <w:rsid w:val="00B51D56"/>
    <w:rsid w:val="00B5311B"/>
    <w:rsid w:val="00B543B9"/>
    <w:rsid w:val="00B553F7"/>
    <w:rsid w:val="00B65A26"/>
    <w:rsid w:val="00B872C6"/>
    <w:rsid w:val="00B95453"/>
    <w:rsid w:val="00BA0682"/>
    <w:rsid w:val="00BA1DB8"/>
    <w:rsid w:val="00BB48C9"/>
    <w:rsid w:val="00BB55BF"/>
    <w:rsid w:val="00BC08EA"/>
    <w:rsid w:val="00BC47B2"/>
    <w:rsid w:val="00BC5E00"/>
    <w:rsid w:val="00BD0F5F"/>
    <w:rsid w:val="00BD3706"/>
    <w:rsid w:val="00BD417B"/>
    <w:rsid w:val="00BD477C"/>
    <w:rsid w:val="00BE193E"/>
    <w:rsid w:val="00BE461A"/>
    <w:rsid w:val="00BE7634"/>
    <w:rsid w:val="00BE7BB6"/>
    <w:rsid w:val="00BF1D17"/>
    <w:rsid w:val="00BF7056"/>
    <w:rsid w:val="00BF7269"/>
    <w:rsid w:val="00C02185"/>
    <w:rsid w:val="00C1730A"/>
    <w:rsid w:val="00C31E3F"/>
    <w:rsid w:val="00C32EE1"/>
    <w:rsid w:val="00C339D4"/>
    <w:rsid w:val="00C34A66"/>
    <w:rsid w:val="00C35E08"/>
    <w:rsid w:val="00C43645"/>
    <w:rsid w:val="00C462B0"/>
    <w:rsid w:val="00C4650C"/>
    <w:rsid w:val="00C50B02"/>
    <w:rsid w:val="00C52339"/>
    <w:rsid w:val="00C62807"/>
    <w:rsid w:val="00C730A6"/>
    <w:rsid w:val="00C766DD"/>
    <w:rsid w:val="00C825F8"/>
    <w:rsid w:val="00C82A7C"/>
    <w:rsid w:val="00C860B2"/>
    <w:rsid w:val="00C86EA3"/>
    <w:rsid w:val="00C97E64"/>
    <w:rsid w:val="00CA0466"/>
    <w:rsid w:val="00CA0557"/>
    <w:rsid w:val="00CA2283"/>
    <w:rsid w:val="00CA3EA0"/>
    <w:rsid w:val="00CA45FF"/>
    <w:rsid w:val="00CA69BF"/>
    <w:rsid w:val="00CA7608"/>
    <w:rsid w:val="00CB4DB7"/>
    <w:rsid w:val="00CC040C"/>
    <w:rsid w:val="00CC06C8"/>
    <w:rsid w:val="00CD140E"/>
    <w:rsid w:val="00CE07B9"/>
    <w:rsid w:val="00CF216D"/>
    <w:rsid w:val="00CF43C0"/>
    <w:rsid w:val="00CF5C11"/>
    <w:rsid w:val="00CF6F44"/>
    <w:rsid w:val="00CF723A"/>
    <w:rsid w:val="00D01C13"/>
    <w:rsid w:val="00D067D2"/>
    <w:rsid w:val="00D10032"/>
    <w:rsid w:val="00D10B84"/>
    <w:rsid w:val="00D11175"/>
    <w:rsid w:val="00D1542D"/>
    <w:rsid w:val="00D20BC1"/>
    <w:rsid w:val="00D22BC8"/>
    <w:rsid w:val="00D263AA"/>
    <w:rsid w:val="00D269D0"/>
    <w:rsid w:val="00D3127A"/>
    <w:rsid w:val="00D329B7"/>
    <w:rsid w:val="00D351C0"/>
    <w:rsid w:val="00D41CF6"/>
    <w:rsid w:val="00D42869"/>
    <w:rsid w:val="00D460C3"/>
    <w:rsid w:val="00D461F7"/>
    <w:rsid w:val="00D47102"/>
    <w:rsid w:val="00D477C4"/>
    <w:rsid w:val="00D47944"/>
    <w:rsid w:val="00D76ED0"/>
    <w:rsid w:val="00D815B4"/>
    <w:rsid w:val="00D81C35"/>
    <w:rsid w:val="00D83A4B"/>
    <w:rsid w:val="00D9193D"/>
    <w:rsid w:val="00DA089F"/>
    <w:rsid w:val="00DA3924"/>
    <w:rsid w:val="00DA4770"/>
    <w:rsid w:val="00DB1130"/>
    <w:rsid w:val="00DB46B3"/>
    <w:rsid w:val="00DB62FC"/>
    <w:rsid w:val="00DC1EBC"/>
    <w:rsid w:val="00DC22D1"/>
    <w:rsid w:val="00DC3EBF"/>
    <w:rsid w:val="00DE2AC2"/>
    <w:rsid w:val="00DF3794"/>
    <w:rsid w:val="00DF47A4"/>
    <w:rsid w:val="00E00A2B"/>
    <w:rsid w:val="00E01727"/>
    <w:rsid w:val="00E04AAD"/>
    <w:rsid w:val="00E11792"/>
    <w:rsid w:val="00E12DE5"/>
    <w:rsid w:val="00E2218B"/>
    <w:rsid w:val="00E228C0"/>
    <w:rsid w:val="00E259B2"/>
    <w:rsid w:val="00E263D5"/>
    <w:rsid w:val="00E32B17"/>
    <w:rsid w:val="00E336BE"/>
    <w:rsid w:val="00E401FC"/>
    <w:rsid w:val="00E44273"/>
    <w:rsid w:val="00E44B23"/>
    <w:rsid w:val="00E45503"/>
    <w:rsid w:val="00E515CF"/>
    <w:rsid w:val="00E51714"/>
    <w:rsid w:val="00E536D3"/>
    <w:rsid w:val="00E562D7"/>
    <w:rsid w:val="00E61AC5"/>
    <w:rsid w:val="00E64072"/>
    <w:rsid w:val="00E66DAA"/>
    <w:rsid w:val="00E673DE"/>
    <w:rsid w:val="00E710BD"/>
    <w:rsid w:val="00E74E52"/>
    <w:rsid w:val="00E77C12"/>
    <w:rsid w:val="00E83B81"/>
    <w:rsid w:val="00E85937"/>
    <w:rsid w:val="00E8696F"/>
    <w:rsid w:val="00E92354"/>
    <w:rsid w:val="00E93E63"/>
    <w:rsid w:val="00E961D7"/>
    <w:rsid w:val="00E966BB"/>
    <w:rsid w:val="00EA0674"/>
    <w:rsid w:val="00EA0902"/>
    <w:rsid w:val="00EB546A"/>
    <w:rsid w:val="00EB5679"/>
    <w:rsid w:val="00EB7221"/>
    <w:rsid w:val="00EC0AC5"/>
    <w:rsid w:val="00EC4B38"/>
    <w:rsid w:val="00EC553B"/>
    <w:rsid w:val="00EC6460"/>
    <w:rsid w:val="00ED27D1"/>
    <w:rsid w:val="00ED3413"/>
    <w:rsid w:val="00ED6B40"/>
    <w:rsid w:val="00EE3379"/>
    <w:rsid w:val="00EE3748"/>
    <w:rsid w:val="00EE736E"/>
    <w:rsid w:val="00EF028A"/>
    <w:rsid w:val="00EF07FB"/>
    <w:rsid w:val="00EF2675"/>
    <w:rsid w:val="00EF2A91"/>
    <w:rsid w:val="00EF3EAD"/>
    <w:rsid w:val="00EF6692"/>
    <w:rsid w:val="00F00B74"/>
    <w:rsid w:val="00F00FB0"/>
    <w:rsid w:val="00F026CE"/>
    <w:rsid w:val="00F03FDB"/>
    <w:rsid w:val="00F04B16"/>
    <w:rsid w:val="00F07DDA"/>
    <w:rsid w:val="00F10BFD"/>
    <w:rsid w:val="00F12A64"/>
    <w:rsid w:val="00F137AF"/>
    <w:rsid w:val="00F17928"/>
    <w:rsid w:val="00F17C0F"/>
    <w:rsid w:val="00F22A11"/>
    <w:rsid w:val="00F22F51"/>
    <w:rsid w:val="00F233E9"/>
    <w:rsid w:val="00F30BDE"/>
    <w:rsid w:val="00F3409A"/>
    <w:rsid w:val="00F34E62"/>
    <w:rsid w:val="00F523D9"/>
    <w:rsid w:val="00F52683"/>
    <w:rsid w:val="00F6616F"/>
    <w:rsid w:val="00F70C83"/>
    <w:rsid w:val="00F73963"/>
    <w:rsid w:val="00F76E59"/>
    <w:rsid w:val="00F822B3"/>
    <w:rsid w:val="00F9063E"/>
    <w:rsid w:val="00F929F3"/>
    <w:rsid w:val="00F95D1F"/>
    <w:rsid w:val="00F97315"/>
    <w:rsid w:val="00FA0FF4"/>
    <w:rsid w:val="00FA2557"/>
    <w:rsid w:val="00FA342A"/>
    <w:rsid w:val="00FB093D"/>
    <w:rsid w:val="00FB1EDD"/>
    <w:rsid w:val="00FD106F"/>
    <w:rsid w:val="00FD31DF"/>
    <w:rsid w:val="00FE04E3"/>
    <w:rsid w:val="00FE0842"/>
    <w:rsid w:val="00FE2DBB"/>
    <w:rsid w:val="00FE3C5D"/>
    <w:rsid w:val="00FE7937"/>
    <w:rsid w:val="00FF4F17"/>
    <w:rsid w:val="00FF7BCA"/>
    <w:rsid w:val="00FF7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100CF"/>
    <w:rPr>
      <w:sz w:val="16"/>
      <w:szCs w:val="16"/>
    </w:rPr>
  </w:style>
  <w:style w:type="paragraph" w:styleId="CommentText">
    <w:name w:val="annotation text"/>
    <w:basedOn w:val="Normal"/>
    <w:link w:val="CommentTextChar"/>
    <w:rsid w:val="007100CF"/>
    <w:rPr>
      <w:sz w:val="20"/>
      <w:szCs w:val="20"/>
    </w:rPr>
  </w:style>
  <w:style w:type="character" w:customStyle="1" w:styleId="CommentTextChar">
    <w:name w:val="Comment Text Char"/>
    <w:basedOn w:val="DefaultParagraphFont"/>
    <w:link w:val="CommentText"/>
    <w:rsid w:val="007100CF"/>
  </w:style>
  <w:style w:type="paragraph" w:styleId="CommentSubject">
    <w:name w:val="annotation subject"/>
    <w:basedOn w:val="CommentText"/>
    <w:next w:val="CommentText"/>
    <w:link w:val="CommentSubjectChar"/>
    <w:rsid w:val="007100CF"/>
    <w:rPr>
      <w:b/>
      <w:bCs/>
    </w:rPr>
  </w:style>
  <w:style w:type="character" w:customStyle="1" w:styleId="CommentSubjectChar">
    <w:name w:val="Comment Subject Char"/>
    <w:basedOn w:val="CommentTextChar"/>
    <w:link w:val="CommentSubject"/>
    <w:rsid w:val="007100CF"/>
    <w:rPr>
      <w:b/>
      <w:bCs/>
    </w:rPr>
  </w:style>
  <w:style w:type="paragraph" w:styleId="BalloonText">
    <w:name w:val="Balloon Text"/>
    <w:basedOn w:val="Normal"/>
    <w:link w:val="BalloonTextChar"/>
    <w:rsid w:val="007100CF"/>
    <w:rPr>
      <w:rFonts w:ascii="Tahoma" w:hAnsi="Tahoma" w:cs="Tahoma"/>
      <w:sz w:val="16"/>
      <w:szCs w:val="16"/>
    </w:rPr>
  </w:style>
  <w:style w:type="character" w:customStyle="1" w:styleId="BalloonTextChar">
    <w:name w:val="Balloon Text Char"/>
    <w:basedOn w:val="DefaultParagraphFont"/>
    <w:link w:val="BalloonText"/>
    <w:rsid w:val="00710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100CF"/>
    <w:rPr>
      <w:sz w:val="16"/>
      <w:szCs w:val="16"/>
    </w:rPr>
  </w:style>
  <w:style w:type="paragraph" w:styleId="CommentText">
    <w:name w:val="annotation text"/>
    <w:basedOn w:val="Normal"/>
    <w:link w:val="CommentTextChar"/>
    <w:rsid w:val="007100CF"/>
    <w:rPr>
      <w:sz w:val="20"/>
      <w:szCs w:val="20"/>
    </w:rPr>
  </w:style>
  <w:style w:type="character" w:customStyle="1" w:styleId="CommentTextChar">
    <w:name w:val="Comment Text Char"/>
    <w:basedOn w:val="DefaultParagraphFont"/>
    <w:link w:val="CommentText"/>
    <w:rsid w:val="007100CF"/>
  </w:style>
  <w:style w:type="paragraph" w:styleId="CommentSubject">
    <w:name w:val="annotation subject"/>
    <w:basedOn w:val="CommentText"/>
    <w:next w:val="CommentText"/>
    <w:link w:val="CommentSubjectChar"/>
    <w:rsid w:val="007100CF"/>
    <w:rPr>
      <w:b/>
      <w:bCs/>
    </w:rPr>
  </w:style>
  <w:style w:type="character" w:customStyle="1" w:styleId="CommentSubjectChar">
    <w:name w:val="Comment Subject Char"/>
    <w:basedOn w:val="CommentTextChar"/>
    <w:link w:val="CommentSubject"/>
    <w:rsid w:val="007100CF"/>
    <w:rPr>
      <w:b/>
      <w:bCs/>
    </w:rPr>
  </w:style>
  <w:style w:type="paragraph" w:styleId="BalloonText">
    <w:name w:val="Balloon Text"/>
    <w:basedOn w:val="Normal"/>
    <w:link w:val="BalloonTextChar"/>
    <w:rsid w:val="007100CF"/>
    <w:rPr>
      <w:rFonts w:ascii="Tahoma" w:hAnsi="Tahoma" w:cs="Tahoma"/>
      <w:sz w:val="16"/>
      <w:szCs w:val="16"/>
    </w:rPr>
  </w:style>
  <w:style w:type="character" w:customStyle="1" w:styleId="BalloonTextChar">
    <w:name w:val="Balloon Text Char"/>
    <w:basedOn w:val="DefaultParagraphFont"/>
    <w:link w:val="BalloonText"/>
    <w:rsid w:val="00710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92567">
      <w:bodyDiv w:val="1"/>
      <w:marLeft w:val="0"/>
      <w:marRight w:val="0"/>
      <w:marTop w:val="0"/>
      <w:marBottom w:val="0"/>
      <w:divBdr>
        <w:top w:val="none" w:sz="0" w:space="0" w:color="auto"/>
        <w:left w:val="none" w:sz="0" w:space="0" w:color="auto"/>
        <w:bottom w:val="none" w:sz="0" w:space="0" w:color="auto"/>
        <w:right w:val="none" w:sz="0" w:space="0" w:color="auto"/>
      </w:divBdr>
    </w:div>
    <w:div w:id="7850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COMCARE</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whitcombe.ken</dc:creator>
  <cp:lastModifiedBy>Doyle, Simone</cp:lastModifiedBy>
  <cp:revision>2</cp:revision>
  <dcterms:created xsi:type="dcterms:W3CDTF">2014-02-03T22:07:00Z</dcterms:created>
  <dcterms:modified xsi:type="dcterms:W3CDTF">2014-02-03T22:07:00Z</dcterms:modified>
</cp:coreProperties>
</file>