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04549" w14:textId="77777777" w:rsidR="00BB248C" w:rsidRPr="008B6C52" w:rsidRDefault="00FF45AE" w:rsidP="00BB248C">
      <w:bookmarkStart w:id="0" w:name="_Toc206822568"/>
      <w:r>
        <w:pict w14:anchorId="0AF0E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87pt" fillcolor="window">
            <v:imagedata r:id="rId9" o:title=""/>
          </v:shape>
        </w:pict>
      </w:r>
    </w:p>
    <w:p w14:paraId="68EECA0C" w14:textId="1AD1B0E2" w:rsidR="00BB248C" w:rsidRDefault="00BB248C" w:rsidP="00BB248C">
      <w:pPr>
        <w:pStyle w:val="Title"/>
        <w:pBdr>
          <w:bottom w:val="single" w:sz="4" w:space="5" w:color="auto"/>
        </w:pBdr>
      </w:pPr>
      <w:bookmarkStart w:id="1" w:name="Citation"/>
      <w:r>
        <w:t>Anti-Money Laundering and Counter-Terrorism Financing Rules Amendment Instrument 201</w:t>
      </w:r>
      <w:r w:rsidR="00D41126">
        <w:t>4</w:t>
      </w:r>
      <w:r w:rsidRPr="00C57DD4">
        <w:t xml:space="preserve"> (No. </w:t>
      </w:r>
      <w:r w:rsidR="00640355">
        <w:t>2</w:t>
      </w:r>
      <w:r w:rsidRPr="00C57DD4">
        <w:t>)</w:t>
      </w:r>
      <w:bookmarkEnd w:id="1"/>
    </w:p>
    <w:p w14:paraId="2BCA27F8" w14:textId="77777777" w:rsidR="00BB248C" w:rsidRPr="00831E19" w:rsidRDefault="00BB248C" w:rsidP="00BB248C">
      <w:pPr>
        <w:pBdr>
          <w:bottom w:val="single" w:sz="4" w:space="5" w:color="auto"/>
        </w:pBdr>
        <w:spacing w:before="480"/>
        <w:rPr>
          <w:rFonts w:ascii="Arial" w:hAnsi="Arial" w:cs="Arial"/>
          <w:b/>
        </w:rPr>
      </w:pPr>
      <w:r>
        <w:rPr>
          <w:rFonts w:ascii="Arial" w:hAnsi="Arial" w:cs="Arial"/>
          <w:i/>
          <w:sz w:val="28"/>
          <w:szCs w:val="28"/>
        </w:rPr>
        <w:t>Anti-Money Laundering and Counter-Terrorism Financing Act 2006</w:t>
      </w:r>
    </w:p>
    <w:p w14:paraId="056C275E" w14:textId="370A3E8D" w:rsidR="00BB248C" w:rsidRPr="00C40535" w:rsidRDefault="00BB248C" w:rsidP="00BB248C">
      <w:pPr>
        <w:spacing w:before="360"/>
        <w:jc w:val="both"/>
        <w:rPr>
          <w:rFonts w:ascii="Times New Roman" w:hAnsi="Times New Roman"/>
          <w:sz w:val="24"/>
        </w:rPr>
      </w:pPr>
      <w:r w:rsidRPr="00C40535">
        <w:rPr>
          <w:rFonts w:ascii="Times New Roman" w:hAnsi="Times New Roman"/>
          <w:sz w:val="24"/>
        </w:rPr>
        <w:t xml:space="preserve">I, </w:t>
      </w:r>
      <w:r w:rsidR="009F4E39">
        <w:rPr>
          <w:rFonts w:ascii="Times New Roman" w:hAnsi="Times New Roman"/>
          <w:sz w:val="24"/>
        </w:rPr>
        <w:t>John Lance Schmidt</w:t>
      </w:r>
      <w:r>
        <w:rPr>
          <w:rFonts w:ascii="Times New Roman" w:hAnsi="Times New Roman"/>
          <w:sz w:val="24"/>
        </w:rPr>
        <w:t xml:space="preserve">, </w:t>
      </w:r>
      <w:r w:rsidRPr="00C40535">
        <w:rPr>
          <w:rFonts w:ascii="Times New Roman" w:hAnsi="Times New Roman"/>
          <w:sz w:val="24"/>
        </w:rPr>
        <w:t xml:space="preserve">Chief Executive Officer, Australian Transaction Reports and Analysis Centre, make this Instrument under section 229 of the </w:t>
      </w:r>
      <w:r w:rsidRPr="00C40535">
        <w:rPr>
          <w:rFonts w:ascii="Times New Roman" w:hAnsi="Times New Roman"/>
          <w:i/>
          <w:sz w:val="24"/>
        </w:rPr>
        <w:t>Anti-Money Laundering and Counter-Terrorism Financing Act 2006</w:t>
      </w:r>
      <w:r w:rsidR="00FE2FF5">
        <w:rPr>
          <w:rFonts w:ascii="Times New Roman" w:hAnsi="Times New Roman"/>
          <w:sz w:val="24"/>
        </w:rPr>
        <w:t>.</w:t>
      </w:r>
    </w:p>
    <w:p w14:paraId="212F058F" w14:textId="77777777" w:rsidR="00BB248C" w:rsidRPr="00C40535" w:rsidRDefault="00BB248C" w:rsidP="00BB248C">
      <w:pPr>
        <w:autoSpaceDE w:val="0"/>
        <w:autoSpaceDN w:val="0"/>
        <w:adjustRightInd w:val="0"/>
        <w:rPr>
          <w:rFonts w:ascii="Times New Roman" w:hAnsi="Times New Roman"/>
          <w:sz w:val="24"/>
        </w:rPr>
      </w:pPr>
      <w:bookmarkStart w:id="2" w:name="Minister"/>
    </w:p>
    <w:p w14:paraId="23F51292" w14:textId="731E4FE4" w:rsidR="00BB248C" w:rsidRDefault="00C7693E" w:rsidP="00750F8D">
      <w:pPr>
        <w:tabs>
          <w:tab w:val="left" w:pos="3686"/>
        </w:tabs>
        <w:autoSpaceDE w:val="0"/>
        <w:autoSpaceDN w:val="0"/>
        <w:adjustRightInd w:val="0"/>
        <w:rPr>
          <w:rFonts w:ascii="Times New Roman" w:hAnsi="Times New Roman"/>
          <w:sz w:val="24"/>
        </w:rPr>
      </w:pPr>
      <w:r>
        <w:rPr>
          <w:rFonts w:ascii="Times New Roman" w:hAnsi="Times New Roman"/>
          <w:sz w:val="24"/>
        </w:rPr>
        <w:t>Dated</w:t>
      </w:r>
      <w:r w:rsidR="00341BAB">
        <w:rPr>
          <w:rFonts w:ascii="Times New Roman" w:hAnsi="Times New Roman"/>
          <w:sz w:val="24"/>
        </w:rPr>
        <w:t xml:space="preserve"> </w:t>
      </w:r>
      <w:r w:rsidR="00914CA6" w:rsidRPr="00914CA6">
        <w:rPr>
          <w:rFonts w:ascii="Times New Roman" w:hAnsi="Times New Roman"/>
          <w:b/>
          <w:sz w:val="24"/>
        </w:rPr>
        <w:t>25 January 2014</w:t>
      </w:r>
    </w:p>
    <w:p w14:paraId="0BD639CB" w14:textId="77777777" w:rsidR="00BB248C" w:rsidRPr="00C40535" w:rsidRDefault="00BB248C" w:rsidP="00BB248C">
      <w:pPr>
        <w:autoSpaceDE w:val="0"/>
        <w:autoSpaceDN w:val="0"/>
        <w:adjustRightInd w:val="0"/>
        <w:rPr>
          <w:rFonts w:ascii="Times New Roman" w:hAnsi="Times New Roman"/>
          <w:sz w:val="24"/>
        </w:rPr>
      </w:pPr>
    </w:p>
    <w:p w14:paraId="3473D08D" w14:textId="77777777" w:rsidR="00BB248C" w:rsidRPr="00C40535" w:rsidRDefault="00BB248C" w:rsidP="00BB248C">
      <w:pPr>
        <w:autoSpaceDE w:val="0"/>
        <w:autoSpaceDN w:val="0"/>
        <w:adjustRightInd w:val="0"/>
        <w:rPr>
          <w:rFonts w:ascii="Times New Roman" w:hAnsi="Times New Roman"/>
          <w:sz w:val="24"/>
        </w:rPr>
      </w:pPr>
    </w:p>
    <w:p w14:paraId="5A1486B7" w14:textId="6CEBDD0E" w:rsidR="00BB248C" w:rsidRPr="00914CA6" w:rsidRDefault="00914CA6" w:rsidP="00BB248C">
      <w:pPr>
        <w:autoSpaceDE w:val="0"/>
        <w:autoSpaceDN w:val="0"/>
        <w:adjustRightInd w:val="0"/>
        <w:rPr>
          <w:rFonts w:ascii="Times New Roman" w:hAnsi="Times New Roman"/>
          <w:b/>
          <w:sz w:val="24"/>
        </w:rPr>
      </w:pPr>
      <w:r>
        <w:rPr>
          <w:rFonts w:ascii="Times New Roman" w:hAnsi="Times New Roman"/>
          <w:b/>
          <w:sz w:val="24"/>
        </w:rPr>
        <w:t>[Signed]</w:t>
      </w:r>
    </w:p>
    <w:p w14:paraId="06354A3F" w14:textId="77777777" w:rsidR="009F4E39" w:rsidRPr="00C40535" w:rsidRDefault="009F4E39" w:rsidP="00BB248C">
      <w:pPr>
        <w:autoSpaceDE w:val="0"/>
        <w:autoSpaceDN w:val="0"/>
        <w:adjustRightInd w:val="0"/>
        <w:rPr>
          <w:rFonts w:ascii="Times New Roman" w:hAnsi="Times New Roman"/>
          <w:sz w:val="24"/>
        </w:rPr>
      </w:pPr>
      <w:bookmarkStart w:id="3" w:name="_GoBack"/>
      <w:bookmarkEnd w:id="3"/>
    </w:p>
    <w:p w14:paraId="456E13D9" w14:textId="77777777" w:rsidR="00897093" w:rsidRDefault="00897093" w:rsidP="00BB248C">
      <w:pPr>
        <w:pBdr>
          <w:bottom w:val="single" w:sz="4" w:space="12" w:color="auto"/>
        </w:pBdr>
        <w:tabs>
          <w:tab w:val="left" w:pos="3119"/>
        </w:tabs>
        <w:spacing w:line="300" w:lineRule="atLeast"/>
        <w:rPr>
          <w:rFonts w:ascii="Times New Roman" w:hAnsi="Times New Roman"/>
          <w:sz w:val="24"/>
        </w:rPr>
      </w:pPr>
    </w:p>
    <w:p w14:paraId="2AFC582E" w14:textId="77777777" w:rsidR="00BB248C" w:rsidRDefault="009F4E39" w:rsidP="00BB248C">
      <w:pPr>
        <w:pBdr>
          <w:bottom w:val="single" w:sz="4" w:space="12" w:color="auto"/>
        </w:pBdr>
        <w:tabs>
          <w:tab w:val="left" w:pos="3119"/>
        </w:tabs>
        <w:spacing w:line="300" w:lineRule="atLeast"/>
        <w:rPr>
          <w:rFonts w:ascii="Times New Roman" w:hAnsi="Times New Roman"/>
          <w:sz w:val="24"/>
        </w:rPr>
      </w:pPr>
      <w:r>
        <w:rPr>
          <w:rFonts w:ascii="Times New Roman" w:hAnsi="Times New Roman"/>
          <w:sz w:val="24"/>
        </w:rPr>
        <w:t>John Lance Schmidt</w:t>
      </w:r>
    </w:p>
    <w:p w14:paraId="2DCFA937" w14:textId="77777777" w:rsidR="00897093" w:rsidRDefault="00BB248C" w:rsidP="00BB248C">
      <w:pPr>
        <w:pBdr>
          <w:bottom w:val="single" w:sz="4" w:space="12" w:color="auto"/>
        </w:pBdr>
        <w:tabs>
          <w:tab w:val="left" w:pos="3119"/>
        </w:tabs>
        <w:spacing w:line="300" w:lineRule="atLeast"/>
        <w:rPr>
          <w:rFonts w:ascii="Times New Roman" w:hAnsi="Times New Roman"/>
          <w:sz w:val="24"/>
        </w:rPr>
      </w:pPr>
      <w:r w:rsidRPr="00C40535">
        <w:rPr>
          <w:rFonts w:ascii="Times New Roman" w:hAnsi="Times New Roman"/>
          <w:sz w:val="24"/>
        </w:rPr>
        <w:t>Chief Executive Officer</w:t>
      </w:r>
    </w:p>
    <w:p w14:paraId="129B67EB" w14:textId="77777777" w:rsidR="00BB248C" w:rsidRPr="00C40535" w:rsidRDefault="00BB248C" w:rsidP="00BB248C">
      <w:pPr>
        <w:pBdr>
          <w:bottom w:val="single" w:sz="4" w:space="12" w:color="auto"/>
        </w:pBdr>
        <w:tabs>
          <w:tab w:val="left" w:pos="3119"/>
        </w:tabs>
        <w:spacing w:line="300" w:lineRule="atLeast"/>
        <w:rPr>
          <w:rFonts w:ascii="Times New Roman" w:hAnsi="Times New Roman"/>
          <w:sz w:val="24"/>
        </w:rPr>
      </w:pPr>
      <w:r w:rsidRPr="00C40535">
        <w:rPr>
          <w:rFonts w:ascii="Times New Roman" w:hAnsi="Times New Roman"/>
          <w:sz w:val="24"/>
        </w:rPr>
        <w:t>Australian Transaction Reports and Analysis Centre</w:t>
      </w:r>
      <w:bookmarkEnd w:id="2"/>
    </w:p>
    <w:p w14:paraId="6EEE5A0A" w14:textId="77777777" w:rsidR="00BB248C" w:rsidRDefault="00BB248C" w:rsidP="00BB248C">
      <w:pPr>
        <w:pBdr>
          <w:bottom w:val="single" w:sz="4" w:space="12" w:color="auto"/>
        </w:pBdr>
        <w:tabs>
          <w:tab w:val="left" w:pos="3119"/>
        </w:tabs>
        <w:spacing w:line="300" w:lineRule="atLeast"/>
      </w:pPr>
      <w:r>
        <w:br w:type="page"/>
      </w:r>
    </w:p>
    <w:p w14:paraId="49013043" w14:textId="77777777" w:rsidR="00BB248C" w:rsidRDefault="00BB248C" w:rsidP="000C52C6">
      <w:pPr>
        <w:pStyle w:val="HR"/>
        <w:ind w:left="900" w:hanging="900"/>
      </w:pPr>
      <w:r>
        <w:t>1</w:t>
      </w:r>
      <w:r>
        <w:tab/>
        <w:t>Name of Instrument</w:t>
      </w:r>
    </w:p>
    <w:p w14:paraId="4DA55321" w14:textId="3DE25F7F" w:rsidR="00BB248C" w:rsidRDefault="00BB248C" w:rsidP="00890E41">
      <w:pPr>
        <w:pStyle w:val="R1"/>
        <w:tabs>
          <w:tab w:val="clear" w:pos="794"/>
        </w:tabs>
        <w:spacing w:before="100" w:beforeAutospacing="1"/>
        <w:ind w:left="900" w:firstLine="0"/>
        <w:jc w:val="left"/>
      </w:pPr>
      <w:r>
        <w:t>This Instrument is the</w:t>
      </w:r>
      <w:r w:rsidRPr="00890E41">
        <w:t xml:space="preserve"> </w:t>
      </w:r>
      <w:r w:rsidRPr="00890E41">
        <w:rPr>
          <w:i/>
        </w:rPr>
        <w:t>Anti-Money Laundering and Counter-Terrorism Financing Rules Amendment Instrument 201</w:t>
      </w:r>
      <w:r w:rsidR="00D41126" w:rsidRPr="00890E41">
        <w:rPr>
          <w:i/>
        </w:rPr>
        <w:t>4</w:t>
      </w:r>
      <w:r w:rsidRPr="00890E41">
        <w:rPr>
          <w:i/>
        </w:rPr>
        <w:t xml:space="preserve"> (No. </w:t>
      </w:r>
      <w:r w:rsidR="0021158D" w:rsidRPr="00890E41">
        <w:rPr>
          <w:i/>
        </w:rPr>
        <w:t>2</w:t>
      </w:r>
      <w:r w:rsidRPr="00890E41">
        <w:rPr>
          <w:i/>
        </w:rPr>
        <w:t>)</w:t>
      </w:r>
      <w:r w:rsidRPr="00C57DD4">
        <w:t>.</w:t>
      </w:r>
    </w:p>
    <w:p w14:paraId="5A72FC31" w14:textId="77777777" w:rsidR="00BB248C" w:rsidRDefault="00BB248C" w:rsidP="000C52C6">
      <w:pPr>
        <w:pStyle w:val="HR"/>
        <w:ind w:left="900" w:hanging="900"/>
      </w:pPr>
      <w:r>
        <w:t>2</w:t>
      </w:r>
      <w:r>
        <w:tab/>
        <w:t xml:space="preserve">Commencement </w:t>
      </w:r>
    </w:p>
    <w:p w14:paraId="0841D087" w14:textId="77777777" w:rsidR="00363AB7" w:rsidRDefault="00B130FC" w:rsidP="00363AB7">
      <w:pPr>
        <w:pStyle w:val="R1"/>
        <w:tabs>
          <w:tab w:val="clear" w:pos="794"/>
        </w:tabs>
        <w:spacing w:before="100" w:beforeAutospacing="1"/>
        <w:ind w:left="1620" w:hanging="720"/>
      </w:pPr>
      <w:r>
        <w:t>T</w:t>
      </w:r>
      <w:r w:rsidR="00BB248C" w:rsidRPr="00F3796A">
        <w:t>his Instrument commences</w:t>
      </w:r>
      <w:r w:rsidR="00363AB7">
        <w:t xml:space="preserve"> </w:t>
      </w:r>
      <w:r w:rsidR="00BB248C" w:rsidRPr="00F3796A">
        <w:t>on the day after it is registered</w:t>
      </w:r>
      <w:r w:rsidR="00184BEF">
        <w:t>.</w:t>
      </w:r>
    </w:p>
    <w:p w14:paraId="5FE96DA9" w14:textId="77777777" w:rsidR="00363AB7" w:rsidRPr="00363AB7" w:rsidRDefault="00363AB7" w:rsidP="00363AB7">
      <w:pPr>
        <w:rPr>
          <w:lang w:eastAsia="en-AU"/>
        </w:rPr>
      </w:pPr>
    </w:p>
    <w:p w14:paraId="1920C317" w14:textId="77777777" w:rsidR="00BB248C" w:rsidRPr="00E84C52" w:rsidRDefault="00BB248C" w:rsidP="00901C40">
      <w:pPr>
        <w:pStyle w:val="paragraph"/>
        <w:tabs>
          <w:tab w:val="left" w:pos="900"/>
        </w:tabs>
        <w:ind w:left="0" w:firstLine="0"/>
        <w:rPr>
          <w:rFonts w:ascii="Arial" w:hAnsi="Arial" w:cs="Arial"/>
          <w:b/>
          <w:sz w:val="24"/>
        </w:rPr>
      </w:pPr>
      <w:r w:rsidRPr="00E84C52">
        <w:rPr>
          <w:rFonts w:ascii="Arial" w:hAnsi="Arial" w:cs="Arial"/>
          <w:b/>
          <w:sz w:val="24"/>
        </w:rPr>
        <w:t>3</w:t>
      </w:r>
      <w:r w:rsidRPr="00E84C52">
        <w:rPr>
          <w:rFonts w:ascii="Arial" w:hAnsi="Arial" w:cs="Arial"/>
          <w:b/>
          <w:sz w:val="24"/>
        </w:rPr>
        <w:tab/>
        <w:t xml:space="preserve">Amendment </w:t>
      </w:r>
    </w:p>
    <w:p w14:paraId="18E902E7" w14:textId="4F520210" w:rsidR="00363AB7" w:rsidRPr="00363AB7" w:rsidRDefault="00BB248C" w:rsidP="00C92E0E">
      <w:pPr>
        <w:pStyle w:val="R1"/>
        <w:tabs>
          <w:tab w:val="clear" w:pos="794"/>
        </w:tabs>
        <w:spacing w:before="100" w:beforeAutospacing="1"/>
        <w:ind w:left="900" w:firstLine="0"/>
        <w:jc w:val="left"/>
      </w:pPr>
      <w:r>
        <w:t>Schedule 1</w:t>
      </w:r>
      <w:r w:rsidR="00363AB7">
        <w:t xml:space="preserve"> </w:t>
      </w:r>
      <w:r w:rsidR="00AD083A">
        <w:t>amend</w:t>
      </w:r>
      <w:r w:rsidR="0021158D">
        <w:t>s</w:t>
      </w:r>
      <w:r w:rsidR="00AD083A">
        <w:t xml:space="preserve"> </w:t>
      </w:r>
      <w:r>
        <w:t xml:space="preserve">the </w:t>
      </w:r>
      <w:r w:rsidRPr="00394CCD">
        <w:rPr>
          <w:i/>
        </w:rPr>
        <w:t>Anti-Money Laundering and Counter-Terrorism Financing Rules</w:t>
      </w:r>
      <w:r>
        <w:rPr>
          <w:i/>
        </w:rPr>
        <w:t xml:space="preserve"> Instrument 2007</w:t>
      </w:r>
      <w:r w:rsidRPr="00394CCD">
        <w:rPr>
          <w:i/>
        </w:rPr>
        <w:t xml:space="preserve"> (No.</w:t>
      </w:r>
      <w:r>
        <w:rPr>
          <w:i/>
        </w:rPr>
        <w:t xml:space="preserve"> 1</w:t>
      </w:r>
      <w:r w:rsidRPr="00394CCD">
        <w:rPr>
          <w:i/>
        </w:rPr>
        <w:t>)</w:t>
      </w:r>
      <w:r>
        <w:t>.</w:t>
      </w:r>
      <w:r w:rsidRPr="00F3796A">
        <w:rPr>
          <w:i/>
        </w:rPr>
        <w:tab/>
      </w:r>
    </w:p>
    <w:p w14:paraId="3E211E93" w14:textId="77777777" w:rsidR="00BB248C" w:rsidRPr="00A47DBE" w:rsidRDefault="00BB248C" w:rsidP="00BB248C">
      <w:pPr>
        <w:pStyle w:val="R1"/>
        <w:tabs>
          <w:tab w:val="left" w:pos="900"/>
        </w:tabs>
        <w:spacing w:before="100" w:beforeAutospacing="1"/>
        <w:ind w:left="900" w:firstLine="0"/>
      </w:pPr>
      <w:r>
        <w:tab/>
      </w:r>
    </w:p>
    <w:p w14:paraId="179ED242" w14:textId="77777777" w:rsidR="00700909" w:rsidRDefault="00700909" w:rsidP="00700909">
      <w:pPr>
        <w:pStyle w:val="AS"/>
        <w:spacing w:before="100" w:beforeAutospacing="1"/>
        <w:rPr>
          <w:sz w:val="24"/>
        </w:rPr>
      </w:pPr>
      <w:r w:rsidRPr="00E626A4">
        <w:rPr>
          <w:sz w:val="28"/>
          <w:szCs w:val="28"/>
        </w:rPr>
        <w:t xml:space="preserve">Schedule </w:t>
      </w:r>
      <w:r>
        <w:rPr>
          <w:sz w:val="28"/>
          <w:szCs w:val="28"/>
        </w:rPr>
        <w:t>1</w:t>
      </w:r>
      <w:r w:rsidRPr="009B1EB4">
        <w:rPr>
          <w:sz w:val="24"/>
        </w:rPr>
        <w:tab/>
        <w:t>Amendment</w:t>
      </w:r>
      <w:r>
        <w:rPr>
          <w:sz w:val="24"/>
        </w:rPr>
        <w:t xml:space="preserve"> of the </w:t>
      </w:r>
      <w:r w:rsidRPr="00A47DBE">
        <w:rPr>
          <w:i/>
          <w:sz w:val="24"/>
        </w:rPr>
        <w:t>Anti-Money Laundering and Counter-Terrorism Financing Rules</w:t>
      </w:r>
      <w:r>
        <w:rPr>
          <w:i/>
          <w:sz w:val="24"/>
        </w:rPr>
        <w:t xml:space="preserve"> </w:t>
      </w:r>
      <w:r w:rsidRPr="00A47DBE">
        <w:rPr>
          <w:i/>
          <w:sz w:val="24"/>
        </w:rPr>
        <w:t>Instrument 20</w:t>
      </w:r>
      <w:r>
        <w:rPr>
          <w:i/>
          <w:sz w:val="24"/>
        </w:rPr>
        <w:t>07 (No. 1</w:t>
      </w:r>
      <w:r w:rsidRPr="00A47DBE">
        <w:rPr>
          <w:i/>
          <w:sz w:val="24"/>
        </w:rPr>
        <w:t>)</w:t>
      </w:r>
      <w:r w:rsidRPr="00A47DBE">
        <w:rPr>
          <w:sz w:val="24"/>
        </w:rPr>
        <w:t>.</w:t>
      </w:r>
    </w:p>
    <w:p w14:paraId="42F4F42F" w14:textId="77777777" w:rsidR="00700909" w:rsidRDefault="00700909" w:rsidP="00700909">
      <w:pPr>
        <w:tabs>
          <w:tab w:val="left" w:pos="1800"/>
        </w:tabs>
        <w:rPr>
          <w:rFonts w:ascii="Times New Roman" w:hAnsi="Times New Roman"/>
          <w:sz w:val="24"/>
        </w:rPr>
      </w:pPr>
    </w:p>
    <w:p w14:paraId="4A48907B" w14:textId="071D685B" w:rsidR="009970DE" w:rsidRPr="009970DE" w:rsidRDefault="009970DE" w:rsidP="009970DE">
      <w:pPr>
        <w:tabs>
          <w:tab w:val="left" w:pos="720"/>
        </w:tabs>
        <w:rPr>
          <w:rFonts w:ascii="Arial" w:hAnsi="Arial" w:cs="Arial"/>
          <w:b/>
          <w:sz w:val="28"/>
          <w:szCs w:val="28"/>
        </w:rPr>
      </w:pPr>
      <w:r w:rsidRPr="009970DE">
        <w:rPr>
          <w:rFonts w:ascii="Arial" w:hAnsi="Arial" w:cs="Arial"/>
          <w:b/>
          <w:sz w:val="28"/>
          <w:szCs w:val="28"/>
        </w:rPr>
        <w:t>1.</w:t>
      </w:r>
      <w:r w:rsidRPr="009970DE">
        <w:rPr>
          <w:rFonts w:ascii="Arial" w:hAnsi="Arial" w:cs="Arial"/>
          <w:b/>
          <w:sz w:val="28"/>
          <w:szCs w:val="28"/>
        </w:rPr>
        <w:tab/>
        <w:t xml:space="preserve">Chapter </w:t>
      </w:r>
      <w:r w:rsidR="0021158D">
        <w:rPr>
          <w:rFonts w:ascii="Arial" w:hAnsi="Arial" w:cs="Arial"/>
          <w:b/>
          <w:sz w:val="28"/>
          <w:szCs w:val="28"/>
        </w:rPr>
        <w:t>21</w:t>
      </w:r>
    </w:p>
    <w:p w14:paraId="5CDB9D9E" w14:textId="77777777" w:rsidR="009970DE" w:rsidRPr="009970DE" w:rsidRDefault="009970DE" w:rsidP="009970DE">
      <w:pPr>
        <w:tabs>
          <w:tab w:val="left" w:pos="720"/>
        </w:tabs>
        <w:rPr>
          <w:rFonts w:ascii="Arial" w:hAnsi="Arial" w:cs="Arial"/>
          <w:b/>
          <w:sz w:val="28"/>
          <w:szCs w:val="28"/>
        </w:rPr>
      </w:pPr>
    </w:p>
    <w:p w14:paraId="703A958E" w14:textId="1E150B56" w:rsidR="00321772" w:rsidRPr="00321772" w:rsidRDefault="009970DE" w:rsidP="00321772">
      <w:pPr>
        <w:tabs>
          <w:tab w:val="left" w:pos="720"/>
        </w:tabs>
        <w:ind w:left="1440" w:hanging="1440"/>
        <w:rPr>
          <w:rFonts w:ascii="Times New Roman" w:hAnsi="Times New Roman"/>
          <w:i/>
          <w:sz w:val="24"/>
        </w:rPr>
      </w:pPr>
      <w:r w:rsidRPr="00A46ABA">
        <w:rPr>
          <w:rFonts w:ascii="Times New Roman" w:hAnsi="Times New Roman"/>
          <w:b/>
          <w:sz w:val="24"/>
        </w:rPr>
        <w:t>Item 1</w:t>
      </w:r>
      <w:r w:rsidRPr="00A46ABA">
        <w:rPr>
          <w:rFonts w:ascii="Times New Roman" w:hAnsi="Times New Roman"/>
          <w:b/>
          <w:sz w:val="24"/>
        </w:rPr>
        <w:tab/>
      </w:r>
      <w:r w:rsidRPr="00A46ABA">
        <w:rPr>
          <w:rFonts w:ascii="Times New Roman" w:hAnsi="Times New Roman"/>
          <w:b/>
          <w:sz w:val="24"/>
        </w:rPr>
        <w:tab/>
      </w:r>
      <w:r w:rsidR="0021158D">
        <w:rPr>
          <w:rFonts w:ascii="Times New Roman" w:hAnsi="Times New Roman"/>
          <w:b/>
          <w:sz w:val="24"/>
        </w:rPr>
        <w:t xml:space="preserve">After </w:t>
      </w:r>
      <w:r w:rsidR="009E5393">
        <w:rPr>
          <w:rFonts w:ascii="Times New Roman" w:hAnsi="Times New Roman"/>
          <w:b/>
          <w:sz w:val="24"/>
        </w:rPr>
        <w:t>sub</w:t>
      </w:r>
      <w:r w:rsidR="0021158D">
        <w:rPr>
          <w:rFonts w:ascii="Times New Roman" w:hAnsi="Times New Roman"/>
          <w:b/>
          <w:sz w:val="24"/>
        </w:rPr>
        <w:t>paragraph 21.3(3</w:t>
      </w:r>
      <w:proofErr w:type="gramStart"/>
      <w:r w:rsidR="0021158D" w:rsidRPr="00A515FB">
        <w:rPr>
          <w:rFonts w:ascii="Times New Roman" w:hAnsi="Times New Roman"/>
          <w:b/>
          <w:sz w:val="24"/>
        </w:rPr>
        <w:t>)(</w:t>
      </w:r>
      <w:proofErr w:type="gramEnd"/>
      <w:r w:rsidR="0021158D" w:rsidRPr="00A515FB">
        <w:rPr>
          <w:rFonts w:ascii="Times New Roman" w:hAnsi="Times New Roman"/>
          <w:b/>
          <w:sz w:val="24"/>
        </w:rPr>
        <w:t>b)</w:t>
      </w:r>
      <w:r w:rsidR="0021158D">
        <w:rPr>
          <w:rFonts w:ascii="Times New Roman" w:hAnsi="Times New Roman"/>
          <w:sz w:val="24"/>
        </w:rPr>
        <w:t xml:space="preserve"> </w:t>
      </w:r>
      <w:r w:rsidR="0021158D" w:rsidRPr="0021158D">
        <w:rPr>
          <w:rFonts w:ascii="Times New Roman" w:hAnsi="Times New Roman"/>
          <w:i/>
          <w:sz w:val="24"/>
        </w:rPr>
        <w:t>insert</w:t>
      </w:r>
    </w:p>
    <w:p w14:paraId="12885CA7" w14:textId="77777777" w:rsidR="00321772" w:rsidRDefault="00321772" w:rsidP="00321772">
      <w:pPr>
        <w:tabs>
          <w:tab w:val="left" w:pos="720"/>
        </w:tabs>
        <w:ind w:left="1440" w:hanging="1440"/>
        <w:rPr>
          <w:rFonts w:ascii="Times New Roman" w:hAnsi="Times New Roman"/>
          <w:i/>
          <w:sz w:val="24"/>
        </w:rPr>
      </w:pPr>
    </w:p>
    <w:p w14:paraId="1F9FE7F6" w14:textId="77777777" w:rsidR="009E5393" w:rsidRDefault="009E5393" w:rsidP="009E5393">
      <w:pPr>
        <w:pStyle w:val="Paragraph0"/>
        <w:tabs>
          <w:tab w:val="left" w:pos="1418"/>
        </w:tabs>
        <w:spacing w:before="0"/>
        <w:ind w:left="1418" w:hanging="567"/>
        <w:rPr>
          <w:szCs w:val="24"/>
        </w:rPr>
      </w:pPr>
      <w:r w:rsidRPr="009E5393">
        <w:rPr>
          <w:szCs w:val="24"/>
        </w:rPr>
        <w:t>(4)</w:t>
      </w:r>
      <w:r w:rsidRPr="009E5393">
        <w:rPr>
          <w:szCs w:val="24"/>
        </w:rPr>
        <w:tab/>
        <w:t>an issue (but not sale, transfer or redemption) of an interest in a registered managed investment scheme (except for an interest which forms part of a stapled security) covered by item 35 of table 1 in subsection 6(2) of the AML/CTF Act (item 35 designated service) by a reporting entity (first reporting entity) in the following circumstances:</w:t>
      </w:r>
    </w:p>
    <w:p w14:paraId="197D09AB" w14:textId="77777777" w:rsidR="009E5393" w:rsidRPr="009E5393" w:rsidRDefault="009E5393" w:rsidP="009E5393">
      <w:pPr>
        <w:pStyle w:val="Paragraph0"/>
        <w:tabs>
          <w:tab w:val="left" w:pos="1418"/>
        </w:tabs>
        <w:spacing w:before="0"/>
        <w:ind w:left="1418" w:hanging="567"/>
        <w:rPr>
          <w:szCs w:val="24"/>
        </w:rPr>
      </w:pPr>
    </w:p>
    <w:p w14:paraId="54929A7D" w14:textId="77777777" w:rsidR="009E5393" w:rsidRPr="009E5393" w:rsidRDefault="009E5393" w:rsidP="009E5393">
      <w:pPr>
        <w:pStyle w:val="Paragraph0"/>
        <w:tabs>
          <w:tab w:val="left" w:pos="1985"/>
        </w:tabs>
        <w:spacing w:before="0"/>
        <w:ind w:left="1985" w:hanging="567"/>
        <w:rPr>
          <w:szCs w:val="24"/>
        </w:rPr>
      </w:pPr>
      <w:r w:rsidRPr="009E5393">
        <w:rPr>
          <w:szCs w:val="24"/>
        </w:rPr>
        <w:t>(a)</w:t>
      </w:r>
      <w:r w:rsidRPr="009E5393">
        <w:rPr>
          <w:szCs w:val="24"/>
        </w:rPr>
        <w:tab/>
        <w:t>the processing and settlement of the issue of the interest in the registered managed investment scheme occurs through a MIS service operated:</w:t>
      </w:r>
    </w:p>
    <w:p w14:paraId="173D8A40" w14:textId="77777777" w:rsidR="009E5393" w:rsidRPr="009E5393" w:rsidRDefault="009E5393" w:rsidP="009E5393">
      <w:pPr>
        <w:pStyle w:val="Paragraph0"/>
        <w:tabs>
          <w:tab w:val="left" w:pos="2552"/>
        </w:tabs>
        <w:ind w:left="2552" w:hanging="567"/>
        <w:rPr>
          <w:szCs w:val="24"/>
        </w:rPr>
      </w:pPr>
      <w:r w:rsidRPr="009E5393">
        <w:rPr>
          <w:szCs w:val="24"/>
        </w:rPr>
        <w:t>(i)</w:t>
      </w:r>
      <w:r w:rsidRPr="009E5393">
        <w:rPr>
          <w:szCs w:val="24"/>
        </w:rPr>
        <w:tab/>
        <w:t>only by:</w:t>
      </w:r>
    </w:p>
    <w:p w14:paraId="2EED6EC0" w14:textId="77777777" w:rsidR="009E5393" w:rsidRPr="009E5393" w:rsidRDefault="009E5393" w:rsidP="009E5393">
      <w:pPr>
        <w:pStyle w:val="Paragraph0"/>
        <w:tabs>
          <w:tab w:val="left" w:pos="3402"/>
        </w:tabs>
        <w:ind w:left="3402" w:hanging="850"/>
        <w:rPr>
          <w:szCs w:val="24"/>
        </w:rPr>
      </w:pPr>
      <w:r w:rsidRPr="009E5393">
        <w:rPr>
          <w:szCs w:val="24"/>
        </w:rPr>
        <w:t>(A)</w:t>
      </w:r>
      <w:r w:rsidRPr="009E5393">
        <w:rPr>
          <w:szCs w:val="24"/>
        </w:rPr>
        <w:tab/>
        <w:t>a prescribed financial market; or</w:t>
      </w:r>
    </w:p>
    <w:p w14:paraId="65BE89C0" w14:textId="77777777" w:rsidR="009E5393" w:rsidRPr="009E5393" w:rsidRDefault="009E5393" w:rsidP="009E5393">
      <w:pPr>
        <w:pStyle w:val="Paragraph0"/>
        <w:tabs>
          <w:tab w:val="left" w:pos="3402"/>
        </w:tabs>
        <w:ind w:left="3402" w:hanging="850"/>
        <w:rPr>
          <w:szCs w:val="24"/>
        </w:rPr>
      </w:pPr>
      <w:r w:rsidRPr="009E5393">
        <w:rPr>
          <w:szCs w:val="24"/>
        </w:rPr>
        <w:t>(B)</w:t>
      </w:r>
      <w:r w:rsidRPr="009E5393">
        <w:rPr>
          <w:szCs w:val="24"/>
        </w:rPr>
        <w:tab/>
        <w:t>the operator of a financial market in respect of which an Australian market licence exemption has been made; or</w:t>
      </w:r>
    </w:p>
    <w:p w14:paraId="59B767F6" w14:textId="77777777" w:rsidR="009E5393" w:rsidRPr="009E5393" w:rsidRDefault="009E5393" w:rsidP="009E5393">
      <w:pPr>
        <w:pStyle w:val="Paragraph0"/>
        <w:tabs>
          <w:tab w:val="left" w:pos="2552"/>
        </w:tabs>
        <w:ind w:left="2552" w:hanging="567"/>
        <w:rPr>
          <w:szCs w:val="24"/>
        </w:rPr>
      </w:pPr>
      <w:r w:rsidRPr="009E5393">
        <w:rPr>
          <w:szCs w:val="24"/>
        </w:rPr>
        <w:t>(ii)</w:t>
      </w:r>
      <w:r w:rsidRPr="009E5393">
        <w:rPr>
          <w:szCs w:val="24"/>
        </w:rPr>
        <w:tab/>
      </w:r>
      <w:proofErr w:type="gramStart"/>
      <w:r w:rsidRPr="009E5393">
        <w:rPr>
          <w:szCs w:val="24"/>
        </w:rPr>
        <w:t>only</w:t>
      </w:r>
      <w:proofErr w:type="gramEnd"/>
      <w:r w:rsidRPr="009E5393">
        <w:rPr>
          <w:szCs w:val="24"/>
        </w:rPr>
        <w:t xml:space="preserve"> by both of the persons specified in subparagraphs 21.3(4)(a)(i)(A) and (B);</w:t>
      </w:r>
    </w:p>
    <w:p w14:paraId="6C1C20B5" w14:textId="77777777" w:rsidR="009E5393" w:rsidRPr="009E5393" w:rsidRDefault="009E5393" w:rsidP="009E5393">
      <w:pPr>
        <w:pStyle w:val="Paragraph0"/>
        <w:tabs>
          <w:tab w:val="left" w:pos="1985"/>
        </w:tabs>
        <w:ind w:left="1985" w:hanging="567"/>
        <w:rPr>
          <w:szCs w:val="24"/>
        </w:rPr>
      </w:pPr>
      <w:r w:rsidRPr="009E5393">
        <w:rPr>
          <w:szCs w:val="24"/>
        </w:rPr>
        <w:t>(b)</w:t>
      </w:r>
      <w:r w:rsidRPr="009E5393">
        <w:rPr>
          <w:szCs w:val="24"/>
        </w:rPr>
        <w:tab/>
        <w:t xml:space="preserve">the interest in the registered managed investment scheme is not quoted on a financial market; and </w:t>
      </w:r>
    </w:p>
    <w:p w14:paraId="0E1F9F84" w14:textId="7D70EE0E" w:rsidR="009E5393" w:rsidRPr="009E5393" w:rsidRDefault="009E5393" w:rsidP="009E5393">
      <w:pPr>
        <w:pStyle w:val="Paragraph0"/>
        <w:tabs>
          <w:tab w:val="left" w:pos="1985"/>
        </w:tabs>
        <w:ind w:left="1985" w:hanging="567"/>
        <w:rPr>
          <w:szCs w:val="24"/>
        </w:rPr>
      </w:pPr>
      <w:r w:rsidRPr="009E5393">
        <w:rPr>
          <w:szCs w:val="24"/>
        </w:rPr>
        <w:lastRenderedPageBreak/>
        <w:t>(c)</w:t>
      </w:r>
      <w:r w:rsidRPr="009E5393">
        <w:rPr>
          <w:szCs w:val="24"/>
        </w:rPr>
        <w:tab/>
        <w:t>the customer of the item 35 designated service has also been provided or will be provided with a designated service covered by item 33 of table 1 in subsection 6(2) of the AML/CTF Act by another reporting entity (second reporting entity); and</w:t>
      </w:r>
    </w:p>
    <w:p w14:paraId="6E3743AC" w14:textId="77777777" w:rsidR="009E5393" w:rsidRPr="009E5393" w:rsidRDefault="009E5393" w:rsidP="009E5393">
      <w:pPr>
        <w:pStyle w:val="Paragraph0"/>
        <w:tabs>
          <w:tab w:val="left" w:pos="1985"/>
        </w:tabs>
        <w:ind w:left="1985" w:hanging="567"/>
        <w:rPr>
          <w:szCs w:val="24"/>
        </w:rPr>
      </w:pPr>
      <w:r w:rsidRPr="009E5393">
        <w:rPr>
          <w:szCs w:val="24"/>
        </w:rPr>
        <w:t>(d)</w:t>
      </w:r>
      <w:r w:rsidRPr="009E5393">
        <w:rPr>
          <w:szCs w:val="24"/>
        </w:rPr>
        <w:tab/>
        <w:t>the second reporting entity:</w:t>
      </w:r>
    </w:p>
    <w:p w14:paraId="592C0A94" w14:textId="77777777" w:rsidR="009E5393" w:rsidRPr="009E5393" w:rsidRDefault="009E5393" w:rsidP="009E5393">
      <w:pPr>
        <w:pStyle w:val="Paragraph0"/>
        <w:tabs>
          <w:tab w:val="left" w:pos="2552"/>
        </w:tabs>
        <w:ind w:left="2552" w:hanging="567"/>
        <w:rPr>
          <w:szCs w:val="24"/>
        </w:rPr>
      </w:pPr>
      <w:r w:rsidRPr="009E5393">
        <w:rPr>
          <w:szCs w:val="24"/>
        </w:rPr>
        <w:t>(i)</w:t>
      </w:r>
      <w:r w:rsidRPr="009E5393">
        <w:rPr>
          <w:szCs w:val="24"/>
        </w:rPr>
        <w:tab/>
      </w:r>
      <w:proofErr w:type="gramStart"/>
      <w:r w:rsidRPr="009E5393">
        <w:rPr>
          <w:szCs w:val="24"/>
        </w:rPr>
        <w:t>is</w:t>
      </w:r>
      <w:proofErr w:type="gramEnd"/>
      <w:r w:rsidRPr="009E5393">
        <w:rPr>
          <w:szCs w:val="24"/>
        </w:rPr>
        <w:t xml:space="preserve"> a participant;</w:t>
      </w:r>
    </w:p>
    <w:p w14:paraId="099EBB97" w14:textId="77777777" w:rsidR="009E5393" w:rsidRPr="009E5393" w:rsidRDefault="009E5393" w:rsidP="009E5393">
      <w:pPr>
        <w:pStyle w:val="Paragraph0"/>
        <w:tabs>
          <w:tab w:val="left" w:pos="2552"/>
        </w:tabs>
        <w:ind w:left="2552" w:hanging="567"/>
        <w:rPr>
          <w:szCs w:val="24"/>
        </w:rPr>
      </w:pPr>
      <w:r w:rsidRPr="009E5393">
        <w:rPr>
          <w:szCs w:val="24"/>
        </w:rPr>
        <w:t>(ii)</w:t>
      </w:r>
      <w:r w:rsidRPr="009E5393">
        <w:rPr>
          <w:szCs w:val="24"/>
        </w:rPr>
        <w:tab/>
        <w:t>has carried out the applicable customer identification procedure in respect to the customer; and</w:t>
      </w:r>
    </w:p>
    <w:p w14:paraId="298F51F2" w14:textId="77777777" w:rsidR="009E5393" w:rsidRPr="009E5393" w:rsidRDefault="009E5393" w:rsidP="009E5393">
      <w:pPr>
        <w:pStyle w:val="Paragraph0"/>
        <w:tabs>
          <w:tab w:val="left" w:pos="2552"/>
        </w:tabs>
        <w:ind w:left="2552" w:hanging="567"/>
        <w:rPr>
          <w:szCs w:val="24"/>
        </w:rPr>
      </w:pPr>
      <w:r w:rsidRPr="009E5393">
        <w:rPr>
          <w:szCs w:val="24"/>
        </w:rPr>
        <w:t>(iii)</w:t>
      </w:r>
      <w:r w:rsidRPr="009E5393">
        <w:rPr>
          <w:szCs w:val="24"/>
        </w:rPr>
        <w:tab/>
        <w:t xml:space="preserve">has confirmed, through the MIS service, to the first reporting entity, that the applicable customer identification procedure has been carried out for that customer by the second reporting entity; and </w:t>
      </w:r>
    </w:p>
    <w:p w14:paraId="7A476C54" w14:textId="77777777" w:rsidR="009E5393" w:rsidRPr="009E5393" w:rsidRDefault="009E5393" w:rsidP="009E5393">
      <w:pPr>
        <w:pStyle w:val="Paragraph0"/>
        <w:tabs>
          <w:tab w:val="left" w:pos="1985"/>
        </w:tabs>
        <w:ind w:left="1985" w:hanging="567"/>
        <w:rPr>
          <w:szCs w:val="24"/>
        </w:rPr>
      </w:pPr>
      <w:r w:rsidRPr="009E5393">
        <w:rPr>
          <w:szCs w:val="24"/>
        </w:rPr>
        <w:t>(e)</w:t>
      </w:r>
      <w:r w:rsidRPr="009E5393">
        <w:rPr>
          <w:szCs w:val="24"/>
        </w:rPr>
        <w:tab/>
        <w:t>prior to the first reporting entity issuing the interest in the registered managed investment scheme to the customer, the first reporting entity has received, through the MIS service, confirmation from the second reporting entity that the applicable customer identification procedure has been carried out in respect to the customer.</w:t>
      </w:r>
    </w:p>
    <w:p w14:paraId="639F281C" w14:textId="77777777" w:rsidR="00321772" w:rsidRDefault="00321772" w:rsidP="00321772">
      <w:pPr>
        <w:tabs>
          <w:tab w:val="left" w:pos="720"/>
        </w:tabs>
        <w:ind w:left="1440" w:hanging="1440"/>
        <w:rPr>
          <w:rFonts w:ascii="Times New Roman" w:hAnsi="Times New Roman"/>
          <w:i/>
          <w:sz w:val="24"/>
        </w:rPr>
      </w:pPr>
    </w:p>
    <w:p w14:paraId="4786E55B" w14:textId="41CDA1F7" w:rsidR="0021158D" w:rsidRDefault="0021158D" w:rsidP="00321772">
      <w:pPr>
        <w:tabs>
          <w:tab w:val="left" w:pos="720"/>
        </w:tabs>
        <w:ind w:left="1440" w:hanging="1440"/>
        <w:rPr>
          <w:rFonts w:ascii="Times New Roman" w:hAnsi="Times New Roman"/>
          <w:b/>
          <w:sz w:val="24"/>
        </w:rPr>
      </w:pPr>
      <w:r w:rsidRPr="00A46ABA">
        <w:rPr>
          <w:rFonts w:ascii="Times New Roman" w:hAnsi="Times New Roman"/>
          <w:b/>
          <w:sz w:val="24"/>
        </w:rPr>
        <w:t xml:space="preserve">Item </w:t>
      </w:r>
      <w:r>
        <w:rPr>
          <w:rFonts w:ascii="Times New Roman" w:hAnsi="Times New Roman"/>
          <w:b/>
          <w:sz w:val="24"/>
        </w:rPr>
        <w:t>2</w:t>
      </w:r>
      <w:r w:rsidRPr="00A46ABA">
        <w:rPr>
          <w:rFonts w:ascii="Times New Roman" w:hAnsi="Times New Roman"/>
          <w:b/>
          <w:sz w:val="24"/>
        </w:rPr>
        <w:tab/>
      </w:r>
      <w:r w:rsidRPr="00A46ABA">
        <w:rPr>
          <w:rFonts w:ascii="Times New Roman" w:hAnsi="Times New Roman"/>
          <w:b/>
          <w:sz w:val="24"/>
        </w:rPr>
        <w:tab/>
      </w:r>
      <w:r>
        <w:rPr>
          <w:rFonts w:ascii="Times New Roman" w:hAnsi="Times New Roman"/>
          <w:i/>
          <w:sz w:val="24"/>
        </w:rPr>
        <w:t>Repeal</w:t>
      </w:r>
      <w:r>
        <w:rPr>
          <w:rFonts w:ascii="Times New Roman" w:hAnsi="Times New Roman"/>
          <w:b/>
          <w:sz w:val="24"/>
        </w:rPr>
        <w:t xml:space="preserve"> paragraph 21.4</w:t>
      </w:r>
    </w:p>
    <w:p w14:paraId="08CB478B" w14:textId="77777777" w:rsidR="0021158D" w:rsidRDefault="0021158D" w:rsidP="00321772">
      <w:pPr>
        <w:tabs>
          <w:tab w:val="left" w:pos="720"/>
        </w:tabs>
        <w:ind w:left="1440" w:hanging="1440"/>
        <w:rPr>
          <w:rFonts w:ascii="Times New Roman" w:hAnsi="Times New Roman"/>
          <w:b/>
          <w:sz w:val="24"/>
        </w:rPr>
      </w:pPr>
    </w:p>
    <w:p w14:paraId="57772E0A" w14:textId="706998BA" w:rsidR="0021158D" w:rsidRDefault="0021158D" w:rsidP="0021158D">
      <w:pPr>
        <w:tabs>
          <w:tab w:val="left" w:pos="720"/>
        </w:tabs>
        <w:ind w:left="1440" w:hanging="1440"/>
        <w:rPr>
          <w:rFonts w:ascii="Times New Roman" w:hAnsi="Times New Roman"/>
          <w:b/>
          <w:sz w:val="24"/>
        </w:rPr>
      </w:pPr>
      <w:r w:rsidRPr="00A46ABA">
        <w:rPr>
          <w:rFonts w:ascii="Times New Roman" w:hAnsi="Times New Roman"/>
          <w:b/>
          <w:sz w:val="24"/>
        </w:rPr>
        <w:t xml:space="preserve">Item </w:t>
      </w:r>
      <w:r>
        <w:rPr>
          <w:rFonts w:ascii="Times New Roman" w:hAnsi="Times New Roman"/>
          <w:b/>
          <w:sz w:val="24"/>
        </w:rPr>
        <w:t>3</w:t>
      </w:r>
      <w:r w:rsidRPr="00A46ABA">
        <w:rPr>
          <w:rFonts w:ascii="Times New Roman" w:hAnsi="Times New Roman"/>
          <w:b/>
          <w:sz w:val="24"/>
        </w:rPr>
        <w:tab/>
      </w:r>
      <w:r w:rsidRPr="00A46ABA">
        <w:rPr>
          <w:rFonts w:ascii="Times New Roman" w:hAnsi="Times New Roman"/>
          <w:b/>
          <w:sz w:val="24"/>
        </w:rPr>
        <w:tab/>
      </w:r>
      <w:r w:rsidR="000F37D6">
        <w:rPr>
          <w:rFonts w:ascii="Times New Roman" w:hAnsi="Times New Roman"/>
          <w:b/>
          <w:sz w:val="24"/>
        </w:rPr>
        <w:t xml:space="preserve">After </w:t>
      </w:r>
      <w:r w:rsidR="009E5393">
        <w:rPr>
          <w:rFonts w:ascii="Times New Roman" w:hAnsi="Times New Roman"/>
          <w:b/>
          <w:sz w:val="24"/>
        </w:rPr>
        <w:t>sub</w:t>
      </w:r>
      <w:r w:rsidR="000F37D6">
        <w:rPr>
          <w:rFonts w:ascii="Times New Roman" w:hAnsi="Times New Roman"/>
          <w:b/>
          <w:sz w:val="24"/>
        </w:rPr>
        <w:t>paragraph 21.3(4</w:t>
      </w:r>
      <w:proofErr w:type="gramStart"/>
      <w:r w:rsidR="000F37D6" w:rsidRPr="00A515FB">
        <w:rPr>
          <w:rFonts w:ascii="Times New Roman" w:hAnsi="Times New Roman"/>
          <w:b/>
          <w:sz w:val="24"/>
        </w:rPr>
        <w:t>)(</w:t>
      </w:r>
      <w:proofErr w:type="gramEnd"/>
      <w:r w:rsidR="000F37D6" w:rsidRPr="00A515FB">
        <w:rPr>
          <w:rFonts w:ascii="Times New Roman" w:hAnsi="Times New Roman"/>
          <w:b/>
          <w:sz w:val="24"/>
        </w:rPr>
        <w:t>e)</w:t>
      </w:r>
      <w:r w:rsidR="000F37D6">
        <w:rPr>
          <w:rFonts w:ascii="Times New Roman" w:hAnsi="Times New Roman"/>
          <w:b/>
          <w:sz w:val="24"/>
        </w:rPr>
        <w:t xml:space="preserve"> </w:t>
      </w:r>
      <w:r w:rsidR="000F37D6">
        <w:rPr>
          <w:rFonts w:ascii="Times New Roman" w:hAnsi="Times New Roman"/>
          <w:i/>
          <w:sz w:val="24"/>
        </w:rPr>
        <w:t>insert</w:t>
      </w:r>
    </w:p>
    <w:p w14:paraId="7984458E" w14:textId="77777777" w:rsidR="0021158D" w:rsidRDefault="0021158D" w:rsidP="00321772">
      <w:pPr>
        <w:tabs>
          <w:tab w:val="left" w:pos="720"/>
        </w:tabs>
        <w:ind w:left="1440" w:hanging="1440"/>
        <w:rPr>
          <w:rFonts w:ascii="Times New Roman" w:hAnsi="Times New Roman"/>
          <w:i/>
          <w:sz w:val="24"/>
        </w:rPr>
      </w:pPr>
    </w:p>
    <w:bookmarkEnd w:id="0"/>
    <w:p w14:paraId="75A97FB7" w14:textId="77777777" w:rsidR="009E5393" w:rsidRPr="00B25925" w:rsidRDefault="009E5393" w:rsidP="009E5393">
      <w:pPr>
        <w:pStyle w:val="Default"/>
        <w:tabs>
          <w:tab w:val="left" w:pos="851"/>
        </w:tabs>
        <w:spacing w:before="240"/>
        <w:ind w:left="851" w:hanging="851"/>
      </w:pPr>
      <w:r w:rsidRPr="00B25925">
        <w:t>21.4</w:t>
      </w:r>
      <w:r w:rsidRPr="00B25925">
        <w:tab/>
        <w:t xml:space="preserve">In this Chapter: </w:t>
      </w:r>
    </w:p>
    <w:p w14:paraId="02957F47" w14:textId="77777777" w:rsidR="009E5393" w:rsidRPr="009E5393" w:rsidRDefault="009E5393" w:rsidP="009E5393">
      <w:pPr>
        <w:pStyle w:val="Paragraph0"/>
        <w:tabs>
          <w:tab w:val="left" w:pos="1418"/>
        </w:tabs>
        <w:ind w:left="1418" w:hanging="567"/>
        <w:rPr>
          <w:szCs w:val="24"/>
        </w:rPr>
      </w:pPr>
      <w:r w:rsidRPr="009E5393">
        <w:rPr>
          <w:szCs w:val="24"/>
        </w:rPr>
        <w:t>(1)</w:t>
      </w:r>
      <w:r w:rsidRPr="009E5393">
        <w:rPr>
          <w:szCs w:val="24"/>
        </w:rPr>
        <w:tab/>
        <w:t xml:space="preserve">‘Australian market licence exemption’ means an exemption from the financial market licensing provisions in Part 7.2 of the </w:t>
      </w:r>
      <w:r w:rsidRPr="009E5393">
        <w:rPr>
          <w:i/>
          <w:szCs w:val="24"/>
        </w:rPr>
        <w:t xml:space="preserve">Corporations Act 2001 </w:t>
      </w:r>
      <w:r w:rsidRPr="009E5393">
        <w:rPr>
          <w:szCs w:val="24"/>
        </w:rPr>
        <w:t xml:space="preserve">granted pursuant to section 791C of that Act; </w:t>
      </w:r>
    </w:p>
    <w:p w14:paraId="3C407A92" w14:textId="77777777" w:rsidR="009E5393" w:rsidRPr="00B25925" w:rsidRDefault="009E5393" w:rsidP="009E5393">
      <w:pPr>
        <w:pStyle w:val="Default"/>
        <w:tabs>
          <w:tab w:val="left" w:pos="1418"/>
        </w:tabs>
        <w:spacing w:before="240"/>
        <w:ind w:left="1418" w:hanging="567"/>
      </w:pPr>
      <w:r w:rsidRPr="00B25925">
        <w:t>(2)</w:t>
      </w:r>
      <w:r w:rsidRPr="00B25925">
        <w:tab/>
        <w:t xml:space="preserve">‘dividend or distribution plan’ has the meaning given by Chapter 19 of the ASX Listing Rules issued, as in force on 22 April 2008, by ASX Limited trading as the Australian Securities Exchange; </w:t>
      </w:r>
    </w:p>
    <w:p w14:paraId="10AAFA3A" w14:textId="77777777" w:rsidR="009E5393" w:rsidRPr="00B25925" w:rsidRDefault="009E5393" w:rsidP="009E5393">
      <w:pPr>
        <w:pStyle w:val="Default"/>
        <w:tabs>
          <w:tab w:val="left" w:pos="1418"/>
        </w:tabs>
        <w:spacing w:before="240"/>
        <w:ind w:left="1418" w:hanging="567"/>
      </w:pPr>
      <w:r w:rsidRPr="00B25925">
        <w:t>(3)</w:t>
      </w:r>
      <w:r w:rsidRPr="00B25925">
        <w:tab/>
        <w:t xml:space="preserve">‘initial public offering’ in the context of an interest in a managed investment scheme is an offering of that interest by a reporting entity, for the first time, to an applicant who subscribes for that interest, before the interest is quoted on a prescribed financial market; </w:t>
      </w:r>
    </w:p>
    <w:p w14:paraId="0A4E3C9E" w14:textId="77777777" w:rsidR="009E5393" w:rsidRPr="00B25925" w:rsidRDefault="009E5393" w:rsidP="009E5393">
      <w:pPr>
        <w:pStyle w:val="Default"/>
        <w:tabs>
          <w:tab w:val="left" w:pos="1418"/>
        </w:tabs>
        <w:spacing w:before="240"/>
        <w:ind w:left="1418" w:hanging="567"/>
        <w:rPr>
          <w:bCs/>
        </w:rPr>
      </w:pPr>
      <w:r w:rsidRPr="00B25925">
        <w:rPr>
          <w:bCs/>
        </w:rPr>
        <w:t>(4)</w:t>
      </w:r>
      <w:r w:rsidRPr="00B25925">
        <w:rPr>
          <w:bCs/>
        </w:rPr>
        <w:tab/>
        <w:t xml:space="preserve">‘interest’ in a managed investment scheme includes a stapled security whereby one or more financial products are transferred together; </w:t>
      </w:r>
    </w:p>
    <w:p w14:paraId="7678400E" w14:textId="77777777" w:rsidR="009E5393" w:rsidRPr="009E5393" w:rsidRDefault="009E5393" w:rsidP="009E5393">
      <w:pPr>
        <w:pStyle w:val="Default"/>
        <w:tabs>
          <w:tab w:val="left" w:pos="1418"/>
        </w:tabs>
        <w:spacing w:before="240"/>
        <w:ind w:left="1418" w:hanging="567"/>
        <w:rPr>
          <w:bCs/>
        </w:rPr>
      </w:pPr>
      <w:r w:rsidRPr="009E5393">
        <w:rPr>
          <w:bCs/>
        </w:rPr>
        <w:t>(5)</w:t>
      </w:r>
      <w:r w:rsidRPr="009E5393">
        <w:rPr>
          <w:bCs/>
        </w:rPr>
        <w:tab/>
        <w:t xml:space="preserve">‘managed investment scheme’ has the meaning given in section 9 of the </w:t>
      </w:r>
      <w:r w:rsidRPr="009E5393">
        <w:rPr>
          <w:bCs/>
          <w:i/>
        </w:rPr>
        <w:t>Corporations Act 2001</w:t>
      </w:r>
      <w:r w:rsidRPr="009E5393">
        <w:rPr>
          <w:bCs/>
        </w:rPr>
        <w:t>;</w:t>
      </w:r>
    </w:p>
    <w:p w14:paraId="7E3E3DF0" w14:textId="77777777" w:rsidR="009E5393" w:rsidRPr="009E5393" w:rsidRDefault="009E5393" w:rsidP="009E5393">
      <w:pPr>
        <w:pStyle w:val="Paragraph0"/>
        <w:tabs>
          <w:tab w:val="left" w:pos="1418"/>
        </w:tabs>
        <w:ind w:left="1418" w:hanging="567"/>
        <w:rPr>
          <w:szCs w:val="24"/>
        </w:rPr>
      </w:pPr>
      <w:r w:rsidRPr="009E5393">
        <w:rPr>
          <w:szCs w:val="24"/>
        </w:rPr>
        <w:t>(6)</w:t>
      </w:r>
      <w:r w:rsidRPr="009E5393">
        <w:rPr>
          <w:szCs w:val="24"/>
        </w:rPr>
        <w:tab/>
        <w:t>‘MIS service’ means an electronic facility which:</w:t>
      </w:r>
    </w:p>
    <w:p w14:paraId="34DB0CC2" w14:textId="77777777" w:rsidR="009E5393" w:rsidRPr="009E5393" w:rsidRDefault="009E5393" w:rsidP="009E5393">
      <w:pPr>
        <w:pStyle w:val="Paragraph0"/>
        <w:numPr>
          <w:ilvl w:val="0"/>
          <w:numId w:val="0"/>
        </w:numPr>
        <w:tabs>
          <w:tab w:val="left" w:pos="1985"/>
        </w:tabs>
        <w:ind w:left="1985" w:hanging="567"/>
        <w:rPr>
          <w:szCs w:val="24"/>
        </w:rPr>
      </w:pPr>
      <w:r w:rsidRPr="009E5393">
        <w:rPr>
          <w:szCs w:val="24"/>
        </w:rPr>
        <w:lastRenderedPageBreak/>
        <w:t>(a)</w:t>
      </w:r>
      <w:r w:rsidRPr="009E5393">
        <w:rPr>
          <w:szCs w:val="24"/>
        </w:rPr>
        <w:tab/>
        <w:t>is solely used to receive, process and settle issues, sales, transfers and redemptions of interests in managed investment schemes (and associated receipts and payments); and</w:t>
      </w:r>
    </w:p>
    <w:p w14:paraId="52854FF5" w14:textId="77777777" w:rsidR="009E5393" w:rsidRPr="009E5393" w:rsidRDefault="009E5393" w:rsidP="009E5393">
      <w:pPr>
        <w:pStyle w:val="Paragraph0"/>
        <w:numPr>
          <w:ilvl w:val="0"/>
          <w:numId w:val="0"/>
        </w:numPr>
        <w:tabs>
          <w:tab w:val="left" w:pos="1985"/>
        </w:tabs>
        <w:ind w:left="1985" w:hanging="567"/>
        <w:rPr>
          <w:szCs w:val="24"/>
        </w:rPr>
      </w:pPr>
      <w:r w:rsidRPr="009E5393">
        <w:rPr>
          <w:szCs w:val="24"/>
        </w:rPr>
        <w:t>(b)</w:t>
      </w:r>
      <w:r w:rsidRPr="009E5393">
        <w:rPr>
          <w:szCs w:val="24"/>
        </w:rPr>
        <w:tab/>
        <w:t>for an issue of a new interest in a managed investment scheme – requires the applicable customer identification procedure in relation to a customer to be carried out by the second reporting entity; and</w:t>
      </w:r>
    </w:p>
    <w:p w14:paraId="5F594FE8" w14:textId="2B54CE62" w:rsidR="009E5393" w:rsidRPr="009E5393" w:rsidRDefault="009E5393" w:rsidP="009E5393">
      <w:pPr>
        <w:pStyle w:val="Paragraph0"/>
        <w:numPr>
          <w:ilvl w:val="0"/>
          <w:numId w:val="0"/>
        </w:numPr>
        <w:tabs>
          <w:tab w:val="left" w:pos="1985"/>
        </w:tabs>
        <w:ind w:left="1985" w:hanging="567"/>
        <w:rPr>
          <w:szCs w:val="24"/>
        </w:rPr>
      </w:pPr>
      <w:r w:rsidRPr="009E5393">
        <w:rPr>
          <w:szCs w:val="24"/>
        </w:rPr>
        <w:t>(c)</w:t>
      </w:r>
      <w:r w:rsidRPr="009E5393">
        <w:rPr>
          <w:szCs w:val="24"/>
        </w:rPr>
        <w:tab/>
        <w:t>requires the second reporting entity to, through the MIS service, advise the first reporting entity</w:t>
      </w:r>
      <w:r w:rsidR="000C52C6">
        <w:rPr>
          <w:szCs w:val="24"/>
        </w:rPr>
        <w:t xml:space="preserve"> </w:t>
      </w:r>
      <w:r w:rsidRPr="009E5393">
        <w:rPr>
          <w:szCs w:val="24"/>
        </w:rPr>
        <w:t>when the applicable customer identification procedure has been carried out in relation to the customer to whom the interest is to be issued prior to the issue of that interest;</w:t>
      </w:r>
    </w:p>
    <w:p w14:paraId="005B5253" w14:textId="77777777" w:rsidR="009E5393" w:rsidRPr="009E5393" w:rsidRDefault="009E5393" w:rsidP="009E5393">
      <w:pPr>
        <w:pStyle w:val="Paragraph0"/>
        <w:ind w:left="1418" w:hanging="567"/>
        <w:rPr>
          <w:szCs w:val="24"/>
        </w:rPr>
      </w:pPr>
      <w:r w:rsidRPr="009E5393">
        <w:rPr>
          <w:szCs w:val="24"/>
        </w:rPr>
        <w:t>(7)</w:t>
      </w:r>
      <w:r w:rsidRPr="009E5393">
        <w:rPr>
          <w:szCs w:val="24"/>
        </w:rPr>
        <w:tab/>
        <w:t xml:space="preserve">‘participant’ has the meaning given by section 761A of the </w:t>
      </w:r>
      <w:r w:rsidRPr="009E5393">
        <w:rPr>
          <w:i/>
          <w:szCs w:val="24"/>
        </w:rPr>
        <w:t>Corporations Act 2001</w:t>
      </w:r>
      <w:r w:rsidRPr="009E5393">
        <w:rPr>
          <w:szCs w:val="24"/>
        </w:rPr>
        <w:t>;</w:t>
      </w:r>
    </w:p>
    <w:p w14:paraId="4A71E1DD" w14:textId="77777777" w:rsidR="009E5393" w:rsidRDefault="009E5393" w:rsidP="009E5393">
      <w:pPr>
        <w:pStyle w:val="Default"/>
        <w:spacing w:before="240"/>
        <w:ind w:left="1418" w:hanging="567"/>
      </w:pPr>
      <w:r w:rsidRPr="00B25925">
        <w:t>(8)</w:t>
      </w:r>
      <w:r w:rsidRPr="00B25925">
        <w:tab/>
        <w:t xml:space="preserve">‘prescribed financial market’ has the meaning given by section 9 of the </w:t>
      </w:r>
      <w:r w:rsidRPr="00B25925">
        <w:rPr>
          <w:i/>
          <w:iCs/>
        </w:rPr>
        <w:t xml:space="preserve">Corporations Act 2001 </w:t>
      </w:r>
      <w:r w:rsidRPr="00B25925">
        <w:rPr>
          <w:bCs/>
        </w:rPr>
        <w:t>and includes the Australian Securities Exchange Limited (ACN 000 943 377);</w:t>
      </w:r>
      <w:r w:rsidRPr="00B25925">
        <w:t xml:space="preserve"> </w:t>
      </w:r>
    </w:p>
    <w:p w14:paraId="25AE6F1C" w14:textId="77777777" w:rsidR="009E5393" w:rsidRDefault="009E5393" w:rsidP="009E5393">
      <w:pPr>
        <w:pStyle w:val="Default"/>
        <w:ind w:left="1418" w:hanging="567"/>
        <w:rPr>
          <w:bCs/>
        </w:rPr>
      </w:pPr>
    </w:p>
    <w:p w14:paraId="0DF2BF78" w14:textId="77777777" w:rsidR="009E5393" w:rsidRDefault="009E5393" w:rsidP="009E5393">
      <w:pPr>
        <w:pStyle w:val="Default"/>
        <w:ind w:left="1418" w:hanging="567"/>
        <w:rPr>
          <w:bCs/>
          <w:i/>
        </w:rPr>
      </w:pPr>
      <w:r w:rsidRPr="009E5393">
        <w:rPr>
          <w:bCs/>
        </w:rPr>
        <w:t>(9)</w:t>
      </w:r>
      <w:r w:rsidRPr="009E5393">
        <w:rPr>
          <w:bCs/>
        </w:rPr>
        <w:tab/>
        <w:t xml:space="preserve">‘registered managed investment scheme’ means a managed investment scheme that is registered under section 601EB of the </w:t>
      </w:r>
      <w:r w:rsidRPr="009E5393">
        <w:rPr>
          <w:bCs/>
          <w:i/>
        </w:rPr>
        <w:t>Corporations Act 2001;</w:t>
      </w:r>
    </w:p>
    <w:p w14:paraId="1376743D" w14:textId="77777777" w:rsidR="009E5393" w:rsidRPr="009E5393" w:rsidRDefault="009E5393" w:rsidP="009E5393">
      <w:pPr>
        <w:pStyle w:val="Default"/>
        <w:ind w:left="1418" w:hanging="567"/>
        <w:rPr>
          <w:bCs/>
        </w:rPr>
      </w:pPr>
    </w:p>
    <w:p w14:paraId="34A81AD6" w14:textId="77777777" w:rsidR="009E5393" w:rsidRDefault="009E5393" w:rsidP="009E5393">
      <w:pPr>
        <w:pStyle w:val="Default"/>
        <w:ind w:left="1418" w:hanging="567"/>
        <w:rPr>
          <w:bCs/>
        </w:rPr>
      </w:pPr>
      <w:r w:rsidRPr="00B25925">
        <w:rPr>
          <w:bCs/>
        </w:rPr>
        <w:t>(10)</w:t>
      </w:r>
      <w:r w:rsidRPr="00B25925">
        <w:rPr>
          <w:bCs/>
        </w:rPr>
        <w:tab/>
        <w:t xml:space="preserve">‘proprietary system’ means a system or systems for the electronic trading, clearing and settlement of transactions relating to securities or derivatives; </w:t>
      </w:r>
    </w:p>
    <w:p w14:paraId="3F92BBA4" w14:textId="77777777" w:rsidR="009E5393" w:rsidRDefault="009E5393" w:rsidP="009E5393">
      <w:pPr>
        <w:ind w:left="1418" w:hanging="567"/>
        <w:rPr>
          <w:sz w:val="24"/>
        </w:rPr>
      </w:pPr>
    </w:p>
    <w:p w14:paraId="301A5F15" w14:textId="77777777" w:rsidR="009E5393" w:rsidRPr="009E5393" w:rsidRDefault="009E5393" w:rsidP="009E5393">
      <w:pPr>
        <w:ind w:left="1418" w:hanging="567"/>
        <w:rPr>
          <w:rFonts w:ascii="Times New Roman" w:hAnsi="Times New Roman"/>
          <w:sz w:val="24"/>
        </w:rPr>
      </w:pPr>
      <w:r w:rsidRPr="009E5393">
        <w:rPr>
          <w:rFonts w:ascii="Times New Roman" w:hAnsi="Times New Roman"/>
          <w:sz w:val="24"/>
        </w:rPr>
        <w:t>(11)</w:t>
      </w:r>
      <w:r w:rsidRPr="009E5393">
        <w:rPr>
          <w:rFonts w:ascii="Times New Roman" w:hAnsi="Times New Roman"/>
          <w:sz w:val="24"/>
        </w:rPr>
        <w:tab/>
        <w:t xml:space="preserve">‘rights issue’ has the meaning given by section 9A of the </w:t>
      </w:r>
      <w:r w:rsidRPr="009E5393">
        <w:rPr>
          <w:rFonts w:ascii="Times New Roman" w:hAnsi="Times New Roman"/>
          <w:i/>
          <w:iCs/>
          <w:sz w:val="24"/>
        </w:rPr>
        <w:t>Corporations Act 2001</w:t>
      </w:r>
      <w:r w:rsidRPr="009E5393">
        <w:rPr>
          <w:rFonts w:ascii="Times New Roman" w:hAnsi="Times New Roman"/>
          <w:sz w:val="24"/>
        </w:rPr>
        <w:t>.</w:t>
      </w:r>
    </w:p>
    <w:p w14:paraId="7EBE6C36" w14:textId="77777777" w:rsidR="009E5393" w:rsidRPr="00B25925" w:rsidRDefault="009E5393" w:rsidP="009E5393">
      <w:pPr>
        <w:pStyle w:val="Default"/>
        <w:rPr>
          <w:i/>
          <w:iCs/>
        </w:rPr>
      </w:pPr>
    </w:p>
    <w:p w14:paraId="686522B1" w14:textId="77777777" w:rsidR="002D78EB" w:rsidRPr="00BB5D61" w:rsidRDefault="002D78EB" w:rsidP="00A83F04">
      <w:pPr>
        <w:rPr>
          <w:rFonts w:ascii="Times New Roman" w:hAnsi="Times New Roman"/>
          <w:sz w:val="24"/>
        </w:rPr>
      </w:pPr>
    </w:p>
    <w:sectPr w:rsidR="002D78EB" w:rsidRPr="00BB5D61">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2485F" w14:textId="77777777" w:rsidR="003B1BF2" w:rsidRDefault="003B1BF2">
      <w:r>
        <w:separator/>
      </w:r>
    </w:p>
  </w:endnote>
  <w:endnote w:type="continuationSeparator" w:id="0">
    <w:p w14:paraId="71D3435E" w14:textId="77777777" w:rsidR="003B1BF2" w:rsidRDefault="003B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67F5" w14:textId="77777777" w:rsidR="0011626F" w:rsidRDefault="0011626F" w:rsidP="00BB2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112D8" w14:textId="77777777" w:rsidR="0011626F" w:rsidRDefault="00116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0C3B0" w14:textId="77777777" w:rsidR="003B1BF2" w:rsidRDefault="003B1BF2">
      <w:r>
        <w:separator/>
      </w:r>
    </w:p>
  </w:footnote>
  <w:footnote w:type="continuationSeparator" w:id="0">
    <w:p w14:paraId="1B284A95" w14:textId="77777777" w:rsidR="003B1BF2" w:rsidRDefault="003B1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1F69"/>
    <w:multiLevelType w:val="multilevel"/>
    <w:tmpl w:val="6A96820A"/>
    <w:lvl w:ilvl="0">
      <w:start w:val="5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70127B4"/>
    <w:multiLevelType w:val="multilevel"/>
    <w:tmpl w:val="96F6F2BA"/>
    <w:lvl w:ilvl="0">
      <w:start w:val="56"/>
      <w:numFmt w:val="decimal"/>
      <w:lvlText w:val="%1."/>
      <w:lvlJc w:val="left"/>
      <w:pPr>
        <w:tabs>
          <w:tab w:val="num" w:pos="720"/>
        </w:tabs>
        <w:ind w:left="720" w:hanging="720"/>
      </w:pPr>
      <w:rPr>
        <w:rFonts w:hint="default"/>
      </w:rPr>
    </w:lvl>
    <w:lvl w:ilvl="1">
      <w:start w:val="8"/>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nsid w:val="785C3627"/>
    <w:multiLevelType w:val="hybridMultilevel"/>
    <w:tmpl w:val="D78A6CEE"/>
    <w:lvl w:ilvl="0" w:tplc="D16CA484">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48C"/>
    <w:rsid w:val="00017529"/>
    <w:rsid w:val="00022369"/>
    <w:rsid w:val="00035795"/>
    <w:rsid w:val="00045CAC"/>
    <w:rsid w:val="00050BBC"/>
    <w:rsid w:val="00070A22"/>
    <w:rsid w:val="00070F6B"/>
    <w:rsid w:val="0007130E"/>
    <w:rsid w:val="000C52C6"/>
    <w:rsid w:val="000E34BB"/>
    <w:rsid w:val="000F099B"/>
    <w:rsid w:val="000F37D6"/>
    <w:rsid w:val="00103423"/>
    <w:rsid w:val="0011626F"/>
    <w:rsid w:val="0013407F"/>
    <w:rsid w:val="00163B57"/>
    <w:rsid w:val="00184BEF"/>
    <w:rsid w:val="001C32E7"/>
    <w:rsid w:val="001C33B8"/>
    <w:rsid w:val="001D2F0F"/>
    <w:rsid w:val="001D3559"/>
    <w:rsid w:val="001D4663"/>
    <w:rsid w:val="001D5A1B"/>
    <w:rsid w:val="001D7F89"/>
    <w:rsid w:val="0020108E"/>
    <w:rsid w:val="0021158D"/>
    <w:rsid w:val="00214A61"/>
    <w:rsid w:val="00217571"/>
    <w:rsid w:val="00264B18"/>
    <w:rsid w:val="00274D66"/>
    <w:rsid w:val="00275E1D"/>
    <w:rsid w:val="002852AB"/>
    <w:rsid w:val="002964CD"/>
    <w:rsid w:val="002977DE"/>
    <w:rsid w:val="002B0655"/>
    <w:rsid w:val="002B5433"/>
    <w:rsid w:val="002C0641"/>
    <w:rsid w:val="002D78EB"/>
    <w:rsid w:val="002E58EA"/>
    <w:rsid w:val="002E71B5"/>
    <w:rsid w:val="00321772"/>
    <w:rsid w:val="00341BAB"/>
    <w:rsid w:val="00363AB7"/>
    <w:rsid w:val="00363BBD"/>
    <w:rsid w:val="00365CB9"/>
    <w:rsid w:val="003668AA"/>
    <w:rsid w:val="00366967"/>
    <w:rsid w:val="00375109"/>
    <w:rsid w:val="003A18FA"/>
    <w:rsid w:val="003A66A4"/>
    <w:rsid w:val="003A73B8"/>
    <w:rsid w:val="003B1BF2"/>
    <w:rsid w:val="003B3146"/>
    <w:rsid w:val="003B75A5"/>
    <w:rsid w:val="003D0F6D"/>
    <w:rsid w:val="003D28D0"/>
    <w:rsid w:val="003D68A3"/>
    <w:rsid w:val="003D75D9"/>
    <w:rsid w:val="003F457A"/>
    <w:rsid w:val="00417570"/>
    <w:rsid w:val="004462C1"/>
    <w:rsid w:val="004504EF"/>
    <w:rsid w:val="004730BC"/>
    <w:rsid w:val="0048071F"/>
    <w:rsid w:val="004939B4"/>
    <w:rsid w:val="004958AE"/>
    <w:rsid w:val="004B413A"/>
    <w:rsid w:val="004F1456"/>
    <w:rsid w:val="004F4211"/>
    <w:rsid w:val="0050472C"/>
    <w:rsid w:val="0050597A"/>
    <w:rsid w:val="005102D2"/>
    <w:rsid w:val="005108AB"/>
    <w:rsid w:val="00544CEE"/>
    <w:rsid w:val="005555BF"/>
    <w:rsid w:val="00574CC6"/>
    <w:rsid w:val="0057667B"/>
    <w:rsid w:val="00583C81"/>
    <w:rsid w:val="005A1C38"/>
    <w:rsid w:val="005B35F7"/>
    <w:rsid w:val="005D67E7"/>
    <w:rsid w:val="005E1234"/>
    <w:rsid w:val="00640355"/>
    <w:rsid w:val="006474D5"/>
    <w:rsid w:val="006527F4"/>
    <w:rsid w:val="0067324D"/>
    <w:rsid w:val="006757A9"/>
    <w:rsid w:val="006A09D2"/>
    <w:rsid w:val="006B2BB5"/>
    <w:rsid w:val="006C1956"/>
    <w:rsid w:val="006F1CDD"/>
    <w:rsid w:val="00700909"/>
    <w:rsid w:val="00700F86"/>
    <w:rsid w:val="00716D49"/>
    <w:rsid w:val="0072041B"/>
    <w:rsid w:val="00723EF7"/>
    <w:rsid w:val="007355B8"/>
    <w:rsid w:val="00750F8D"/>
    <w:rsid w:val="007A6A32"/>
    <w:rsid w:val="007C52B3"/>
    <w:rsid w:val="00801DB8"/>
    <w:rsid w:val="008118FB"/>
    <w:rsid w:val="008414E4"/>
    <w:rsid w:val="00852922"/>
    <w:rsid w:val="008557BF"/>
    <w:rsid w:val="00866B83"/>
    <w:rsid w:val="00867F19"/>
    <w:rsid w:val="00871E06"/>
    <w:rsid w:val="00890E41"/>
    <w:rsid w:val="008929D0"/>
    <w:rsid w:val="00894989"/>
    <w:rsid w:val="00897093"/>
    <w:rsid w:val="008A43B5"/>
    <w:rsid w:val="008C7416"/>
    <w:rsid w:val="008D02C0"/>
    <w:rsid w:val="008E0F40"/>
    <w:rsid w:val="008F6EB6"/>
    <w:rsid w:val="00901C40"/>
    <w:rsid w:val="00910FCF"/>
    <w:rsid w:val="00914830"/>
    <w:rsid w:val="00914CA6"/>
    <w:rsid w:val="009462DF"/>
    <w:rsid w:val="00965FE9"/>
    <w:rsid w:val="00972BDA"/>
    <w:rsid w:val="0098564C"/>
    <w:rsid w:val="00994489"/>
    <w:rsid w:val="009970DE"/>
    <w:rsid w:val="009B410D"/>
    <w:rsid w:val="009C78E0"/>
    <w:rsid w:val="009D7365"/>
    <w:rsid w:val="009E26E1"/>
    <w:rsid w:val="009E5393"/>
    <w:rsid w:val="009F2B6D"/>
    <w:rsid w:val="009F4E39"/>
    <w:rsid w:val="00A029D1"/>
    <w:rsid w:val="00A17D5E"/>
    <w:rsid w:val="00A25847"/>
    <w:rsid w:val="00A31BBF"/>
    <w:rsid w:val="00A46ABA"/>
    <w:rsid w:val="00A515FB"/>
    <w:rsid w:val="00A70CE1"/>
    <w:rsid w:val="00A83F04"/>
    <w:rsid w:val="00A853A0"/>
    <w:rsid w:val="00AB652E"/>
    <w:rsid w:val="00AD083A"/>
    <w:rsid w:val="00AE09A2"/>
    <w:rsid w:val="00B10940"/>
    <w:rsid w:val="00B130FC"/>
    <w:rsid w:val="00B16A75"/>
    <w:rsid w:val="00B20C44"/>
    <w:rsid w:val="00B32058"/>
    <w:rsid w:val="00B34EC8"/>
    <w:rsid w:val="00B407E4"/>
    <w:rsid w:val="00B47DE0"/>
    <w:rsid w:val="00B65864"/>
    <w:rsid w:val="00B804DA"/>
    <w:rsid w:val="00BA3F37"/>
    <w:rsid w:val="00BA61D4"/>
    <w:rsid w:val="00BB1856"/>
    <w:rsid w:val="00BB248C"/>
    <w:rsid w:val="00BB4499"/>
    <w:rsid w:val="00BB59F1"/>
    <w:rsid w:val="00BB5D61"/>
    <w:rsid w:val="00BC7815"/>
    <w:rsid w:val="00BD45F8"/>
    <w:rsid w:val="00BD697E"/>
    <w:rsid w:val="00C1053A"/>
    <w:rsid w:val="00C14D5F"/>
    <w:rsid w:val="00C67996"/>
    <w:rsid w:val="00C7693E"/>
    <w:rsid w:val="00C903F4"/>
    <w:rsid w:val="00C92E0E"/>
    <w:rsid w:val="00CB5CB5"/>
    <w:rsid w:val="00CC6F0E"/>
    <w:rsid w:val="00CF3985"/>
    <w:rsid w:val="00D13DE2"/>
    <w:rsid w:val="00D41126"/>
    <w:rsid w:val="00D54925"/>
    <w:rsid w:val="00D62575"/>
    <w:rsid w:val="00D70867"/>
    <w:rsid w:val="00D80A79"/>
    <w:rsid w:val="00DA57E6"/>
    <w:rsid w:val="00DC4A61"/>
    <w:rsid w:val="00E0328A"/>
    <w:rsid w:val="00E03DA8"/>
    <w:rsid w:val="00E3509B"/>
    <w:rsid w:val="00E55EC8"/>
    <w:rsid w:val="00EA1966"/>
    <w:rsid w:val="00ED1248"/>
    <w:rsid w:val="00EE7361"/>
    <w:rsid w:val="00EE73D5"/>
    <w:rsid w:val="00EF20CE"/>
    <w:rsid w:val="00F359C8"/>
    <w:rsid w:val="00F41D17"/>
    <w:rsid w:val="00F510F2"/>
    <w:rsid w:val="00F55F47"/>
    <w:rsid w:val="00F566CC"/>
    <w:rsid w:val="00F8508D"/>
    <w:rsid w:val="00FA45DE"/>
    <w:rsid w:val="00FA4B44"/>
    <w:rsid w:val="00FB5E76"/>
    <w:rsid w:val="00FE2FF5"/>
    <w:rsid w:val="00FE7990"/>
    <w:rsid w:val="00FF4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78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48C"/>
    <w:rPr>
      <w:rFonts w:ascii="CG Omega" w:hAnsi="CG Omega"/>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248C"/>
    <w:pPr>
      <w:tabs>
        <w:tab w:val="center" w:pos="4153"/>
        <w:tab w:val="right" w:pos="8306"/>
      </w:tabs>
    </w:pPr>
  </w:style>
  <w:style w:type="character" w:styleId="PageNumber">
    <w:name w:val="page number"/>
    <w:basedOn w:val="DefaultParagraphFont"/>
    <w:rsid w:val="00BB248C"/>
  </w:style>
  <w:style w:type="paragraph" w:customStyle="1" w:styleId="paragraph">
    <w:name w:val="paragraph"/>
    <w:aliases w:val="a"/>
    <w:rsid w:val="00BB248C"/>
    <w:pPr>
      <w:tabs>
        <w:tab w:val="right" w:pos="1531"/>
      </w:tabs>
      <w:spacing w:before="40"/>
      <w:ind w:left="1644" w:hanging="1644"/>
    </w:pPr>
    <w:rPr>
      <w:sz w:val="22"/>
      <w:szCs w:val="24"/>
    </w:rPr>
  </w:style>
  <w:style w:type="paragraph" w:styleId="Title">
    <w:name w:val="Title"/>
    <w:basedOn w:val="Normal"/>
    <w:next w:val="Normal"/>
    <w:qFormat/>
    <w:rsid w:val="00BB248C"/>
    <w:pPr>
      <w:spacing w:before="480"/>
    </w:pPr>
    <w:rPr>
      <w:rFonts w:ascii="Arial" w:hAnsi="Arial" w:cs="Arial"/>
      <w:b/>
      <w:bCs/>
      <w:sz w:val="40"/>
      <w:szCs w:val="40"/>
      <w:lang w:eastAsia="en-AU"/>
    </w:rPr>
  </w:style>
  <w:style w:type="paragraph" w:customStyle="1" w:styleId="HR">
    <w:name w:val="HR"/>
    <w:aliases w:val="Regulation Heading"/>
    <w:basedOn w:val="Normal"/>
    <w:next w:val="R1"/>
    <w:rsid w:val="00BB248C"/>
    <w:pPr>
      <w:keepNext/>
      <w:spacing w:before="360"/>
      <w:ind w:left="964" w:hanging="964"/>
    </w:pPr>
    <w:rPr>
      <w:rFonts w:ascii="Arial" w:hAnsi="Arial"/>
      <w:b/>
      <w:sz w:val="24"/>
      <w:lang w:eastAsia="en-AU"/>
    </w:rPr>
  </w:style>
  <w:style w:type="paragraph" w:customStyle="1" w:styleId="R1">
    <w:name w:val="R1"/>
    <w:aliases w:val="1. or 1.(1)"/>
    <w:basedOn w:val="Normal"/>
    <w:next w:val="Normal"/>
    <w:rsid w:val="00BB248C"/>
    <w:pPr>
      <w:keepLines/>
      <w:tabs>
        <w:tab w:val="right" w:pos="794"/>
      </w:tabs>
      <w:spacing w:before="120" w:line="260" w:lineRule="exact"/>
      <w:ind w:left="964" w:hanging="964"/>
      <w:jc w:val="both"/>
    </w:pPr>
    <w:rPr>
      <w:rFonts w:ascii="Times New Roman" w:hAnsi="Times New Roman"/>
      <w:sz w:val="24"/>
      <w:lang w:eastAsia="en-AU"/>
    </w:rPr>
  </w:style>
  <w:style w:type="paragraph" w:customStyle="1" w:styleId="AS">
    <w:name w:val="AS"/>
    <w:aliases w:val="Schedule title Amendment"/>
    <w:basedOn w:val="Normal"/>
    <w:next w:val="Normal"/>
    <w:rsid w:val="00BB248C"/>
    <w:pPr>
      <w:keepNext/>
      <w:spacing w:before="480"/>
      <w:ind w:left="2410" w:hanging="2410"/>
    </w:pPr>
    <w:rPr>
      <w:rFonts w:ascii="Arial" w:hAnsi="Arial"/>
      <w:b/>
      <w:sz w:val="32"/>
    </w:rPr>
  </w:style>
  <w:style w:type="paragraph" w:customStyle="1" w:styleId="Default">
    <w:name w:val="Default"/>
    <w:rsid w:val="00BB248C"/>
    <w:pPr>
      <w:autoSpaceDE w:val="0"/>
      <w:autoSpaceDN w:val="0"/>
      <w:adjustRightInd w:val="0"/>
    </w:pPr>
    <w:rPr>
      <w:color w:val="000000"/>
      <w:sz w:val="24"/>
      <w:szCs w:val="24"/>
    </w:rPr>
  </w:style>
  <w:style w:type="paragraph" w:customStyle="1" w:styleId="NormalWeb1">
    <w:name w:val="Normal (Web)1"/>
    <w:basedOn w:val="Normal"/>
    <w:rsid w:val="00BB248C"/>
    <w:rPr>
      <w:rFonts w:ascii="Times New Roman" w:hAnsi="Times New Roman"/>
      <w:sz w:val="24"/>
      <w:lang w:eastAsia="en-AU"/>
    </w:rPr>
  </w:style>
  <w:style w:type="paragraph" w:customStyle="1" w:styleId="Normal1">
    <w:name w:val="Normal1"/>
    <w:basedOn w:val="Normal"/>
    <w:rsid w:val="00BB248C"/>
    <w:rPr>
      <w:rFonts w:ascii="Times New Roman" w:hAnsi="Times New Roman"/>
      <w:sz w:val="24"/>
      <w:lang w:eastAsia="en-AU"/>
    </w:rPr>
  </w:style>
  <w:style w:type="character" w:styleId="CommentReference">
    <w:name w:val="annotation reference"/>
    <w:uiPriority w:val="99"/>
    <w:semiHidden/>
    <w:rsid w:val="004504EF"/>
    <w:rPr>
      <w:sz w:val="16"/>
      <w:szCs w:val="16"/>
    </w:rPr>
  </w:style>
  <w:style w:type="paragraph" w:styleId="CommentText">
    <w:name w:val="annotation text"/>
    <w:basedOn w:val="Normal"/>
    <w:link w:val="CommentTextChar"/>
    <w:uiPriority w:val="99"/>
    <w:semiHidden/>
    <w:rsid w:val="004504EF"/>
    <w:rPr>
      <w:sz w:val="20"/>
      <w:szCs w:val="20"/>
    </w:rPr>
  </w:style>
  <w:style w:type="paragraph" w:styleId="CommentSubject">
    <w:name w:val="annotation subject"/>
    <w:basedOn w:val="CommentText"/>
    <w:next w:val="CommentText"/>
    <w:semiHidden/>
    <w:rsid w:val="004504EF"/>
    <w:rPr>
      <w:b/>
      <w:bCs/>
    </w:rPr>
  </w:style>
  <w:style w:type="paragraph" w:styleId="BalloonText">
    <w:name w:val="Balloon Text"/>
    <w:basedOn w:val="Normal"/>
    <w:semiHidden/>
    <w:rsid w:val="004504EF"/>
    <w:rPr>
      <w:rFonts w:ascii="Tahoma" w:hAnsi="Tahoma" w:cs="Tahoma"/>
      <w:sz w:val="16"/>
      <w:szCs w:val="16"/>
    </w:rPr>
  </w:style>
  <w:style w:type="character" w:customStyle="1" w:styleId="CharPartNo">
    <w:name w:val="CharPartNo"/>
    <w:basedOn w:val="DefaultParagraphFont"/>
    <w:rsid w:val="00700F86"/>
  </w:style>
  <w:style w:type="paragraph" w:customStyle="1" w:styleId="HP">
    <w:name w:val="HP"/>
    <w:aliases w:val="Part Heading"/>
    <w:basedOn w:val="Normal"/>
    <w:next w:val="Normal"/>
    <w:rsid w:val="00700F86"/>
    <w:pPr>
      <w:keepNext/>
      <w:spacing w:before="360"/>
      <w:ind w:left="2410" w:hanging="2410"/>
    </w:pPr>
    <w:rPr>
      <w:rFonts w:ascii="Arial" w:hAnsi="Arial"/>
      <w:b/>
      <w:sz w:val="32"/>
    </w:rPr>
  </w:style>
  <w:style w:type="character" w:customStyle="1" w:styleId="CharPartText">
    <w:name w:val="CharPartText"/>
    <w:basedOn w:val="DefaultParagraphFont"/>
    <w:rsid w:val="00897093"/>
  </w:style>
  <w:style w:type="character" w:styleId="Hyperlink">
    <w:name w:val="Hyperlink"/>
    <w:rsid w:val="00897093"/>
    <w:rPr>
      <w:color w:val="0000FF"/>
      <w:u w:val="single"/>
    </w:rPr>
  </w:style>
  <w:style w:type="paragraph" w:customStyle="1" w:styleId="default0">
    <w:name w:val="default"/>
    <w:basedOn w:val="Normal"/>
    <w:rsid w:val="00AD083A"/>
    <w:pPr>
      <w:spacing w:before="100" w:beforeAutospacing="1" w:after="100" w:afterAutospacing="1"/>
    </w:pPr>
    <w:rPr>
      <w:rFonts w:ascii="Times New Roman" w:hAnsi="Times New Roman"/>
      <w:sz w:val="24"/>
      <w:lang w:eastAsia="en-AU"/>
    </w:rPr>
  </w:style>
  <w:style w:type="paragraph" w:styleId="Header">
    <w:name w:val="header"/>
    <w:aliases w:val="h"/>
    <w:basedOn w:val="Normal"/>
    <w:link w:val="HeaderChar"/>
    <w:rsid w:val="006B2BB5"/>
    <w:pPr>
      <w:tabs>
        <w:tab w:val="center" w:pos="4153"/>
        <w:tab w:val="right" w:pos="8306"/>
      </w:tabs>
    </w:pPr>
    <w:rPr>
      <w:rFonts w:ascii="Arial" w:hAnsi="Arial"/>
      <w:sz w:val="16"/>
      <w:lang w:eastAsia="en-AU"/>
    </w:rPr>
  </w:style>
  <w:style w:type="character" w:customStyle="1" w:styleId="HeaderChar">
    <w:name w:val="Header Char"/>
    <w:aliases w:val="h Char"/>
    <w:link w:val="Header"/>
    <w:rsid w:val="006B2BB5"/>
    <w:rPr>
      <w:rFonts w:ascii="Arial" w:hAnsi="Arial"/>
      <w:sz w:val="16"/>
      <w:szCs w:val="24"/>
    </w:rPr>
  </w:style>
  <w:style w:type="character" w:customStyle="1" w:styleId="CharDivNo">
    <w:name w:val="CharDivNo"/>
    <w:rsid w:val="006B2BB5"/>
  </w:style>
  <w:style w:type="character" w:customStyle="1" w:styleId="CharDivText">
    <w:name w:val="CharDivText"/>
    <w:rsid w:val="006B2BB5"/>
  </w:style>
  <w:style w:type="paragraph" w:customStyle="1" w:styleId="Paragraph0">
    <w:name w:val="Paragraph"/>
    <w:basedOn w:val="Normal"/>
    <w:rsid w:val="006B2BB5"/>
    <w:pPr>
      <w:numPr>
        <w:ilvl w:val="12"/>
      </w:numPr>
      <w:spacing w:before="240"/>
    </w:pPr>
    <w:rPr>
      <w:rFonts w:ascii="Times New Roman" w:hAnsi="Times New Roman"/>
      <w:sz w:val="24"/>
      <w:szCs w:val="20"/>
      <w:lang w:eastAsia="en-AU"/>
    </w:rPr>
  </w:style>
  <w:style w:type="character" w:customStyle="1" w:styleId="CommentTextChar">
    <w:name w:val="Comment Text Char"/>
    <w:link w:val="CommentText"/>
    <w:uiPriority w:val="99"/>
    <w:semiHidden/>
    <w:rsid w:val="006B2BB5"/>
    <w:rPr>
      <w:rFonts w:ascii="CG Omega" w:hAnsi="CG Omeg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63761">
      <w:bodyDiv w:val="1"/>
      <w:marLeft w:val="0"/>
      <w:marRight w:val="0"/>
      <w:marTop w:val="0"/>
      <w:marBottom w:val="0"/>
      <w:divBdr>
        <w:top w:val="none" w:sz="0" w:space="0" w:color="auto"/>
        <w:left w:val="none" w:sz="0" w:space="0" w:color="auto"/>
        <w:bottom w:val="none" w:sz="0" w:space="0" w:color="auto"/>
        <w:right w:val="none" w:sz="0" w:space="0" w:color="auto"/>
      </w:divBdr>
      <w:divsChild>
        <w:div w:id="1465731401">
          <w:marLeft w:val="0"/>
          <w:marRight w:val="0"/>
          <w:marTop w:val="0"/>
          <w:marBottom w:val="0"/>
          <w:divBdr>
            <w:top w:val="single" w:sz="6" w:space="20" w:color="DDDDDD"/>
            <w:left w:val="none" w:sz="0" w:space="0" w:color="auto"/>
            <w:bottom w:val="single" w:sz="6" w:space="31" w:color="C8C8C8"/>
            <w:right w:val="none" w:sz="0" w:space="0" w:color="auto"/>
          </w:divBdr>
          <w:divsChild>
            <w:div w:id="786656055">
              <w:marLeft w:val="0"/>
              <w:marRight w:val="0"/>
              <w:marTop w:val="0"/>
              <w:marBottom w:val="0"/>
              <w:divBdr>
                <w:top w:val="none" w:sz="0" w:space="0" w:color="auto"/>
                <w:left w:val="none" w:sz="0" w:space="0" w:color="auto"/>
                <w:bottom w:val="none" w:sz="0" w:space="0" w:color="auto"/>
                <w:right w:val="none" w:sz="0" w:space="0" w:color="auto"/>
              </w:divBdr>
              <w:divsChild>
                <w:div w:id="1953047716">
                  <w:marLeft w:val="150"/>
                  <w:marRight w:val="150"/>
                  <w:marTop w:val="0"/>
                  <w:marBottom w:val="0"/>
                  <w:divBdr>
                    <w:top w:val="none" w:sz="0" w:space="0" w:color="auto"/>
                    <w:left w:val="none" w:sz="0" w:space="0" w:color="auto"/>
                    <w:bottom w:val="none" w:sz="0" w:space="0" w:color="auto"/>
                    <w:right w:val="none" w:sz="0" w:space="0" w:color="auto"/>
                  </w:divBdr>
                  <w:divsChild>
                    <w:div w:id="709840788">
                      <w:marLeft w:val="0"/>
                      <w:marRight w:val="0"/>
                      <w:marTop w:val="0"/>
                      <w:marBottom w:val="0"/>
                      <w:divBdr>
                        <w:top w:val="none" w:sz="0" w:space="0" w:color="auto"/>
                        <w:left w:val="none" w:sz="0" w:space="0" w:color="auto"/>
                        <w:bottom w:val="none" w:sz="0" w:space="0" w:color="auto"/>
                        <w:right w:val="none" w:sz="0" w:space="0" w:color="auto"/>
                      </w:divBdr>
                      <w:divsChild>
                        <w:div w:id="852842324">
                          <w:marLeft w:val="0"/>
                          <w:marRight w:val="0"/>
                          <w:marTop w:val="0"/>
                          <w:marBottom w:val="0"/>
                          <w:divBdr>
                            <w:top w:val="none" w:sz="0" w:space="0" w:color="auto"/>
                            <w:left w:val="none" w:sz="0" w:space="0" w:color="auto"/>
                            <w:bottom w:val="none" w:sz="0" w:space="0" w:color="auto"/>
                            <w:right w:val="none" w:sz="0" w:space="0" w:color="auto"/>
                          </w:divBdr>
                        </w:div>
                        <w:div w:id="14478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F74CE-9EEE-46D1-9A6C-2F47FCBC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797</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AUSTRAC</Company>
  <LinksUpToDate>false</LinksUpToDate>
  <CharactersWithSpaces>5195</CharactersWithSpaces>
  <SharedDoc>false</SharedDoc>
  <HLinks>
    <vt:vector size="6" baseType="variant">
      <vt:variant>
        <vt:i4>3014702</vt:i4>
      </vt:variant>
      <vt:variant>
        <vt:i4>0</vt:i4>
      </vt:variant>
      <vt:variant>
        <vt:i4>0</vt:i4>
      </vt:variant>
      <vt:variant>
        <vt:i4>5</vt:i4>
      </vt:variant>
      <vt:variant>
        <vt:lpwstr>http://www.crimtrac.gov.au/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pjohns</dc:creator>
  <cp:keywords/>
  <dc:description/>
  <cp:lastModifiedBy>Tania Chomenko</cp:lastModifiedBy>
  <cp:revision>2</cp:revision>
  <cp:lastPrinted>2014-01-24T00:31:00Z</cp:lastPrinted>
  <dcterms:created xsi:type="dcterms:W3CDTF">2014-01-28T02:56:00Z</dcterms:created>
  <dcterms:modified xsi:type="dcterms:W3CDTF">2014-01-28T02:56:00Z</dcterms:modified>
</cp:coreProperties>
</file>