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81FC" w14:textId="77777777" w:rsidR="003B7524" w:rsidRDefault="003B7524" w:rsidP="003B7524">
      <w:pPr>
        <w:rPr>
          <w:b/>
        </w:rPr>
      </w:pPr>
    </w:p>
    <w:p w14:paraId="40015B5E" w14:textId="77777777" w:rsidR="003B7524" w:rsidRDefault="003B7524" w:rsidP="003B7524">
      <w:pPr>
        <w:rPr>
          <w:b/>
        </w:rPr>
      </w:pPr>
    </w:p>
    <w:p w14:paraId="0F1AEF2E" w14:textId="77777777" w:rsidR="003B7524" w:rsidRDefault="003B7524" w:rsidP="003B7524">
      <w:pPr>
        <w:rPr>
          <w:b/>
        </w:rPr>
      </w:pPr>
    </w:p>
    <w:p w14:paraId="17567CDF" w14:textId="77777777" w:rsidR="003B7524" w:rsidRDefault="005C22B6" w:rsidP="003B7524">
      <w:pPr>
        <w:tabs>
          <w:tab w:val="right" w:pos="8312"/>
        </w:tabs>
        <w:rPr>
          <w:b/>
        </w:rPr>
      </w:pPr>
      <w:r>
        <w:rPr>
          <w:b/>
          <w:noProof/>
        </w:rPr>
        <w:pict w14:anchorId="5920D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5pt;margin-top:-10.8pt;width:250.6pt;height:63.95pt;z-index:251657728">
            <v:imagedata r:id="rId8" o:title="AUSTRAC_L2"/>
          </v:shape>
        </w:pict>
      </w:r>
      <w:r w:rsidR="003B7524">
        <w:rPr>
          <w:b/>
        </w:rPr>
        <w:tab/>
      </w:r>
    </w:p>
    <w:p w14:paraId="6C014396" w14:textId="77777777" w:rsidR="003B7524" w:rsidRDefault="003B7524" w:rsidP="003B7524">
      <w:pPr>
        <w:rPr>
          <w:b/>
        </w:rPr>
      </w:pPr>
    </w:p>
    <w:p w14:paraId="078AC3C3" w14:textId="77777777" w:rsidR="003B7524" w:rsidRDefault="003B7524" w:rsidP="003B7524">
      <w:pPr>
        <w:rPr>
          <w:b/>
        </w:rPr>
      </w:pPr>
    </w:p>
    <w:p w14:paraId="7184C376" w14:textId="77777777" w:rsidR="003B7524" w:rsidRPr="00102477" w:rsidRDefault="003B7524" w:rsidP="003B7524">
      <w:pPr>
        <w:rPr>
          <w:b/>
        </w:rPr>
      </w:pPr>
    </w:p>
    <w:p w14:paraId="0D4B8BD8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26408841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14B7F497" w14:textId="77777777" w:rsidR="003B7524" w:rsidRDefault="003B7524" w:rsidP="003B7524"/>
    <w:p w14:paraId="702F0990" w14:textId="77777777" w:rsidR="003B7524" w:rsidRDefault="003B7524" w:rsidP="003B7524"/>
    <w:p w14:paraId="578EC8CE" w14:textId="77777777" w:rsidR="003B7524" w:rsidRDefault="003B7524" w:rsidP="003B7524"/>
    <w:p w14:paraId="1BBA6B78" w14:textId="4D190B63" w:rsidR="003B7524" w:rsidRPr="00BF4F6F" w:rsidRDefault="003B7524" w:rsidP="003B7524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  <w:r w:rsidRPr="00BF4F6F">
        <w:rPr>
          <w:rFonts w:ascii="Times New Roman" w:hAnsi="Times New Roman"/>
          <w:b/>
          <w:sz w:val="24"/>
        </w:rPr>
        <w:t xml:space="preserve">Explanatory </w:t>
      </w:r>
      <w:r w:rsidR="003C0500" w:rsidRPr="00BF4F6F">
        <w:rPr>
          <w:rFonts w:ascii="Times New Roman" w:hAnsi="Times New Roman"/>
          <w:b/>
          <w:sz w:val="24"/>
        </w:rPr>
        <w:t xml:space="preserve">Statement </w:t>
      </w:r>
      <w:r w:rsidRPr="00BF4F6F">
        <w:rPr>
          <w:rFonts w:ascii="Times New Roman" w:hAnsi="Times New Roman"/>
          <w:b/>
          <w:sz w:val="24"/>
        </w:rPr>
        <w:t xml:space="preserve">– </w:t>
      </w:r>
      <w:r w:rsidR="00134CA6" w:rsidRPr="00BF4F6F">
        <w:rPr>
          <w:rFonts w:ascii="Times New Roman" w:hAnsi="Times New Roman"/>
          <w:b/>
          <w:i/>
          <w:sz w:val="24"/>
        </w:rPr>
        <w:t xml:space="preserve">Anti-Money </w:t>
      </w:r>
      <w:proofErr w:type="gramStart"/>
      <w:r w:rsidR="00134CA6" w:rsidRPr="00BF4F6F">
        <w:rPr>
          <w:rFonts w:ascii="Times New Roman" w:hAnsi="Times New Roman"/>
          <w:b/>
          <w:i/>
          <w:sz w:val="24"/>
        </w:rPr>
        <w:t>Laundering</w:t>
      </w:r>
      <w:proofErr w:type="gramEnd"/>
      <w:r w:rsidR="00134CA6" w:rsidRPr="00BF4F6F">
        <w:rPr>
          <w:rFonts w:ascii="Times New Roman" w:hAnsi="Times New Roman"/>
          <w:b/>
          <w:i/>
          <w:sz w:val="24"/>
        </w:rPr>
        <w:t xml:space="preserve"> and Counter-Terrorism Financing Rules </w:t>
      </w:r>
      <w:r w:rsidR="00856FD6" w:rsidRPr="00BF4F6F">
        <w:rPr>
          <w:rFonts w:ascii="Times New Roman" w:hAnsi="Times New Roman"/>
          <w:b/>
          <w:i/>
          <w:sz w:val="24"/>
        </w:rPr>
        <w:t>Amendment Instrument 201</w:t>
      </w:r>
      <w:r w:rsidR="002C75DD">
        <w:rPr>
          <w:rFonts w:ascii="Times New Roman" w:hAnsi="Times New Roman"/>
          <w:b/>
          <w:i/>
          <w:sz w:val="24"/>
        </w:rPr>
        <w:t>4</w:t>
      </w:r>
      <w:r w:rsidR="00856FD6" w:rsidRPr="00BF4F6F">
        <w:rPr>
          <w:rFonts w:ascii="Times New Roman" w:hAnsi="Times New Roman"/>
          <w:b/>
          <w:i/>
          <w:sz w:val="24"/>
        </w:rPr>
        <w:t xml:space="preserve"> (No. </w:t>
      </w:r>
      <w:r w:rsidR="008B14C4">
        <w:rPr>
          <w:rFonts w:ascii="Times New Roman" w:hAnsi="Times New Roman"/>
          <w:b/>
          <w:i/>
          <w:sz w:val="24"/>
        </w:rPr>
        <w:t>2</w:t>
      </w:r>
      <w:r w:rsidR="00134CA6" w:rsidRPr="00BF4F6F">
        <w:rPr>
          <w:rFonts w:ascii="Times New Roman" w:hAnsi="Times New Roman"/>
          <w:b/>
          <w:i/>
          <w:sz w:val="24"/>
        </w:rPr>
        <w:t xml:space="preserve">) </w:t>
      </w:r>
      <w:r w:rsidR="00134CA6" w:rsidRPr="00BF4F6F">
        <w:rPr>
          <w:rFonts w:ascii="Times New Roman" w:hAnsi="Times New Roman"/>
          <w:b/>
          <w:sz w:val="24"/>
        </w:rPr>
        <w:t xml:space="preserve">amending the </w:t>
      </w:r>
      <w:r w:rsidRPr="00BF4F6F">
        <w:rPr>
          <w:rFonts w:ascii="Times New Roman" w:hAnsi="Times New Roman"/>
          <w:b/>
          <w:i/>
          <w:sz w:val="24"/>
        </w:rPr>
        <w:t xml:space="preserve">Anti-Money Laundering and Counter-Terrorism Financing Rules Instrument 2007 (No. 1) </w:t>
      </w:r>
    </w:p>
    <w:p w14:paraId="59B98BE5" w14:textId="77777777" w:rsidR="003B7524" w:rsidRDefault="003B7524" w:rsidP="003B7524">
      <w:pPr>
        <w:rPr>
          <w:rFonts w:ascii="Times New Roman" w:hAnsi="Times New Roman"/>
          <w:b/>
          <w:sz w:val="24"/>
        </w:rPr>
      </w:pPr>
    </w:p>
    <w:p w14:paraId="3E38BDF6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21DC642E" w14:textId="6F28CC88" w:rsidR="003B7524" w:rsidRPr="00F0454D" w:rsidRDefault="003B7524" w:rsidP="003B7524">
      <w:pPr>
        <w:ind w:left="720" w:hanging="720"/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1.</w:t>
      </w:r>
      <w:r w:rsidRPr="00F0454D">
        <w:rPr>
          <w:rFonts w:ascii="Times New Roman" w:hAnsi="Times New Roman"/>
          <w:b/>
          <w:sz w:val="24"/>
        </w:rPr>
        <w:tab/>
        <w:t>Purpose and operation of An</w:t>
      </w:r>
      <w:r w:rsidR="00F7392E">
        <w:rPr>
          <w:rFonts w:ascii="Times New Roman" w:hAnsi="Times New Roman"/>
          <w:b/>
          <w:sz w:val="24"/>
        </w:rPr>
        <w:t>ti-Money Laundering</w:t>
      </w:r>
      <w:r w:rsidR="009808DB">
        <w:rPr>
          <w:rFonts w:ascii="Times New Roman" w:hAnsi="Times New Roman"/>
          <w:b/>
          <w:sz w:val="24"/>
        </w:rPr>
        <w:t>/</w:t>
      </w:r>
      <w:r w:rsidR="00F7392E">
        <w:rPr>
          <w:rFonts w:ascii="Times New Roman" w:hAnsi="Times New Roman"/>
          <w:b/>
          <w:sz w:val="24"/>
        </w:rPr>
        <w:t>Counter</w:t>
      </w:r>
      <w:r w:rsidR="00F7392E">
        <w:rPr>
          <w:rFonts w:ascii="Times New Roman" w:hAnsi="Times New Roman"/>
          <w:b/>
          <w:sz w:val="24"/>
        </w:rPr>
        <w:noBreakHyphen/>
      </w:r>
      <w:r w:rsidRPr="00F0454D">
        <w:rPr>
          <w:rFonts w:ascii="Times New Roman" w:hAnsi="Times New Roman"/>
          <w:b/>
          <w:sz w:val="24"/>
        </w:rPr>
        <w:t xml:space="preserve">Terrorism Financing Rules (AML/CTF Rules) </w:t>
      </w:r>
      <w:r w:rsidR="00285882">
        <w:rPr>
          <w:rFonts w:ascii="Times New Roman" w:hAnsi="Times New Roman"/>
          <w:b/>
          <w:sz w:val="24"/>
        </w:rPr>
        <w:t xml:space="preserve">amending </w:t>
      </w:r>
      <w:r w:rsidR="004D29B8">
        <w:rPr>
          <w:rFonts w:ascii="Times New Roman" w:hAnsi="Times New Roman"/>
          <w:b/>
          <w:sz w:val="24"/>
        </w:rPr>
        <w:t>Chapter</w:t>
      </w:r>
      <w:r w:rsidR="0029686B">
        <w:rPr>
          <w:rFonts w:ascii="Times New Roman" w:hAnsi="Times New Roman"/>
          <w:b/>
          <w:sz w:val="24"/>
        </w:rPr>
        <w:t xml:space="preserve"> </w:t>
      </w:r>
      <w:r w:rsidR="008B14C4">
        <w:rPr>
          <w:rFonts w:ascii="Times New Roman" w:hAnsi="Times New Roman"/>
          <w:b/>
          <w:sz w:val="24"/>
        </w:rPr>
        <w:t>2</w:t>
      </w:r>
      <w:r w:rsidR="0029686B">
        <w:rPr>
          <w:rFonts w:ascii="Times New Roman" w:hAnsi="Times New Roman"/>
          <w:b/>
          <w:sz w:val="24"/>
        </w:rPr>
        <w:t>1</w:t>
      </w:r>
      <w:r w:rsidR="00285882">
        <w:rPr>
          <w:rFonts w:ascii="Times New Roman" w:hAnsi="Times New Roman"/>
          <w:b/>
          <w:sz w:val="24"/>
        </w:rPr>
        <w:t xml:space="preserve"> </w:t>
      </w:r>
    </w:p>
    <w:p w14:paraId="1EFBFC13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440223B1" w14:textId="77777777" w:rsidR="003B7524" w:rsidRDefault="003B7524" w:rsidP="00F7392E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Section 229 of the </w:t>
      </w:r>
      <w:r w:rsidRPr="00F0454D">
        <w:rPr>
          <w:rFonts w:ascii="Times New Roman" w:hAnsi="Times New Roman"/>
          <w:i/>
          <w:sz w:val="24"/>
        </w:rPr>
        <w:t>Anti-Money Laundering and Counter-Terrorism Financing Act 2006</w:t>
      </w:r>
      <w:r w:rsidRPr="00F0454D">
        <w:rPr>
          <w:rFonts w:ascii="Times New Roman" w:hAnsi="Times New Roman"/>
          <w:sz w:val="24"/>
        </w:rPr>
        <w:t xml:space="preserve"> (</w:t>
      </w:r>
      <w:smartTag w:uri="urn:schemas-microsoft-com:office:smarttags" w:element="stockticker">
        <w:r w:rsidRPr="00F0454D">
          <w:rPr>
            <w:rFonts w:ascii="Times New Roman" w:hAnsi="Times New Roman"/>
            <w:sz w:val="24"/>
          </w:rPr>
          <w:t>AML</w:t>
        </w:r>
      </w:smartTag>
      <w:r w:rsidRPr="00F0454D">
        <w:rPr>
          <w:rFonts w:ascii="Times New Roman" w:hAnsi="Times New Roman"/>
          <w:sz w:val="24"/>
        </w:rPr>
        <w:t xml:space="preserve">/CTF Act) provides that the AUSTRAC Chief Executive Officer </w:t>
      </w:r>
      <w:r>
        <w:rPr>
          <w:rFonts w:ascii="Times New Roman" w:hAnsi="Times New Roman"/>
          <w:sz w:val="24"/>
        </w:rPr>
        <w:t xml:space="preserve">(AUSTRAC CEO) </w:t>
      </w:r>
      <w:r w:rsidR="009531E4">
        <w:rPr>
          <w:rFonts w:ascii="Times New Roman" w:hAnsi="Times New Roman"/>
          <w:sz w:val="24"/>
        </w:rPr>
        <w:t>may, b</w:t>
      </w:r>
      <w:r w:rsidRPr="00F0454D">
        <w:rPr>
          <w:rFonts w:ascii="Times New Roman" w:hAnsi="Times New Roman"/>
          <w:sz w:val="24"/>
        </w:rPr>
        <w:t xml:space="preserve">y writing, make AML/CTF Rules prescribing matters required or permitted by any other provision of the </w:t>
      </w:r>
      <w:smartTag w:uri="urn:schemas-microsoft-com:office:smarttags" w:element="stockticker">
        <w:r w:rsidRPr="00F0454D">
          <w:rPr>
            <w:rFonts w:ascii="Times New Roman" w:hAnsi="Times New Roman"/>
            <w:sz w:val="24"/>
          </w:rPr>
          <w:t>AML</w:t>
        </w:r>
      </w:smartTag>
      <w:r w:rsidRPr="00F0454D">
        <w:rPr>
          <w:rFonts w:ascii="Times New Roman" w:hAnsi="Times New Roman"/>
          <w:sz w:val="24"/>
        </w:rPr>
        <w:t>/CTF Act.</w:t>
      </w:r>
    </w:p>
    <w:p w14:paraId="21201F62" w14:textId="77777777" w:rsidR="00285882" w:rsidRDefault="00285882" w:rsidP="00A44FB5">
      <w:pPr>
        <w:ind w:left="720" w:hanging="720"/>
        <w:rPr>
          <w:rFonts w:ascii="Times New Roman" w:hAnsi="Times New Roman"/>
          <w:sz w:val="24"/>
        </w:rPr>
      </w:pPr>
    </w:p>
    <w:p w14:paraId="6860C386" w14:textId="0B3B6F87" w:rsid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Amendment to Chapter </w:t>
      </w:r>
      <w:r w:rsidR="008B14C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1</w:t>
      </w:r>
    </w:p>
    <w:p w14:paraId="6339CC1C" w14:textId="77777777" w:rsidR="00C039F5" w:rsidRP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</w:p>
    <w:p w14:paraId="330442AE" w14:textId="7A8A40CF" w:rsidR="006B520D" w:rsidRDefault="008B14C4" w:rsidP="005E600A">
      <w:pPr>
        <w:numPr>
          <w:ilvl w:val="0"/>
          <w:numId w:val="2"/>
        </w:numPr>
        <w:autoSpaceDE w:val="0"/>
        <w:autoSpaceDN w:val="0"/>
        <w:adjustRightInd w:val="0"/>
        <w:ind w:left="709" w:hanging="709"/>
        <w:rPr>
          <w:rFonts w:ascii="Times New Roman" w:hAnsi="Times New Roman"/>
          <w:sz w:val="24"/>
        </w:rPr>
      </w:pPr>
      <w:r w:rsidRPr="00893479">
        <w:rPr>
          <w:rFonts w:ascii="Times New Roman" w:hAnsi="Times New Roman"/>
          <w:sz w:val="24"/>
        </w:rPr>
        <w:t xml:space="preserve">These AML/CTF Rules amend Chapter 21 (issuing or selling a security or derivative) by providing an exemption </w:t>
      </w:r>
      <w:r w:rsidR="0049116B" w:rsidRPr="00893479">
        <w:rPr>
          <w:rFonts w:ascii="Times New Roman" w:hAnsi="Times New Roman"/>
          <w:sz w:val="24"/>
        </w:rPr>
        <w:t xml:space="preserve">from the obligations under the AML/CTF Act </w:t>
      </w:r>
      <w:r w:rsidRPr="00893479">
        <w:rPr>
          <w:rFonts w:ascii="Times New Roman" w:hAnsi="Times New Roman"/>
          <w:sz w:val="24"/>
        </w:rPr>
        <w:t>for reporting entities which provide designated services under item 35 of table 1 in subsection 6(2) of the AML/CTF Act in certain circumstances</w:t>
      </w:r>
      <w:r w:rsidR="0049116B" w:rsidRPr="00893479">
        <w:rPr>
          <w:rFonts w:ascii="Times New Roman" w:hAnsi="Times New Roman"/>
          <w:sz w:val="24"/>
        </w:rPr>
        <w:t xml:space="preserve">.  </w:t>
      </w:r>
    </w:p>
    <w:p w14:paraId="68FADA01" w14:textId="77777777" w:rsidR="005E600A" w:rsidRPr="00893479" w:rsidRDefault="005E600A" w:rsidP="005E600A">
      <w:pPr>
        <w:autoSpaceDE w:val="0"/>
        <w:autoSpaceDN w:val="0"/>
        <w:adjustRightInd w:val="0"/>
        <w:ind w:left="709"/>
        <w:rPr>
          <w:rFonts w:ascii="Times New Roman" w:hAnsi="Times New Roman"/>
          <w:sz w:val="24"/>
        </w:rPr>
      </w:pPr>
    </w:p>
    <w:p w14:paraId="457EE627" w14:textId="06D5B5A8" w:rsidR="009671EF" w:rsidRDefault="0049116B" w:rsidP="004A3E59">
      <w:pPr>
        <w:numPr>
          <w:ilvl w:val="0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The new exemption will </w:t>
      </w:r>
      <w:r w:rsidR="003932F4">
        <w:rPr>
          <w:rFonts w:ascii="Times New Roman" w:hAnsi="Times New Roman"/>
          <w:sz w:val="24"/>
        </w:rPr>
        <w:t xml:space="preserve">only </w:t>
      </w:r>
      <w:r>
        <w:rPr>
          <w:rFonts w:ascii="Times New Roman" w:hAnsi="Times New Roman"/>
          <w:sz w:val="24"/>
        </w:rPr>
        <w:t xml:space="preserve">apply to the issue </w:t>
      </w:r>
      <w:r w:rsidR="003932F4">
        <w:rPr>
          <w:rFonts w:ascii="Times New Roman" w:hAnsi="Times New Roman"/>
          <w:sz w:val="24"/>
        </w:rPr>
        <w:t xml:space="preserve">(but not sale, transfer or redemption) </w:t>
      </w:r>
      <w:r>
        <w:rPr>
          <w:rFonts w:ascii="Times New Roman" w:hAnsi="Times New Roman"/>
          <w:sz w:val="24"/>
        </w:rPr>
        <w:t xml:space="preserve">of a new interest in a managed investment scheme registered under section 601EB of the </w:t>
      </w:r>
      <w:r w:rsidRPr="0049116B">
        <w:rPr>
          <w:rFonts w:ascii="Times New Roman" w:hAnsi="Times New Roman"/>
          <w:i/>
          <w:sz w:val="24"/>
        </w:rPr>
        <w:t>Corporations Act 2001</w:t>
      </w:r>
      <w:r w:rsidR="00976AF8">
        <w:rPr>
          <w:rFonts w:ascii="Times New Roman" w:hAnsi="Times New Roman"/>
          <w:sz w:val="24"/>
        </w:rPr>
        <w:t xml:space="preserve"> (registered MIS)</w:t>
      </w:r>
      <w:r w:rsidR="003932F4">
        <w:rPr>
          <w:rFonts w:ascii="Times New Roman" w:hAnsi="Times New Roman"/>
          <w:sz w:val="24"/>
        </w:rPr>
        <w:t xml:space="preserve"> which is not admitted to quotation on a financial market</w:t>
      </w:r>
      <w:r w:rsidRPr="0049116B">
        <w:rPr>
          <w:rFonts w:ascii="Times New Roman" w:hAnsi="Times New Roman"/>
          <w:i/>
          <w:sz w:val="24"/>
        </w:rPr>
        <w:t>.</w:t>
      </w:r>
    </w:p>
    <w:p w14:paraId="1D7C153C" w14:textId="77777777" w:rsidR="003932F4" w:rsidRDefault="003932F4" w:rsidP="003932F4">
      <w:pPr>
        <w:pStyle w:val="ListParagraph"/>
        <w:rPr>
          <w:rFonts w:ascii="Times New Roman" w:hAnsi="Times New Roman"/>
          <w:i/>
          <w:sz w:val="24"/>
        </w:rPr>
      </w:pPr>
    </w:p>
    <w:p w14:paraId="3C476528" w14:textId="24E54D59" w:rsidR="003932F4" w:rsidRDefault="003932F4" w:rsidP="003932F4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exemption does not apply to interests in MISs which form part of a stapled security.  New definitions of </w:t>
      </w:r>
      <w:r w:rsidR="00893479">
        <w:rPr>
          <w:rFonts w:ascii="Times New Roman" w:hAnsi="Times New Roman"/>
          <w:sz w:val="24"/>
        </w:rPr>
        <w:t xml:space="preserve">‘Australian market licence exemption’, </w:t>
      </w:r>
      <w:r>
        <w:rPr>
          <w:rFonts w:ascii="Times New Roman" w:hAnsi="Times New Roman"/>
          <w:sz w:val="24"/>
        </w:rPr>
        <w:t>‘managed investment scheme’</w:t>
      </w:r>
      <w:r w:rsidR="00893479">
        <w:rPr>
          <w:rFonts w:ascii="Times New Roman" w:hAnsi="Times New Roman"/>
          <w:sz w:val="24"/>
        </w:rPr>
        <w:t>, ‘MIS service’, ‘participant’</w:t>
      </w:r>
      <w:r>
        <w:rPr>
          <w:rFonts w:ascii="Times New Roman" w:hAnsi="Times New Roman"/>
          <w:sz w:val="24"/>
        </w:rPr>
        <w:t xml:space="preserve"> and ‘registered managed investment scheme’ have been added.</w:t>
      </w:r>
    </w:p>
    <w:p w14:paraId="3A5FC1C2" w14:textId="77777777" w:rsidR="004A3E59" w:rsidRDefault="004A3E59" w:rsidP="004A3E59">
      <w:pPr>
        <w:pStyle w:val="ListParagraph"/>
        <w:tabs>
          <w:tab w:val="left" w:pos="709"/>
        </w:tabs>
        <w:ind w:hanging="720"/>
        <w:rPr>
          <w:rFonts w:ascii="Times New Roman" w:hAnsi="Times New Roman"/>
          <w:sz w:val="24"/>
        </w:rPr>
      </w:pPr>
    </w:p>
    <w:p w14:paraId="181CD70C" w14:textId="48B3E61B" w:rsidR="004A3E59" w:rsidRDefault="00893479" w:rsidP="004A3E59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exemption relates to the following </w:t>
      </w:r>
      <w:r w:rsidR="004A3E59">
        <w:rPr>
          <w:rFonts w:ascii="Times New Roman" w:hAnsi="Times New Roman"/>
          <w:sz w:val="24"/>
        </w:rPr>
        <w:t>parties:</w:t>
      </w:r>
    </w:p>
    <w:p w14:paraId="7F521E9E" w14:textId="77777777" w:rsidR="004A3E59" w:rsidRDefault="004A3E59" w:rsidP="004A3E59">
      <w:pPr>
        <w:pStyle w:val="ListParagraph"/>
        <w:rPr>
          <w:rFonts w:ascii="Times New Roman" w:hAnsi="Times New Roman"/>
          <w:sz w:val="24"/>
        </w:rPr>
      </w:pPr>
    </w:p>
    <w:p w14:paraId="0F364E12" w14:textId="7E32A2AC" w:rsidR="004A3E59" w:rsidRPr="005E600A" w:rsidRDefault="004A3E59" w:rsidP="004A3E59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5E600A">
        <w:rPr>
          <w:rFonts w:ascii="Times New Roman" w:hAnsi="Times New Roman"/>
          <w:sz w:val="24"/>
        </w:rPr>
        <w:t>The issuer of the interest(s) in the MIS</w:t>
      </w:r>
      <w:r w:rsidR="00893479" w:rsidRPr="005E600A">
        <w:rPr>
          <w:rFonts w:ascii="Times New Roman" w:hAnsi="Times New Roman"/>
          <w:sz w:val="24"/>
        </w:rPr>
        <w:t xml:space="preserve"> is</w:t>
      </w:r>
      <w:r w:rsidR="00893479">
        <w:rPr>
          <w:rFonts w:ascii="Times New Roman" w:hAnsi="Times New Roman"/>
          <w:b/>
          <w:sz w:val="24"/>
        </w:rPr>
        <w:t xml:space="preserve"> </w:t>
      </w:r>
      <w:r w:rsidRPr="00915C8B">
        <w:rPr>
          <w:rFonts w:ascii="Times New Roman" w:hAnsi="Times New Roman"/>
          <w:sz w:val="24"/>
        </w:rPr>
        <w:t xml:space="preserve">a reporting entity as it </w:t>
      </w:r>
      <w:r w:rsidR="00893479">
        <w:rPr>
          <w:rFonts w:ascii="Times New Roman" w:hAnsi="Times New Roman"/>
          <w:sz w:val="24"/>
        </w:rPr>
        <w:t xml:space="preserve">will </w:t>
      </w:r>
      <w:r w:rsidRPr="00915C8B">
        <w:rPr>
          <w:rFonts w:ascii="Times New Roman" w:hAnsi="Times New Roman"/>
          <w:sz w:val="24"/>
        </w:rPr>
        <w:t>be providing a</w:t>
      </w:r>
      <w:r w:rsidR="00893479">
        <w:rPr>
          <w:rFonts w:ascii="Times New Roman" w:hAnsi="Times New Roman"/>
          <w:sz w:val="24"/>
        </w:rPr>
        <w:t>n item 35</w:t>
      </w:r>
      <w:r w:rsidRPr="00915C8B">
        <w:rPr>
          <w:rFonts w:ascii="Times New Roman" w:hAnsi="Times New Roman"/>
          <w:sz w:val="24"/>
        </w:rPr>
        <w:t xml:space="preserve"> designated service</w:t>
      </w:r>
      <w:r w:rsidR="005E600A">
        <w:rPr>
          <w:rFonts w:ascii="Times New Roman" w:hAnsi="Times New Roman"/>
          <w:sz w:val="24"/>
        </w:rPr>
        <w:t>.</w:t>
      </w:r>
    </w:p>
    <w:p w14:paraId="36C225E9" w14:textId="77777777" w:rsidR="005E600A" w:rsidRPr="00915C8B" w:rsidRDefault="005E600A" w:rsidP="005E600A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</w:rPr>
      </w:pPr>
    </w:p>
    <w:p w14:paraId="45A9DC85" w14:textId="79272B1B" w:rsidR="004A3E59" w:rsidRDefault="004A3E59" w:rsidP="00EF1BAE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noted that an issuer may have an agent acting on their behalf in relation to the issue of an interest in an MIS</w:t>
      </w:r>
      <w:r w:rsidR="00893479">
        <w:rPr>
          <w:rFonts w:ascii="Times New Roman" w:hAnsi="Times New Roman"/>
          <w:sz w:val="24"/>
        </w:rPr>
        <w:t>, for</w:t>
      </w:r>
      <w:r>
        <w:rPr>
          <w:rFonts w:ascii="Times New Roman" w:hAnsi="Times New Roman"/>
          <w:sz w:val="24"/>
        </w:rPr>
        <w:t xml:space="preserve"> example</w:t>
      </w:r>
      <w:r w:rsidR="005E60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 Product Issuer </w:t>
      </w:r>
      <w:r>
        <w:rPr>
          <w:rFonts w:ascii="Times New Roman" w:hAnsi="Times New Roman"/>
          <w:sz w:val="24"/>
        </w:rPr>
        <w:lastRenderedPageBreak/>
        <w:t xml:space="preserve">Settlement Participant (PISP) who acts through the Clearing House Electronic </w:t>
      </w:r>
      <w:proofErr w:type="spellStart"/>
      <w:r>
        <w:rPr>
          <w:rFonts w:ascii="Times New Roman" w:hAnsi="Times New Roman"/>
          <w:sz w:val="24"/>
        </w:rPr>
        <w:t>Subregister</w:t>
      </w:r>
      <w:proofErr w:type="spellEnd"/>
      <w:r>
        <w:rPr>
          <w:rFonts w:ascii="Times New Roman" w:hAnsi="Times New Roman"/>
          <w:sz w:val="24"/>
        </w:rPr>
        <w:t xml:space="preserve"> System (CHESS).  </w:t>
      </w:r>
      <w:r w:rsidR="00893479">
        <w:rPr>
          <w:rFonts w:ascii="Times New Roman" w:hAnsi="Times New Roman"/>
          <w:sz w:val="24"/>
        </w:rPr>
        <w:t>As</w:t>
      </w:r>
      <w:r w:rsidR="00EF1BAE">
        <w:rPr>
          <w:rFonts w:ascii="Times New Roman" w:hAnsi="Times New Roman"/>
          <w:sz w:val="24"/>
        </w:rPr>
        <w:t xml:space="preserve"> the principles of agency apply across the AML/CTF Act generally, a PISP could act on behalf of an issuer-entity, </w:t>
      </w:r>
      <w:r w:rsidR="00893479">
        <w:rPr>
          <w:rFonts w:ascii="Times New Roman" w:hAnsi="Times New Roman"/>
          <w:sz w:val="24"/>
        </w:rPr>
        <w:t xml:space="preserve">but </w:t>
      </w:r>
      <w:r w:rsidR="00EF1BAE">
        <w:rPr>
          <w:rFonts w:ascii="Times New Roman" w:hAnsi="Times New Roman"/>
          <w:sz w:val="24"/>
        </w:rPr>
        <w:t xml:space="preserve">the issuer would still be the reporting entity </w:t>
      </w:r>
      <w:r w:rsidR="00893479">
        <w:rPr>
          <w:rFonts w:ascii="Times New Roman" w:hAnsi="Times New Roman"/>
          <w:sz w:val="24"/>
        </w:rPr>
        <w:t>under the</w:t>
      </w:r>
      <w:r w:rsidR="00EF1BAE">
        <w:rPr>
          <w:rFonts w:ascii="Times New Roman" w:hAnsi="Times New Roman"/>
          <w:sz w:val="24"/>
        </w:rPr>
        <w:t xml:space="preserve"> AML/CTF </w:t>
      </w:r>
      <w:r w:rsidR="00893479">
        <w:rPr>
          <w:rFonts w:ascii="Times New Roman" w:hAnsi="Times New Roman"/>
          <w:sz w:val="24"/>
        </w:rPr>
        <w:t>Act</w:t>
      </w:r>
      <w:r w:rsidR="00EF1BAE">
        <w:rPr>
          <w:rFonts w:ascii="Times New Roman" w:hAnsi="Times New Roman"/>
          <w:sz w:val="24"/>
        </w:rPr>
        <w:t>.</w:t>
      </w:r>
    </w:p>
    <w:p w14:paraId="62672B0A" w14:textId="77777777" w:rsidR="00A40D24" w:rsidRDefault="00A40D24" w:rsidP="00EF1BAE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</w:p>
    <w:p w14:paraId="2CD6D0B9" w14:textId="6854C576" w:rsidR="00A40D24" w:rsidRDefault="00A40D24" w:rsidP="00A40D24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893479">
        <w:rPr>
          <w:rFonts w:ascii="Times New Roman" w:hAnsi="Times New Roman"/>
          <w:sz w:val="24"/>
        </w:rPr>
        <w:t xml:space="preserve">The customer of the item 35 designated </w:t>
      </w:r>
      <w:proofErr w:type="gramStart"/>
      <w:r w:rsidRPr="00893479">
        <w:rPr>
          <w:rFonts w:ascii="Times New Roman" w:hAnsi="Times New Roman"/>
          <w:sz w:val="24"/>
        </w:rPr>
        <w:t>service</w:t>
      </w:r>
      <w:proofErr w:type="gramEnd"/>
      <w:r w:rsidR="00893479" w:rsidRPr="00893479"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sz w:val="24"/>
        </w:rPr>
        <w:t>the person to whom the interest in the registered MIS is issued.</w:t>
      </w:r>
    </w:p>
    <w:p w14:paraId="781154F9" w14:textId="77777777" w:rsidR="00A40D24" w:rsidRDefault="00A40D24" w:rsidP="00A40D24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</w:p>
    <w:p w14:paraId="07D4B6BB" w14:textId="4CFD2F66" w:rsidR="00FC42B9" w:rsidRPr="00FC42B9" w:rsidRDefault="00A40D24" w:rsidP="007E2861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893479">
        <w:rPr>
          <w:rFonts w:ascii="Times New Roman" w:hAnsi="Times New Roman"/>
          <w:sz w:val="24"/>
        </w:rPr>
        <w:t>The broker acting on behalf of a customer</w:t>
      </w:r>
      <w:r w:rsidR="00893479" w:rsidRPr="00893479"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sz w:val="24"/>
        </w:rPr>
        <w:t>a reporting entity as it would be providing a</w:t>
      </w:r>
      <w:r w:rsidR="00893479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893479">
        <w:rPr>
          <w:rFonts w:ascii="Times New Roman" w:hAnsi="Times New Roman"/>
          <w:sz w:val="24"/>
        </w:rPr>
        <w:t xml:space="preserve">item 33 </w:t>
      </w:r>
      <w:r>
        <w:rPr>
          <w:rFonts w:ascii="Times New Roman" w:hAnsi="Times New Roman"/>
          <w:sz w:val="24"/>
        </w:rPr>
        <w:t xml:space="preserve">designated </w:t>
      </w:r>
      <w:r w:rsidR="00D34049">
        <w:rPr>
          <w:rFonts w:ascii="Times New Roman" w:hAnsi="Times New Roman"/>
          <w:sz w:val="24"/>
        </w:rPr>
        <w:t xml:space="preserve">service </w:t>
      </w:r>
      <w:r w:rsidR="00893479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the broker would be acquiring an interest in the registered MIS in the capacity of an agent of a person.</w:t>
      </w:r>
    </w:p>
    <w:p w14:paraId="621DE962" w14:textId="6943A520" w:rsidR="00A40D24" w:rsidRDefault="00A40D24" w:rsidP="007E2861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</w:rPr>
      </w:pPr>
    </w:p>
    <w:p w14:paraId="4C8589AD" w14:textId="04C80086" w:rsidR="004B17CA" w:rsidRDefault="004B17CA" w:rsidP="004B17CA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the exemption to apply, this item 33 reporting entity must be a ‘participant’ as defined by section 761A of the </w:t>
      </w:r>
      <w:r w:rsidRPr="004B17CA">
        <w:rPr>
          <w:rFonts w:ascii="Times New Roman" w:hAnsi="Times New Roman"/>
          <w:i/>
          <w:sz w:val="24"/>
        </w:rPr>
        <w:t>Corporations Act 2001.</w:t>
      </w:r>
    </w:p>
    <w:p w14:paraId="1E2E1320" w14:textId="77777777" w:rsidR="004B17CA" w:rsidRDefault="004B17CA" w:rsidP="004B17CA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</w:p>
    <w:p w14:paraId="13E11F82" w14:textId="1728B42B" w:rsidR="005352F5" w:rsidRPr="005E600A" w:rsidRDefault="00A40D24" w:rsidP="005E600A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103FF">
        <w:rPr>
          <w:rFonts w:ascii="Times New Roman" w:hAnsi="Times New Roman"/>
          <w:sz w:val="24"/>
        </w:rPr>
        <w:t>The</w:t>
      </w:r>
      <w:r w:rsidR="005352F5" w:rsidRPr="007103FF">
        <w:rPr>
          <w:rFonts w:ascii="Times New Roman" w:hAnsi="Times New Roman"/>
          <w:sz w:val="24"/>
        </w:rPr>
        <w:t xml:space="preserve"> customer of the item 33 designated </w:t>
      </w:r>
      <w:proofErr w:type="gramStart"/>
      <w:r w:rsidR="005352F5" w:rsidRPr="007103FF">
        <w:rPr>
          <w:rFonts w:ascii="Times New Roman" w:hAnsi="Times New Roman"/>
          <w:sz w:val="24"/>
        </w:rPr>
        <w:t>service</w:t>
      </w:r>
      <w:proofErr w:type="gramEnd"/>
      <w:r w:rsidR="00893479" w:rsidRPr="007103FF">
        <w:rPr>
          <w:rFonts w:ascii="Times New Roman" w:hAnsi="Times New Roman"/>
          <w:sz w:val="24"/>
        </w:rPr>
        <w:t xml:space="preserve"> is </w:t>
      </w:r>
      <w:r w:rsidR="005352F5" w:rsidRPr="00915C8B">
        <w:rPr>
          <w:rFonts w:ascii="Times New Roman" w:hAnsi="Times New Roman"/>
          <w:sz w:val="24"/>
        </w:rPr>
        <w:t>the person who has engaged the broker to act on their behalf in relation to the application for the allotment of an interest in the registered MIS.</w:t>
      </w:r>
    </w:p>
    <w:p w14:paraId="440C1EDC" w14:textId="77777777" w:rsidR="00915C8B" w:rsidRPr="00915C8B" w:rsidRDefault="00915C8B" w:rsidP="00915C8B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</w:rPr>
      </w:pPr>
    </w:p>
    <w:p w14:paraId="6285CD7A" w14:textId="0F93AAB9" w:rsidR="007E32CD" w:rsidRDefault="00915C8B" w:rsidP="004A3E59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</w:t>
      </w:r>
      <w:r w:rsidR="00893479">
        <w:rPr>
          <w:rFonts w:ascii="Times New Roman" w:hAnsi="Times New Roman"/>
          <w:sz w:val="24"/>
        </w:rPr>
        <w:t xml:space="preserve"> above </w:t>
      </w:r>
      <w:r>
        <w:rPr>
          <w:rFonts w:ascii="Times New Roman" w:hAnsi="Times New Roman"/>
          <w:sz w:val="24"/>
        </w:rPr>
        <w:t>circumstances, the customer of</w:t>
      </w:r>
      <w:r w:rsidR="007E32CD">
        <w:rPr>
          <w:rFonts w:ascii="Times New Roman" w:hAnsi="Times New Roman"/>
          <w:sz w:val="24"/>
        </w:rPr>
        <w:t xml:space="preserve"> reporting entity providing</w:t>
      </w:r>
      <w:r>
        <w:rPr>
          <w:rFonts w:ascii="Times New Roman" w:hAnsi="Times New Roman"/>
          <w:sz w:val="24"/>
        </w:rPr>
        <w:t xml:space="preserve"> the item 35 designated </w:t>
      </w:r>
      <w:proofErr w:type="gramStart"/>
      <w:r>
        <w:rPr>
          <w:rFonts w:ascii="Times New Roman" w:hAnsi="Times New Roman"/>
          <w:sz w:val="24"/>
        </w:rPr>
        <w:t>service</w:t>
      </w:r>
      <w:proofErr w:type="gramEnd"/>
      <w:r>
        <w:rPr>
          <w:rFonts w:ascii="Times New Roman" w:hAnsi="Times New Roman"/>
          <w:sz w:val="24"/>
        </w:rPr>
        <w:t xml:space="preserve"> is also the customer of the </w:t>
      </w:r>
      <w:r w:rsidR="007E32CD">
        <w:rPr>
          <w:rFonts w:ascii="Times New Roman" w:hAnsi="Times New Roman"/>
          <w:sz w:val="24"/>
        </w:rPr>
        <w:t xml:space="preserve">reporting entity providing </w:t>
      </w:r>
      <w:r>
        <w:rPr>
          <w:rFonts w:ascii="Times New Roman" w:hAnsi="Times New Roman"/>
          <w:sz w:val="24"/>
        </w:rPr>
        <w:t>item 33 designated service</w:t>
      </w:r>
      <w:r w:rsidR="005E600A">
        <w:rPr>
          <w:rFonts w:ascii="Times New Roman" w:hAnsi="Times New Roman"/>
          <w:sz w:val="24"/>
        </w:rPr>
        <w:t>.  B</w:t>
      </w:r>
      <w:r>
        <w:rPr>
          <w:rFonts w:ascii="Times New Roman" w:hAnsi="Times New Roman"/>
          <w:sz w:val="24"/>
        </w:rPr>
        <w:t>oth reporting entities need to identify and verify and undertake various AML/CTF obligations</w:t>
      </w:r>
      <w:r w:rsidR="007E32CD">
        <w:rPr>
          <w:rFonts w:ascii="Times New Roman" w:hAnsi="Times New Roman"/>
          <w:sz w:val="24"/>
        </w:rPr>
        <w:t xml:space="preserve"> in relation to the same customer.</w:t>
      </w:r>
      <w:r w:rsidR="00893479">
        <w:rPr>
          <w:rFonts w:ascii="Times New Roman" w:hAnsi="Times New Roman"/>
          <w:sz w:val="24"/>
        </w:rPr>
        <w:t xml:space="preserve"> </w:t>
      </w:r>
      <w:r w:rsidR="005E600A">
        <w:rPr>
          <w:rFonts w:ascii="Times New Roman" w:hAnsi="Times New Roman"/>
          <w:sz w:val="24"/>
        </w:rPr>
        <w:t xml:space="preserve"> </w:t>
      </w:r>
      <w:r w:rsidR="00893479">
        <w:rPr>
          <w:rFonts w:ascii="Times New Roman" w:hAnsi="Times New Roman"/>
          <w:sz w:val="24"/>
        </w:rPr>
        <w:t>The exemption avoids this duplication.</w:t>
      </w:r>
    </w:p>
    <w:p w14:paraId="1097AC49" w14:textId="77777777" w:rsidR="00100A29" w:rsidRDefault="00100A29" w:rsidP="00100A29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6991F05A" w14:textId="6EB52309" w:rsidR="00100A29" w:rsidRDefault="00915C8B" w:rsidP="004A3E59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the exemption to apply</w:t>
      </w:r>
      <w:r w:rsidR="00706BE4">
        <w:rPr>
          <w:rFonts w:ascii="Times New Roman" w:hAnsi="Times New Roman"/>
          <w:sz w:val="24"/>
        </w:rPr>
        <w:t xml:space="preserve"> to the reporting entity providing the item </w:t>
      </w:r>
      <w:r w:rsidR="00402D9E">
        <w:rPr>
          <w:rFonts w:ascii="Times New Roman" w:hAnsi="Times New Roman"/>
          <w:sz w:val="24"/>
        </w:rPr>
        <w:t>3</w:t>
      </w:r>
      <w:r w:rsidR="00CF684B">
        <w:rPr>
          <w:rFonts w:ascii="Times New Roman" w:hAnsi="Times New Roman"/>
          <w:sz w:val="24"/>
        </w:rPr>
        <w:t>5</w:t>
      </w:r>
      <w:r w:rsidR="00402D9E">
        <w:rPr>
          <w:rFonts w:ascii="Times New Roman" w:hAnsi="Times New Roman"/>
          <w:sz w:val="24"/>
        </w:rPr>
        <w:t xml:space="preserve"> </w:t>
      </w:r>
      <w:r w:rsidR="00706BE4">
        <w:rPr>
          <w:rFonts w:ascii="Times New Roman" w:hAnsi="Times New Roman"/>
          <w:sz w:val="24"/>
        </w:rPr>
        <w:t>designated service, the following conditions need to be satisfied:</w:t>
      </w:r>
    </w:p>
    <w:p w14:paraId="79D4EDFC" w14:textId="608803F9" w:rsidR="007202F1" w:rsidRDefault="007202F1" w:rsidP="007103FF">
      <w:pPr>
        <w:pStyle w:val="Default"/>
        <w:tabs>
          <w:tab w:val="left" w:pos="1418"/>
        </w:tabs>
        <w:spacing w:before="240"/>
        <w:ind w:left="1418" w:right="520" w:hanging="698"/>
      </w:pPr>
      <w:r>
        <w:t>(1)</w:t>
      </w:r>
      <w:r>
        <w:tab/>
        <w:t xml:space="preserve">The processing and settlement of the issue of the interest in the </w:t>
      </w:r>
      <w:r w:rsidR="00507EC4">
        <w:t xml:space="preserve">registered MIS </w:t>
      </w:r>
      <w:r>
        <w:t>will need to occur through a particular type of electronic platform or facility</w:t>
      </w:r>
      <w:r w:rsidR="00893479">
        <w:t xml:space="preserve"> which can only </w:t>
      </w:r>
      <w:r>
        <w:t>be operated by the following persons:</w:t>
      </w:r>
    </w:p>
    <w:p w14:paraId="78BAE1C4" w14:textId="718887A8" w:rsidR="007202F1" w:rsidRDefault="007202F1" w:rsidP="0041387C">
      <w:pPr>
        <w:pStyle w:val="Default"/>
        <w:numPr>
          <w:ilvl w:val="1"/>
          <w:numId w:val="17"/>
        </w:numPr>
        <w:tabs>
          <w:tab w:val="left" w:pos="1985"/>
        </w:tabs>
        <w:spacing w:before="240"/>
        <w:ind w:left="1985" w:right="520" w:hanging="567"/>
      </w:pPr>
      <w:r>
        <w:t>a prescribed financial market; or</w:t>
      </w:r>
    </w:p>
    <w:p w14:paraId="34741AC2" w14:textId="325CCFD0" w:rsidR="007202F1" w:rsidRDefault="007202F1" w:rsidP="0041387C">
      <w:pPr>
        <w:pStyle w:val="Default"/>
        <w:numPr>
          <w:ilvl w:val="1"/>
          <w:numId w:val="17"/>
        </w:numPr>
        <w:tabs>
          <w:tab w:val="left" w:pos="1985"/>
        </w:tabs>
        <w:spacing w:before="240"/>
        <w:ind w:left="1985" w:right="520" w:hanging="567"/>
      </w:pPr>
      <w:r>
        <w:t>an operator of a financial market in respect of which an ‘Australian market licence exemption’ has been made; or</w:t>
      </w:r>
    </w:p>
    <w:p w14:paraId="6533565F" w14:textId="32422C72" w:rsidR="007202F1" w:rsidRDefault="007202F1" w:rsidP="0041387C">
      <w:pPr>
        <w:pStyle w:val="Default"/>
        <w:numPr>
          <w:ilvl w:val="1"/>
          <w:numId w:val="17"/>
        </w:numPr>
        <w:tabs>
          <w:tab w:val="left" w:pos="1985"/>
        </w:tabs>
        <w:spacing w:before="240"/>
        <w:ind w:left="1985" w:right="520" w:hanging="567"/>
      </w:pPr>
      <w:r>
        <w:t xml:space="preserve">both </w:t>
      </w:r>
      <w:r w:rsidR="008A602F">
        <w:t xml:space="preserve">of the persons specified in paragraphs </w:t>
      </w:r>
      <w:r>
        <w:t>(a) and (b)</w:t>
      </w:r>
      <w:r w:rsidR="008A602F">
        <w:t>.</w:t>
      </w:r>
    </w:p>
    <w:p w14:paraId="53562301" w14:textId="2019AE90" w:rsidR="007202F1" w:rsidRDefault="005E600A" w:rsidP="005E600A">
      <w:pPr>
        <w:pStyle w:val="Default"/>
        <w:tabs>
          <w:tab w:val="left" w:pos="1418"/>
        </w:tabs>
        <w:spacing w:before="240"/>
        <w:ind w:left="1418" w:right="520" w:hanging="709"/>
      </w:pPr>
      <w:r>
        <w:t>(2)</w:t>
      </w:r>
      <w:r>
        <w:tab/>
      </w:r>
      <w:r w:rsidR="007202F1">
        <w:t xml:space="preserve">The customer of the item 35 designated </w:t>
      </w:r>
      <w:proofErr w:type="gramStart"/>
      <w:r w:rsidR="007202F1">
        <w:t>service</w:t>
      </w:r>
      <w:proofErr w:type="gramEnd"/>
      <w:r w:rsidR="007202F1">
        <w:t xml:space="preserve"> will need to have been provided with a designated service covered by </w:t>
      </w:r>
      <w:r w:rsidR="00893479">
        <w:t xml:space="preserve">the </w:t>
      </w:r>
      <w:r w:rsidR="007202F1">
        <w:t>item 33 reporting entity</w:t>
      </w:r>
      <w:r w:rsidR="00F06A0F">
        <w:t>.</w:t>
      </w:r>
      <w:r w:rsidR="007202F1">
        <w:t xml:space="preserve"> </w:t>
      </w:r>
    </w:p>
    <w:p w14:paraId="2A89B7F4" w14:textId="4144A158" w:rsidR="007202F1" w:rsidRDefault="007202F1" w:rsidP="008A602F">
      <w:pPr>
        <w:pStyle w:val="Default"/>
        <w:numPr>
          <w:ilvl w:val="0"/>
          <w:numId w:val="17"/>
        </w:numPr>
        <w:tabs>
          <w:tab w:val="left" w:pos="1418"/>
        </w:tabs>
        <w:spacing w:before="240"/>
        <w:ind w:left="1418" w:right="520" w:hanging="698"/>
      </w:pPr>
      <w:r>
        <w:t xml:space="preserve">The </w:t>
      </w:r>
      <w:r w:rsidR="00507EC4">
        <w:t xml:space="preserve">item 33 </w:t>
      </w:r>
      <w:r>
        <w:t xml:space="preserve">reporting entity </w:t>
      </w:r>
      <w:r w:rsidR="00893479">
        <w:t>must carry</w:t>
      </w:r>
      <w:r>
        <w:t xml:space="preserve"> out an applicable customer identification procedure in relation to the customer and electronically confirm through the MIS platform, that this has been completed, prior to the </w:t>
      </w:r>
      <w:r w:rsidR="00893479">
        <w:t xml:space="preserve">item 35 </w:t>
      </w:r>
      <w:r>
        <w:t xml:space="preserve">reporting entity issuing the MIS interest to the customer. </w:t>
      </w:r>
    </w:p>
    <w:p w14:paraId="1D0725C4" w14:textId="77777777" w:rsidR="007202F1" w:rsidRDefault="007202F1" w:rsidP="007202F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4B81F3D" w14:textId="360E0815" w:rsidR="003932F4" w:rsidRDefault="00893479" w:rsidP="003932F4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3932F4">
        <w:rPr>
          <w:rFonts w:ascii="Times New Roman" w:hAnsi="Times New Roman"/>
          <w:sz w:val="24"/>
        </w:rPr>
        <w:t xml:space="preserve">item 35 </w:t>
      </w:r>
      <w:r>
        <w:rPr>
          <w:rFonts w:ascii="Times New Roman" w:hAnsi="Times New Roman"/>
          <w:sz w:val="24"/>
        </w:rPr>
        <w:t>reporting entity</w:t>
      </w:r>
      <w:r w:rsidR="003932F4">
        <w:rPr>
          <w:rFonts w:ascii="Times New Roman" w:hAnsi="Times New Roman"/>
          <w:sz w:val="24"/>
        </w:rPr>
        <w:t xml:space="preserve"> will be exempt from </w:t>
      </w:r>
      <w:r>
        <w:rPr>
          <w:rFonts w:ascii="Times New Roman" w:hAnsi="Times New Roman"/>
          <w:sz w:val="24"/>
        </w:rPr>
        <w:t xml:space="preserve">the relevant </w:t>
      </w:r>
      <w:r w:rsidR="003932F4">
        <w:rPr>
          <w:rFonts w:ascii="Times New Roman" w:hAnsi="Times New Roman"/>
          <w:sz w:val="24"/>
        </w:rPr>
        <w:t xml:space="preserve">AML/CTF obligations </w:t>
      </w:r>
      <w:r>
        <w:rPr>
          <w:rFonts w:ascii="Times New Roman" w:hAnsi="Times New Roman"/>
          <w:sz w:val="24"/>
        </w:rPr>
        <w:t>and</w:t>
      </w:r>
      <w:r w:rsidR="003932F4">
        <w:rPr>
          <w:rFonts w:ascii="Times New Roman" w:hAnsi="Times New Roman"/>
          <w:sz w:val="24"/>
        </w:rPr>
        <w:t xml:space="preserve"> </w:t>
      </w:r>
      <w:r w:rsidR="005E600A">
        <w:rPr>
          <w:rFonts w:ascii="Times New Roman" w:hAnsi="Times New Roman"/>
          <w:sz w:val="24"/>
        </w:rPr>
        <w:t>resul</w:t>
      </w:r>
      <w:r w:rsidR="009F1526">
        <w:rPr>
          <w:rFonts w:ascii="Times New Roman" w:hAnsi="Times New Roman"/>
          <w:sz w:val="24"/>
        </w:rPr>
        <w:t>t</w:t>
      </w:r>
      <w:r w:rsidR="005E600A">
        <w:rPr>
          <w:rFonts w:ascii="Times New Roman" w:hAnsi="Times New Roman"/>
          <w:sz w:val="24"/>
        </w:rPr>
        <w:t xml:space="preserve"> in</w:t>
      </w:r>
      <w:r w:rsidR="003932F4">
        <w:rPr>
          <w:rFonts w:ascii="Times New Roman" w:hAnsi="Times New Roman"/>
          <w:sz w:val="24"/>
        </w:rPr>
        <w:t xml:space="preserve"> the customer only need</w:t>
      </w:r>
      <w:r w:rsidR="005E600A">
        <w:rPr>
          <w:rFonts w:ascii="Times New Roman" w:hAnsi="Times New Roman"/>
          <w:sz w:val="24"/>
        </w:rPr>
        <w:t>ing</w:t>
      </w:r>
      <w:r w:rsidR="003932F4">
        <w:rPr>
          <w:rFonts w:ascii="Times New Roman" w:hAnsi="Times New Roman"/>
          <w:sz w:val="24"/>
        </w:rPr>
        <w:t xml:space="preserve"> to be identified once</w:t>
      </w:r>
      <w:r w:rsidR="00CF684B">
        <w:rPr>
          <w:rFonts w:ascii="Times New Roman" w:hAnsi="Times New Roman"/>
          <w:sz w:val="24"/>
        </w:rPr>
        <w:t>,</w:t>
      </w:r>
      <w:r w:rsidR="003932F4">
        <w:rPr>
          <w:rFonts w:ascii="Times New Roman" w:hAnsi="Times New Roman"/>
          <w:sz w:val="24"/>
        </w:rPr>
        <w:t xml:space="preserve"> rather than by both reporting entities.</w:t>
      </w:r>
    </w:p>
    <w:p w14:paraId="0068F985" w14:textId="77777777" w:rsidR="004B17CA" w:rsidRDefault="004B17CA" w:rsidP="009671E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ADCF942" w14:textId="6AD6B4B8" w:rsidR="007402D2" w:rsidRDefault="003932F4" w:rsidP="007103FF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7103FF">
        <w:rPr>
          <w:rFonts w:ascii="Times New Roman" w:hAnsi="Times New Roman"/>
          <w:sz w:val="24"/>
        </w:rPr>
        <w:t xml:space="preserve">The benefits of the exemption will not be available in relation to ‘pre-commencement customers’ of a reporting entity providing the item 33 designated </w:t>
      </w:r>
      <w:proofErr w:type="gramStart"/>
      <w:r w:rsidRPr="007103FF">
        <w:rPr>
          <w:rFonts w:ascii="Times New Roman" w:hAnsi="Times New Roman"/>
          <w:sz w:val="24"/>
        </w:rPr>
        <w:t>service</w:t>
      </w:r>
      <w:proofErr w:type="gramEnd"/>
      <w:r w:rsidRPr="007103FF">
        <w:rPr>
          <w:rFonts w:ascii="Times New Roman" w:hAnsi="Times New Roman"/>
          <w:sz w:val="24"/>
        </w:rPr>
        <w:t xml:space="preserve">. </w:t>
      </w:r>
      <w:r w:rsidR="00766E95" w:rsidRPr="007103FF">
        <w:rPr>
          <w:rFonts w:ascii="Times New Roman" w:hAnsi="Times New Roman"/>
          <w:sz w:val="24"/>
        </w:rPr>
        <w:t xml:space="preserve"> </w:t>
      </w:r>
      <w:r w:rsidRPr="007103FF">
        <w:rPr>
          <w:rFonts w:ascii="Times New Roman" w:hAnsi="Times New Roman"/>
          <w:sz w:val="24"/>
        </w:rPr>
        <w:t xml:space="preserve">‘Pre-commencement customers’ are existing customers of a reporting entity who were first provided with a designated service before 12 December 2007 – the date that section 28 of the AML/CTF Act commenced operation.  </w:t>
      </w:r>
      <w:r w:rsidR="00922EA2" w:rsidRPr="007103FF">
        <w:rPr>
          <w:rFonts w:ascii="Times New Roman" w:hAnsi="Times New Roman"/>
          <w:sz w:val="24"/>
        </w:rPr>
        <w:t>Section</w:t>
      </w:r>
      <w:r w:rsidR="007402D2" w:rsidRPr="007103FF">
        <w:rPr>
          <w:rFonts w:ascii="Times New Roman" w:hAnsi="Times New Roman"/>
          <w:sz w:val="24"/>
        </w:rPr>
        <w:t>s 28 and 29 of the AML/CTF Act</w:t>
      </w:r>
      <w:r w:rsidR="00922EA2" w:rsidRPr="007103FF">
        <w:rPr>
          <w:rFonts w:ascii="Times New Roman" w:hAnsi="Times New Roman"/>
          <w:sz w:val="24"/>
        </w:rPr>
        <w:t xml:space="preserve"> only require an applicable customer identification procedure (ACIP) to be undertaken in relation to a pre-commencement customer if a suspicious matter obligation arises</w:t>
      </w:r>
      <w:r w:rsidR="00766E95" w:rsidRPr="007103FF">
        <w:rPr>
          <w:rFonts w:ascii="Times New Roman" w:hAnsi="Times New Roman"/>
          <w:sz w:val="24"/>
        </w:rPr>
        <w:t>, or has arisen, after 11 December 2007</w:t>
      </w:r>
      <w:r w:rsidR="00922EA2" w:rsidRPr="007103FF">
        <w:rPr>
          <w:rFonts w:ascii="Times New Roman" w:hAnsi="Times New Roman"/>
          <w:sz w:val="24"/>
        </w:rPr>
        <w:t>.</w:t>
      </w:r>
    </w:p>
    <w:p w14:paraId="02A3A6B1" w14:textId="77777777" w:rsidR="007402D2" w:rsidRPr="007103FF" w:rsidRDefault="007402D2" w:rsidP="009F152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3E047CF7" w14:textId="1EA1174B" w:rsidR="00922EA2" w:rsidRDefault="007103FF" w:rsidP="007202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922EA2">
        <w:rPr>
          <w:rFonts w:ascii="Times New Roman" w:hAnsi="Times New Roman"/>
          <w:sz w:val="24"/>
        </w:rPr>
        <w:t>n</w:t>
      </w:r>
      <w:r w:rsidR="00C13686">
        <w:rPr>
          <w:rFonts w:ascii="Times New Roman" w:hAnsi="Times New Roman"/>
          <w:sz w:val="24"/>
        </w:rPr>
        <w:t>less</w:t>
      </w:r>
      <w:r w:rsidR="00922EA2">
        <w:rPr>
          <w:rFonts w:ascii="Times New Roman" w:hAnsi="Times New Roman"/>
          <w:sz w:val="24"/>
        </w:rPr>
        <w:t xml:space="preserve"> an ACIP is undertaken </w:t>
      </w:r>
      <w:r w:rsidR="00C813A6">
        <w:rPr>
          <w:rFonts w:ascii="Times New Roman" w:hAnsi="Times New Roman"/>
          <w:sz w:val="24"/>
        </w:rPr>
        <w:t xml:space="preserve">by an item 33 reporting entity </w:t>
      </w:r>
      <w:r w:rsidR="00922EA2">
        <w:rPr>
          <w:rFonts w:ascii="Times New Roman" w:hAnsi="Times New Roman"/>
          <w:sz w:val="24"/>
        </w:rPr>
        <w:t xml:space="preserve">in relation to </w:t>
      </w:r>
      <w:r w:rsidR="00C813A6">
        <w:rPr>
          <w:rFonts w:ascii="Times New Roman" w:hAnsi="Times New Roman"/>
          <w:sz w:val="24"/>
        </w:rPr>
        <w:t>its</w:t>
      </w:r>
      <w:r w:rsidR="00922EA2">
        <w:rPr>
          <w:rFonts w:ascii="Times New Roman" w:hAnsi="Times New Roman"/>
          <w:sz w:val="24"/>
        </w:rPr>
        <w:t xml:space="preserve"> pre-commencement customer</w:t>
      </w:r>
      <w:r w:rsidR="00C13686">
        <w:rPr>
          <w:rFonts w:ascii="Times New Roman" w:hAnsi="Times New Roman"/>
          <w:sz w:val="24"/>
        </w:rPr>
        <w:t xml:space="preserve">, </w:t>
      </w:r>
      <w:r w:rsidR="00C813A6">
        <w:rPr>
          <w:rFonts w:ascii="Times New Roman" w:hAnsi="Times New Roman"/>
          <w:sz w:val="24"/>
        </w:rPr>
        <w:t>the exemption will not apply</w:t>
      </w:r>
      <w:r w:rsidR="007402D2">
        <w:rPr>
          <w:rFonts w:ascii="Times New Roman" w:hAnsi="Times New Roman"/>
          <w:sz w:val="24"/>
        </w:rPr>
        <w:t xml:space="preserve"> and the item 35 reporting entity will be subject to the </w:t>
      </w:r>
      <w:r w:rsidR="00C13686">
        <w:rPr>
          <w:rFonts w:ascii="Times New Roman" w:hAnsi="Times New Roman"/>
          <w:sz w:val="24"/>
        </w:rPr>
        <w:t>normal AML/CTF requirements</w:t>
      </w:r>
      <w:r w:rsidR="007402D2">
        <w:rPr>
          <w:rFonts w:ascii="Times New Roman" w:hAnsi="Times New Roman"/>
          <w:sz w:val="24"/>
        </w:rPr>
        <w:t xml:space="preserve"> in relation to that </w:t>
      </w:r>
      <w:r w:rsidR="00766E95">
        <w:rPr>
          <w:rFonts w:ascii="Times New Roman" w:hAnsi="Times New Roman"/>
          <w:sz w:val="24"/>
        </w:rPr>
        <w:t xml:space="preserve">pre-commencement </w:t>
      </w:r>
      <w:r w:rsidR="007402D2">
        <w:rPr>
          <w:rFonts w:ascii="Times New Roman" w:hAnsi="Times New Roman"/>
          <w:sz w:val="24"/>
        </w:rPr>
        <w:t>customer.</w:t>
      </w:r>
    </w:p>
    <w:p w14:paraId="1FCAD7A1" w14:textId="77777777" w:rsidR="00C13686" w:rsidRDefault="00C13686" w:rsidP="007202F1">
      <w:pPr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0F729865" w14:textId="77777777" w:rsidR="00F7392E" w:rsidRDefault="009C7626" w:rsidP="00F7392E">
      <w:pPr>
        <w:rPr>
          <w:rFonts w:ascii="Times New Roman" w:hAnsi="Times New Roman"/>
          <w:b/>
          <w:i/>
          <w:sz w:val="24"/>
          <w:lang w:eastAsia="en-AU"/>
        </w:rPr>
      </w:pPr>
      <w:r>
        <w:rPr>
          <w:rFonts w:ascii="Times New Roman" w:hAnsi="Times New Roman"/>
          <w:b/>
          <w:sz w:val="24"/>
          <w:lang w:eastAsia="en-AU"/>
        </w:rPr>
        <w:t>Statement</w:t>
      </w:r>
      <w:r w:rsidR="00F7392E" w:rsidRPr="00CA142A">
        <w:rPr>
          <w:rFonts w:ascii="Times New Roman" w:hAnsi="Times New Roman"/>
          <w:b/>
          <w:sz w:val="24"/>
          <w:lang w:eastAsia="en-AU"/>
        </w:rPr>
        <w:t xml:space="preserve"> of Compatibility with the </w:t>
      </w:r>
      <w:r w:rsidR="00F7392E" w:rsidRPr="00CA142A">
        <w:rPr>
          <w:rFonts w:ascii="Times New Roman" w:hAnsi="Times New Roman"/>
          <w:b/>
          <w:i/>
          <w:sz w:val="24"/>
          <w:lang w:eastAsia="en-AU"/>
        </w:rPr>
        <w:t>Human Rights (Parliamentary Scrutiny) Act 2011</w:t>
      </w:r>
    </w:p>
    <w:p w14:paraId="3A4D246C" w14:textId="77777777" w:rsidR="003340DB" w:rsidRPr="00CA142A" w:rsidRDefault="003340DB" w:rsidP="00F7392E">
      <w:pPr>
        <w:rPr>
          <w:rFonts w:ascii="Times New Roman" w:hAnsi="Times New Roman"/>
          <w:b/>
          <w:sz w:val="24"/>
          <w:lang w:eastAsia="en-AU"/>
        </w:rPr>
      </w:pPr>
    </w:p>
    <w:p w14:paraId="3C7B12E2" w14:textId="25074D5F" w:rsidR="00F7392E" w:rsidRPr="0029686B" w:rsidRDefault="00F7392E" w:rsidP="007202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29686B">
        <w:rPr>
          <w:rFonts w:ascii="Times New Roman" w:hAnsi="Times New Roman"/>
          <w:sz w:val="24"/>
        </w:rPr>
        <w:t xml:space="preserve">The </w:t>
      </w:r>
      <w:r w:rsidRPr="009F1526">
        <w:rPr>
          <w:rFonts w:ascii="Times New Roman" w:hAnsi="Times New Roman"/>
          <w:i/>
          <w:sz w:val="24"/>
        </w:rPr>
        <w:t>Human Rights (Parliamentary Scrutiny) Act 2011</w:t>
      </w:r>
      <w:r w:rsidR="00193377" w:rsidRPr="0029686B">
        <w:rPr>
          <w:rFonts w:ascii="Times New Roman" w:hAnsi="Times New Roman"/>
          <w:sz w:val="24"/>
        </w:rPr>
        <w:t xml:space="preserve"> was passed on 25 </w:t>
      </w:r>
      <w:r w:rsidRPr="0029686B">
        <w:rPr>
          <w:rFonts w:ascii="Times New Roman" w:hAnsi="Times New Roman"/>
          <w:sz w:val="24"/>
        </w:rPr>
        <w:t>November 2011 and came into effect o</w:t>
      </w:r>
      <w:r w:rsidR="006B2808" w:rsidRPr="0029686B">
        <w:rPr>
          <w:rFonts w:ascii="Times New Roman" w:hAnsi="Times New Roman"/>
          <w:sz w:val="24"/>
        </w:rPr>
        <w:t>n 4 January 2012.  It introduced</w:t>
      </w:r>
      <w:r w:rsidRPr="0029686B">
        <w:rPr>
          <w:rFonts w:ascii="Times New Roman" w:hAnsi="Times New Roman"/>
          <w:sz w:val="24"/>
        </w:rPr>
        <w:t xml:space="preserve"> a requirement for </w:t>
      </w:r>
      <w:r w:rsidR="000D143A" w:rsidRPr="0029686B">
        <w:rPr>
          <w:rFonts w:ascii="Times New Roman" w:hAnsi="Times New Roman"/>
          <w:sz w:val="24"/>
        </w:rPr>
        <w:t>a Statement</w:t>
      </w:r>
      <w:r w:rsidRPr="0029686B">
        <w:rPr>
          <w:rFonts w:ascii="Times New Roman" w:hAnsi="Times New Roman"/>
          <w:sz w:val="24"/>
        </w:rPr>
        <w:t xml:space="preserve"> of Compatibility to accompany all new Bills and disallowable legislative instruments.</w:t>
      </w:r>
    </w:p>
    <w:p w14:paraId="58904529" w14:textId="77777777" w:rsidR="00F7392E" w:rsidRPr="0029686B" w:rsidRDefault="00F7392E" w:rsidP="007202F1">
      <w:pPr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31BA26AA" w14:textId="5358D230" w:rsidR="00F7392E" w:rsidRDefault="00F7392E" w:rsidP="007202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CA142A">
        <w:rPr>
          <w:rFonts w:ascii="Times New Roman" w:hAnsi="Times New Roman"/>
          <w:sz w:val="24"/>
        </w:rPr>
        <w:t xml:space="preserve">The </w:t>
      </w:r>
      <w:r w:rsidR="000D143A">
        <w:rPr>
          <w:rFonts w:ascii="Times New Roman" w:hAnsi="Times New Roman"/>
          <w:sz w:val="24"/>
        </w:rPr>
        <w:t>Statement</w:t>
      </w:r>
      <w:r w:rsidRPr="00CA142A">
        <w:rPr>
          <w:rFonts w:ascii="Times New Roman" w:hAnsi="Times New Roman"/>
          <w:sz w:val="24"/>
        </w:rPr>
        <w:t xml:space="preserve"> of Compatibility for</w:t>
      </w:r>
      <w:r w:rsidR="0030571B">
        <w:rPr>
          <w:rFonts w:ascii="Times New Roman" w:hAnsi="Times New Roman"/>
          <w:sz w:val="24"/>
        </w:rPr>
        <w:t xml:space="preserve"> the</w:t>
      </w:r>
      <w:r w:rsidRPr="00CA142A">
        <w:rPr>
          <w:rFonts w:ascii="Times New Roman" w:hAnsi="Times New Roman"/>
          <w:sz w:val="24"/>
        </w:rPr>
        <w:t xml:space="preserve"> </w:t>
      </w:r>
      <w:r w:rsidRPr="009F1526">
        <w:rPr>
          <w:rFonts w:ascii="Times New Roman" w:hAnsi="Times New Roman"/>
          <w:i/>
          <w:sz w:val="24"/>
        </w:rPr>
        <w:t>Anti-Money Laundering and Counter-Terrorism Financing Rules Amendment Instrument 201</w:t>
      </w:r>
      <w:r w:rsidR="005F5E52" w:rsidRPr="009F1526">
        <w:rPr>
          <w:rFonts w:ascii="Times New Roman" w:hAnsi="Times New Roman"/>
          <w:i/>
          <w:sz w:val="24"/>
        </w:rPr>
        <w:t>4</w:t>
      </w:r>
      <w:r w:rsidRPr="009F1526">
        <w:rPr>
          <w:rFonts w:ascii="Times New Roman" w:hAnsi="Times New Roman"/>
          <w:i/>
          <w:sz w:val="24"/>
        </w:rPr>
        <w:t xml:space="preserve"> (N</w:t>
      </w:r>
      <w:r w:rsidR="00A35354" w:rsidRPr="009F1526">
        <w:rPr>
          <w:rFonts w:ascii="Times New Roman" w:hAnsi="Times New Roman"/>
          <w:i/>
          <w:sz w:val="24"/>
        </w:rPr>
        <w:t>o.</w:t>
      </w:r>
      <w:r w:rsidR="0030571B" w:rsidRPr="009F1526">
        <w:rPr>
          <w:rFonts w:ascii="Times New Roman" w:hAnsi="Times New Roman"/>
          <w:i/>
          <w:sz w:val="24"/>
        </w:rPr>
        <w:t xml:space="preserve"> </w:t>
      </w:r>
      <w:r w:rsidR="008B14C4" w:rsidRPr="009F1526">
        <w:rPr>
          <w:rFonts w:ascii="Times New Roman" w:hAnsi="Times New Roman"/>
          <w:i/>
          <w:sz w:val="24"/>
        </w:rPr>
        <w:t>2</w:t>
      </w:r>
      <w:r w:rsidRPr="009F1526">
        <w:rPr>
          <w:rFonts w:ascii="Times New Roman" w:hAnsi="Times New Roman"/>
          <w:i/>
          <w:sz w:val="24"/>
        </w:rPr>
        <w:t>)</w:t>
      </w:r>
      <w:r w:rsidRPr="00507EC4">
        <w:rPr>
          <w:rFonts w:ascii="Times New Roman" w:hAnsi="Times New Roman"/>
          <w:sz w:val="24"/>
        </w:rPr>
        <w:t xml:space="preserve"> is included in this Explanatory </w:t>
      </w:r>
      <w:r w:rsidR="009C7626" w:rsidRPr="00507EC4">
        <w:rPr>
          <w:rFonts w:ascii="Times New Roman" w:hAnsi="Times New Roman"/>
          <w:sz w:val="24"/>
        </w:rPr>
        <w:t>Statement</w:t>
      </w:r>
      <w:r w:rsidRPr="00507EC4">
        <w:rPr>
          <w:rFonts w:ascii="Times New Roman" w:hAnsi="Times New Roman"/>
          <w:sz w:val="24"/>
        </w:rPr>
        <w:t xml:space="preserve"> at page </w:t>
      </w:r>
      <w:r w:rsidR="00CF684B">
        <w:rPr>
          <w:rFonts w:ascii="Times New Roman" w:hAnsi="Times New Roman"/>
          <w:sz w:val="24"/>
        </w:rPr>
        <w:t>6</w:t>
      </w:r>
      <w:r w:rsidRPr="007103FF">
        <w:rPr>
          <w:rFonts w:ascii="Times New Roman" w:hAnsi="Times New Roman"/>
          <w:sz w:val="24"/>
        </w:rPr>
        <w:t>.</w:t>
      </w:r>
      <w:r w:rsidRPr="00CA142A">
        <w:rPr>
          <w:rFonts w:ascii="Times New Roman" w:hAnsi="Times New Roman"/>
          <w:sz w:val="24"/>
        </w:rPr>
        <w:t xml:space="preserve"> </w:t>
      </w:r>
      <w:r w:rsidR="006B28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AUSTRAC CEO</w:t>
      </w:r>
      <w:r w:rsidR="0030571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as the rule-maker of t</w:t>
      </w:r>
      <w:r w:rsidRPr="00CA142A">
        <w:rPr>
          <w:rFonts w:ascii="Times New Roman" w:hAnsi="Times New Roman"/>
          <w:sz w:val="24"/>
        </w:rPr>
        <w:t>his legislative instrument</w:t>
      </w:r>
      <w:r w:rsidR="0030571B">
        <w:rPr>
          <w:rFonts w:ascii="Times New Roman" w:hAnsi="Times New Roman"/>
          <w:sz w:val="24"/>
        </w:rPr>
        <w:t>,</w:t>
      </w:r>
      <w:r w:rsidRPr="00CA14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has stated that it </w:t>
      </w:r>
      <w:r w:rsidRPr="00CA142A">
        <w:rPr>
          <w:rFonts w:ascii="Times New Roman" w:hAnsi="Times New Roman"/>
          <w:sz w:val="24"/>
        </w:rPr>
        <w:t>is compatible with the human rights and freedoms recognised or declared in the international instruments list</w:t>
      </w:r>
      <w:r w:rsidR="005B5D9A">
        <w:rPr>
          <w:rFonts w:ascii="Times New Roman" w:hAnsi="Times New Roman"/>
          <w:sz w:val="24"/>
        </w:rPr>
        <w:t>ed</w:t>
      </w:r>
      <w:r w:rsidRPr="00CA142A">
        <w:rPr>
          <w:rFonts w:ascii="Times New Roman" w:hAnsi="Times New Roman"/>
          <w:sz w:val="24"/>
        </w:rPr>
        <w:t xml:space="preserve"> in section 3 of the </w:t>
      </w:r>
      <w:r w:rsidRPr="009F1526">
        <w:rPr>
          <w:rFonts w:ascii="Times New Roman" w:hAnsi="Times New Roman"/>
          <w:i/>
          <w:sz w:val="24"/>
        </w:rPr>
        <w:t>Human Rights (Parliamentary Scrutiny) Act 2011</w:t>
      </w:r>
      <w:r w:rsidRPr="00CA142A">
        <w:rPr>
          <w:rFonts w:ascii="Times New Roman" w:hAnsi="Times New Roman"/>
          <w:sz w:val="24"/>
        </w:rPr>
        <w:t>.</w:t>
      </w:r>
    </w:p>
    <w:p w14:paraId="4D6A0965" w14:textId="77777777" w:rsidR="00834E6A" w:rsidRPr="00326047" w:rsidRDefault="00834E6A" w:rsidP="00326047">
      <w:pPr>
        <w:rPr>
          <w:rFonts w:ascii="Times New Roman" w:hAnsi="Times New Roman"/>
          <w:b/>
          <w:sz w:val="24"/>
        </w:rPr>
      </w:pPr>
    </w:p>
    <w:p w14:paraId="77F74606" w14:textId="77777777" w:rsidR="003B7524" w:rsidRPr="00F0454D" w:rsidRDefault="003B7524" w:rsidP="00A33736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81438A">
        <w:rPr>
          <w:rFonts w:ascii="Times New Roman" w:hAnsi="Times New Roman"/>
          <w:b/>
          <w:sz w:val="24"/>
        </w:rPr>
        <w:t>2.</w:t>
      </w:r>
      <w:r w:rsidRPr="0081438A">
        <w:rPr>
          <w:rFonts w:ascii="Times New Roman" w:hAnsi="Times New Roman"/>
          <w:b/>
          <w:sz w:val="24"/>
        </w:rPr>
        <w:tab/>
        <w:t>Notes on sections</w:t>
      </w:r>
    </w:p>
    <w:p w14:paraId="64464851" w14:textId="77777777" w:rsidR="003B7524" w:rsidRPr="00326047" w:rsidRDefault="003B7524" w:rsidP="00326047">
      <w:pPr>
        <w:rPr>
          <w:rFonts w:ascii="Times New Roman" w:hAnsi="Times New Roman"/>
          <w:b/>
          <w:sz w:val="24"/>
        </w:rPr>
      </w:pPr>
    </w:p>
    <w:p w14:paraId="77513A18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1</w:t>
      </w:r>
    </w:p>
    <w:p w14:paraId="022E8F6D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4F4100DE" w14:textId="5571AB89" w:rsidR="003B7524" w:rsidRPr="00F0454D" w:rsidRDefault="003B7524" w:rsidP="003B7524">
      <w:pPr>
        <w:rPr>
          <w:rFonts w:ascii="Times New Roman" w:hAnsi="Times New Roman"/>
          <w:i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sets out the name of the instrument, i.e. the </w:t>
      </w:r>
      <w:r w:rsidRPr="00F0454D">
        <w:rPr>
          <w:rFonts w:ascii="Times New Roman" w:hAnsi="Times New Roman"/>
          <w:i/>
          <w:sz w:val="24"/>
        </w:rPr>
        <w:t xml:space="preserve">Anti-Money Laundering and Counter-Terrorism Financing Rules Amendment Instrument </w:t>
      </w:r>
      <w:r w:rsidR="00A434EF" w:rsidRPr="00F0454D">
        <w:rPr>
          <w:rFonts w:ascii="Times New Roman" w:hAnsi="Times New Roman"/>
          <w:i/>
          <w:sz w:val="24"/>
        </w:rPr>
        <w:t>20</w:t>
      </w:r>
      <w:r w:rsidR="00A434EF">
        <w:rPr>
          <w:rFonts w:ascii="Times New Roman" w:hAnsi="Times New Roman"/>
          <w:i/>
          <w:sz w:val="24"/>
        </w:rPr>
        <w:t>1</w:t>
      </w:r>
      <w:r w:rsidR="005F5E52">
        <w:rPr>
          <w:rFonts w:ascii="Times New Roman" w:hAnsi="Times New Roman"/>
          <w:i/>
          <w:sz w:val="24"/>
        </w:rPr>
        <w:t>4</w:t>
      </w:r>
      <w:r w:rsidR="00A434EF" w:rsidRPr="00F0454D">
        <w:rPr>
          <w:rFonts w:ascii="Times New Roman" w:hAnsi="Times New Roman"/>
          <w:i/>
          <w:sz w:val="24"/>
        </w:rPr>
        <w:t xml:space="preserve"> </w:t>
      </w:r>
      <w:r w:rsidRPr="00F0454D">
        <w:rPr>
          <w:rFonts w:ascii="Times New Roman" w:hAnsi="Times New Roman"/>
          <w:i/>
          <w:sz w:val="24"/>
        </w:rPr>
        <w:t>(No.</w:t>
      </w:r>
      <w:r w:rsidR="0030571B">
        <w:rPr>
          <w:rFonts w:ascii="Times New Roman" w:hAnsi="Times New Roman"/>
          <w:i/>
          <w:sz w:val="24"/>
        </w:rPr>
        <w:t xml:space="preserve"> </w:t>
      </w:r>
      <w:r w:rsidR="008B14C4">
        <w:rPr>
          <w:rFonts w:ascii="Times New Roman" w:hAnsi="Times New Roman"/>
          <w:i/>
          <w:sz w:val="24"/>
        </w:rPr>
        <w:t>2</w:t>
      </w:r>
      <w:r w:rsidRPr="00F0454D">
        <w:rPr>
          <w:rFonts w:ascii="Times New Roman" w:hAnsi="Times New Roman"/>
          <w:i/>
          <w:sz w:val="24"/>
        </w:rPr>
        <w:t>).</w:t>
      </w:r>
    </w:p>
    <w:p w14:paraId="0BCB2E4E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0CBC0ECD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2</w:t>
      </w:r>
    </w:p>
    <w:p w14:paraId="2590853F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34549343" w14:textId="083311DB" w:rsidR="003B7524" w:rsidRDefault="003B7524" w:rsidP="003B7524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specifies that </w:t>
      </w:r>
      <w:r>
        <w:rPr>
          <w:rFonts w:ascii="Times New Roman" w:hAnsi="Times New Roman"/>
          <w:sz w:val="24"/>
        </w:rPr>
        <w:t>Schedule 1</w:t>
      </w:r>
      <w:r w:rsidR="004878CA">
        <w:rPr>
          <w:rFonts w:ascii="Times New Roman" w:hAnsi="Times New Roman"/>
          <w:sz w:val="24"/>
        </w:rPr>
        <w:t xml:space="preserve"> </w:t>
      </w:r>
      <w:r w:rsidRPr="00F0454D">
        <w:rPr>
          <w:rFonts w:ascii="Times New Roman" w:hAnsi="Times New Roman"/>
          <w:sz w:val="24"/>
        </w:rPr>
        <w:t>commence</w:t>
      </w:r>
      <w:r w:rsidR="008B14C4">
        <w:rPr>
          <w:rFonts w:ascii="Times New Roman" w:hAnsi="Times New Roman"/>
          <w:sz w:val="24"/>
        </w:rPr>
        <w:t>s</w:t>
      </w:r>
      <w:r w:rsidRPr="00F0454D">
        <w:rPr>
          <w:rFonts w:ascii="Times New Roman" w:hAnsi="Times New Roman"/>
          <w:sz w:val="24"/>
        </w:rPr>
        <w:t xml:space="preserve"> on the day after </w:t>
      </w:r>
      <w:r w:rsidR="00B85A4C">
        <w:rPr>
          <w:rFonts w:ascii="Times New Roman" w:hAnsi="Times New Roman"/>
          <w:sz w:val="24"/>
        </w:rPr>
        <w:t>the instrument is</w:t>
      </w:r>
      <w:r w:rsidRPr="00F0454D">
        <w:rPr>
          <w:rFonts w:ascii="Times New Roman" w:hAnsi="Times New Roman"/>
          <w:sz w:val="24"/>
        </w:rPr>
        <w:t xml:space="preserve"> registered.</w:t>
      </w:r>
    </w:p>
    <w:p w14:paraId="2D899CAE" w14:textId="77777777" w:rsidR="00EF1910" w:rsidRDefault="00EF1910" w:rsidP="003B7524">
      <w:pPr>
        <w:rPr>
          <w:rFonts w:ascii="Times New Roman" w:hAnsi="Times New Roman"/>
          <w:b/>
          <w:sz w:val="24"/>
        </w:rPr>
      </w:pPr>
    </w:p>
    <w:p w14:paraId="07EC6646" w14:textId="27363D72" w:rsidR="003B7524" w:rsidRDefault="00D335F0" w:rsidP="003B752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3B7524" w:rsidRPr="00F0454D">
        <w:rPr>
          <w:rFonts w:ascii="Times New Roman" w:hAnsi="Times New Roman"/>
          <w:b/>
          <w:sz w:val="24"/>
        </w:rPr>
        <w:lastRenderedPageBreak/>
        <w:t>Section 3</w:t>
      </w:r>
    </w:p>
    <w:p w14:paraId="131C2F53" w14:textId="77777777" w:rsidR="00F7392E" w:rsidRDefault="00F7392E" w:rsidP="003B7524">
      <w:pPr>
        <w:rPr>
          <w:rFonts w:ascii="Times New Roman" w:hAnsi="Times New Roman"/>
          <w:b/>
          <w:sz w:val="24"/>
        </w:rPr>
      </w:pPr>
    </w:p>
    <w:p w14:paraId="3B5036DA" w14:textId="77777777" w:rsidR="00F7392E" w:rsidRDefault="00F7392E" w:rsidP="00F7392E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contains </w:t>
      </w:r>
      <w:r>
        <w:rPr>
          <w:rFonts w:ascii="Times New Roman" w:hAnsi="Times New Roman"/>
          <w:sz w:val="24"/>
        </w:rPr>
        <w:t>the details of the amendment:</w:t>
      </w:r>
    </w:p>
    <w:p w14:paraId="0F552FC7" w14:textId="77777777" w:rsidR="00F7392E" w:rsidRPr="00326047" w:rsidRDefault="00F7392E" w:rsidP="00F7392E">
      <w:pPr>
        <w:rPr>
          <w:rFonts w:ascii="Times New Roman" w:hAnsi="Times New Roman"/>
          <w:b/>
          <w:sz w:val="24"/>
        </w:rPr>
      </w:pPr>
    </w:p>
    <w:p w14:paraId="52168BF5" w14:textId="5FA96FB3" w:rsidR="00F7392E" w:rsidRPr="00F7392E" w:rsidRDefault="00F7392E" w:rsidP="00F739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Schedule 1</w:t>
      </w:r>
      <w:r w:rsidR="00B85A4C">
        <w:rPr>
          <w:rFonts w:ascii="Times New Roman" w:hAnsi="Times New Roman"/>
          <w:sz w:val="24"/>
        </w:rPr>
        <w:t xml:space="preserve"> amend</w:t>
      </w:r>
      <w:r w:rsidR="008B14C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the </w:t>
      </w:r>
      <w:r w:rsidRPr="00021BFB">
        <w:rPr>
          <w:rFonts w:ascii="Times New Roman" w:hAnsi="Times New Roman"/>
          <w:i/>
          <w:sz w:val="24"/>
        </w:rPr>
        <w:t xml:space="preserve">Anti-Money Laundering and Counter-Terrorism Financing Rules </w:t>
      </w:r>
      <w:r w:rsidRPr="00F7392E">
        <w:rPr>
          <w:rFonts w:ascii="Times New Roman" w:hAnsi="Times New Roman"/>
          <w:i/>
          <w:sz w:val="24"/>
        </w:rPr>
        <w:t>Instrument 2007 (No.</w:t>
      </w:r>
      <w:r w:rsidR="00FE78D3">
        <w:rPr>
          <w:rFonts w:ascii="Times New Roman" w:hAnsi="Times New Roman"/>
          <w:i/>
          <w:sz w:val="24"/>
        </w:rPr>
        <w:t xml:space="preserve"> </w:t>
      </w:r>
      <w:r w:rsidRPr="00F7392E">
        <w:rPr>
          <w:rFonts w:ascii="Times New Roman" w:hAnsi="Times New Roman"/>
          <w:i/>
          <w:sz w:val="24"/>
        </w:rPr>
        <w:t>1)</w:t>
      </w:r>
      <w:r w:rsidRPr="00F7392E">
        <w:rPr>
          <w:rFonts w:ascii="Times New Roman" w:hAnsi="Times New Roman"/>
          <w:sz w:val="24"/>
        </w:rPr>
        <w:t>.</w:t>
      </w:r>
    </w:p>
    <w:p w14:paraId="4604055A" w14:textId="77777777" w:rsidR="00F7392E" w:rsidRDefault="00F7392E" w:rsidP="00F7392E">
      <w:pPr>
        <w:rPr>
          <w:rFonts w:ascii="Times New Roman" w:hAnsi="Times New Roman"/>
          <w:b/>
          <w:sz w:val="24"/>
        </w:rPr>
      </w:pPr>
    </w:p>
    <w:p w14:paraId="234E3540" w14:textId="77777777" w:rsidR="00F7392E" w:rsidRDefault="00F7392E" w:rsidP="00F7392E">
      <w:pPr>
        <w:rPr>
          <w:rFonts w:ascii="Times New Roman" w:hAnsi="Times New Roman"/>
          <w:b/>
          <w:sz w:val="24"/>
        </w:rPr>
      </w:pPr>
      <w:r w:rsidRPr="00F7392E">
        <w:rPr>
          <w:rFonts w:ascii="Times New Roman" w:hAnsi="Times New Roman"/>
          <w:b/>
          <w:sz w:val="24"/>
        </w:rPr>
        <w:t>Schedule 1</w:t>
      </w:r>
    </w:p>
    <w:p w14:paraId="0A5D8CC7" w14:textId="77777777" w:rsidR="003340DB" w:rsidRDefault="003340DB" w:rsidP="00F7392E">
      <w:pPr>
        <w:rPr>
          <w:rFonts w:ascii="Times New Roman" w:hAnsi="Times New Roman"/>
          <w:b/>
          <w:sz w:val="24"/>
        </w:rPr>
      </w:pPr>
    </w:p>
    <w:p w14:paraId="41EE6E6F" w14:textId="61AD2737" w:rsidR="005114F2" w:rsidRPr="0059487B" w:rsidRDefault="005114F2" w:rsidP="005114F2">
      <w:pPr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 xml:space="preserve">This schedule </w:t>
      </w:r>
      <w:r w:rsidR="004878CA">
        <w:rPr>
          <w:rFonts w:ascii="Times New Roman" w:hAnsi="Times New Roman"/>
          <w:sz w:val="24"/>
        </w:rPr>
        <w:t xml:space="preserve">amends Chapter </w:t>
      </w:r>
      <w:r w:rsidR="008B14C4">
        <w:rPr>
          <w:rFonts w:ascii="Times New Roman" w:hAnsi="Times New Roman"/>
          <w:sz w:val="24"/>
        </w:rPr>
        <w:t>21</w:t>
      </w:r>
      <w:r w:rsidRPr="0059487B">
        <w:rPr>
          <w:rFonts w:ascii="Times New Roman" w:hAnsi="Times New Roman"/>
          <w:sz w:val="24"/>
        </w:rPr>
        <w:t>.</w:t>
      </w:r>
    </w:p>
    <w:p w14:paraId="53967E96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Notes on </w:t>
      </w:r>
      <w:r w:rsidR="00F7392E">
        <w:rPr>
          <w:rFonts w:ascii="Times New Roman" w:hAnsi="Times New Roman"/>
          <w:b/>
          <w:sz w:val="24"/>
        </w:rPr>
        <w:t>I</w:t>
      </w:r>
      <w:r w:rsidR="00430DA3">
        <w:rPr>
          <w:rFonts w:ascii="Times New Roman" w:hAnsi="Times New Roman"/>
          <w:b/>
          <w:sz w:val="24"/>
        </w:rPr>
        <w:t>tems</w:t>
      </w:r>
    </w:p>
    <w:p w14:paraId="4F832592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Schedule 1</w:t>
      </w:r>
    </w:p>
    <w:p w14:paraId="16ABBDF4" w14:textId="55A3041E" w:rsidR="0049116B" w:rsidRDefault="0049116B" w:rsidP="007B0B01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21</w:t>
      </w:r>
    </w:p>
    <w:p w14:paraId="79E20635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Item 1</w:t>
      </w:r>
    </w:p>
    <w:p w14:paraId="6F1525BF" w14:textId="085572EC" w:rsidR="007B0B01" w:rsidRPr="0059487B" w:rsidRDefault="007B0B01" w:rsidP="007B0B01">
      <w:pPr>
        <w:spacing w:before="240"/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 xml:space="preserve">This item </w:t>
      </w:r>
      <w:r w:rsidR="009B18E1">
        <w:rPr>
          <w:rFonts w:ascii="Times New Roman" w:hAnsi="Times New Roman"/>
          <w:sz w:val="24"/>
        </w:rPr>
        <w:t xml:space="preserve">inserts a </w:t>
      </w:r>
      <w:r w:rsidR="000D261E">
        <w:rPr>
          <w:rFonts w:ascii="Times New Roman" w:hAnsi="Times New Roman"/>
          <w:sz w:val="24"/>
        </w:rPr>
        <w:t xml:space="preserve">new </w:t>
      </w:r>
      <w:r w:rsidR="009B18E1">
        <w:rPr>
          <w:rFonts w:ascii="Times New Roman" w:hAnsi="Times New Roman"/>
          <w:sz w:val="24"/>
        </w:rPr>
        <w:t>subparagraph 21.3(4)</w:t>
      </w:r>
      <w:r w:rsidR="000D261E">
        <w:rPr>
          <w:rFonts w:ascii="Times New Roman" w:hAnsi="Times New Roman"/>
          <w:sz w:val="24"/>
        </w:rPr>
        <w:t xml:space="preserve"> which specifies a</w:t>
      </w:r>
      <w:r w:rsidR="009B18E1">
        <w:rPr>
          <w:rFonts w:ascii="Times New Roman" w:hAnsi="Times New Roman"/>
          <w:sz w:val="24"/>
        </w:rPr>
        <w:t xml:space="preserve"> new </w:t>
      </w:r>
      <w:r w:rsidR="001941DA">
        <w:rPr>
          <w:rFonts w:ascii="Times New Roman" w:hAnsi="Times New Roman"/>
          <w:sz w:val="24"/>
        </w:rPr>
        <w:t>exempt</w:t>
      </w:r>
      <w:r w:rsidR="009B18E1">
        <w:rPr>
          <w:rFonts w:ascii="Times New Roman" w:hAnsi="Times New Roman"/>
          <w:sz w:val="24"/>
        </w:rPr>
        <w:t>ion for</w:t>
      </w:r>
      <w:r w:rsidR="001941DA">
        <w:rPr>
          <w:rFonts w:ascii="Times New Roman" w:hAnsi="Times New Roman"/>
          <w:sz w:val="24"/>
        </w:rPr>
        <w:t xml:space="preserve"> reporting entities providing </w:t>
      </w:r>
      <w:r w:rsidR="000D261E">
        <w:rPr>
          <w:rFonts w:ascii="Times New Roman" w:hAnsi="Times New Roman"/>
          <w:sz w:val="24"/>
        </w:rPr>
        <w:t xml:space="preserve">item 35 </w:t>
      </w:r>
      <w:r w:rsidR="001941DA">
        <w:rPr>
          <w:rFonts w:ascii="Times New Roman" w:hAnsi="Times New Roman"/>
          <w:sz w:val="24"/>
        </w:rPr>
        <w:t>designated services from obligations under the AML/CTF Act</w:t>
      </w:r>
      <w:r w:rsidR="009B18E1">
        <w:rPr>
          <w:rFonts w:ascii="Times New Roman" w:hAnsi="Times New Roman"/>
          <w:sz w:val="24"/>
        </w:rPr>
        <w:t>.  The new exemption</w:t>
      </w:r>
      <w:r w:rsidR="001941DA">
        <w:rPr>
          <w:rFonts w:ascii="Times New Roman" w:hAnsi="Times New Roman"/>
          <w:sz w:val="24"/>
        </w:rPr>
        <w:t xml:space="preserve"> </w:t>
      </w:r>
      <w:r w:rsidR="000D261E">
        <w:rPr>
          <w:rFonts w:ascii="Times New Roman" w:hAnsi="Times New Roman"/>
          <w:sz w:val="24"/>
        </w:rPr>
        <w:t>applies where such reporting entities</w:t>
      </w:r>
      <w:r w:rsidR="001941DA">
        <w:rPr>
          <w:rFonts w:ascii="Times New Roman" w:hAnsi="Times New Roman"/>
          <w:sz w:val="24"/>
        </w:rPr>
        <w:t xml:space="preserve"> issue </w:t>
      </w:r>
      <w:r w:rsidR="0049116B">
        <w:rPr>
          <w:rFonts w:ascii="Times New Roman" w:hAnsi="Times New Roman"/>
          <w:sz w:val="24"/>
        </w:rPr>
        <w:t xml:space="preserve">a new </w:t>
      </w:r>
      <w:r w:rsidR="001941DA">
        <w:rPr>
          <w:rFonts w:ascii="Times New Roman" w:hAnsi="Times New Roman"/>
          <w:sz w:val="24"/>
        </w:rPr>
        <w:t xml:space="preserve">interest in </w:t>
      </w:r>
      <w:r w:rsidR="0049116B">
        <w:rPr>
          <w:rFonts w:ascii="Times New Roman" w:hAnsi="Times New Roman"/>
          <w:sz w:val="24"/>
        </w:rPr>
        <w:t>a</w:t>
      </w:r>
      <w:r w:rsidR="001941DA">
        <w:rPr>
          <w:rFonts w:ascii="Times New Roman" w:hAnsi="Times New Roman"/>
          <w:sz w:val="24"/>
        </w:rPr>
        <w:t xml:space="preserve"> </w:t>
      </w:r>
      <w:r w:rsidR="00976AF8">
        <w:rPr>
          <w:rFonts w:ascii="Times New Roman" w:hAnsi="Times New Roman"/>
          <w:sz w:val="24"/>
        </w:rPr>
        <w:t>registered MIS</w:t>
      </w:r>
      <w:r w:rsidR="001941DA">
        <w:rPr>
          <w:rFonts w:ascii="Times New Roman" w:hAnsi="Times New Roman"/>
          <w:sz w:val="24"/>
        </w:rPr>
        <w:t xml:space="preserve"> </w:t>
      </w:r>
      <w:r w:rsidR="000D261E">
        <w:rPr>
          <w:rFonts w:ascii="Times New Roman" w:hAnsi="Times New Roman"/>
          <w:sz w:val="24"/>
        </w:rPr>
        <w:t xml:space="preserve">to a customer and certain other </w:t>
      </w:r>
      <w:r w:rsidR="0049116B">
        <w:rPr>
          <w:rFonts w:ascii="Times New Roman" w:hAnsi="Times New Roman"/>
          <w:sz w:val="24"/>
        </w:rPr>
        <w:t xml:space="preserve">specified </w:t>
      </w:r>
      <w:r w:rsidR="000D261E">
        <w:rPr>
          <w:rFonts w:ascii="Times New Roman" w:hAnsi="Times New Roman"/>
          <w:sz w:val="24"/>
        </w:rPr>
        <w:t xml:space="preserve">conditions are </w:t>
      </w:r>
      <w:r w:rsidR="00976AF8">
        <w:rPr>
          <w:rFonts w:ascii="Times New Roman" w:hAnsi="Times New Roman"/>
          <w:sz w:val="24"/>
        </w:rPr>
        <w:t>met</w:t>
      </w:r>
      <w:r w:rsidR="000D261E">
        <w:rPr>
          <w:rFonts w:ascii="Times New Roman" w:hAnsi="Times New Roman"/>
          <w:sz w:val="24"/>
        </w:rPr>
        <w:t>.</w:t>
      </w:r>
    </w:p>
    <w:p w14:paraId="2946194C" w14:textId="77777777" w:rsidR="009B18E1" w:rsidRPr="009B18E1" w:rsidRDefault="009B18E1" w:rsidP="003B7524">
      <w:pPr>
        <w:spacing w:before="240"/>
        <w:rPr>
          <w:rFonts w:ascii="Times New Roman" w:hAnsi="Times New Roman"/>
          <w:b/>
          <w:sz w:val="24"/>
        </w:rPr>
      </w:pPr>
      <w:r w:rsidRPr="009B18E1">
        <w:rPr>
          <w:rFonts w:ascii="Times New Roman" w:hAnsi="Times New Roman"/>
          <w:b/>
          <w:sz w:val="24"/>
        </w:rPr>
        <w:t>Item 2</w:t>
      </w:r>
    </w:p>
    <w:p w14:paraId="57684644" w14:textId="77777777" w:rsidR="009B18E1" w:rsidRDefault="00A3220B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</w:t>
      </w:r>
      <w:r w:rsidR="009B18E1">
        <w:rPr>
          <w:rFonts w:ascii="Times New Roman" w:hAnsi="Times New Roman"/>
          <w:sz w:val="24"/>
        </w:rPr>
        <w:t>item repeals all the definitions in paragraph 21.4.</w:t>
      </w:r>
    </w:p>
    <w:p w14:paraId="33D151E9" w14:textId="77777777" w:rsidR="009B18E1" w:rsidRPr="009B18E1" w:rsidRDefault="009B18E1" w:rsidP="003B7524">
      <w:pPr>
        <w:spacing w:before="240"/>
        <w:rPr>
          <w:rFonts w:ascii="Times New Roman" w:hAnsi="Times New Roman"/>
          <w:b/>
          <w:sz w:val="24"/>
        </w:rPr>
      </w:pPr>
      <w:r w:rsidRPr="009B18E1">
        <w:rPr>
          <w:rFonts w:ascii="Times New Roman" w:hAnsi="Times New Roman"/>
          <w:b/>
          <w:sz w:val="24"/>
        </w:rPr>
        <w:t>Item 3</w:t>
      </w:r>
    </w:p>
    <w:p w14:paraId="6A0E6FCF" w14:textId="66DFF975" w:rsidR="009B18E1" w:rsidRDefault="009B18E1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item inserts </w:t>
      </w:r>
      <w:r w:rsidR="000D261E">
        <w:rPr>
          <w:rFonts w:ascii="Times New Roman" w:hAnsi="Times New Roman"/>
          <w:sz w:val="24"/>
        </w:rPr>
        <w:t xml:space="preserve">a new </w:t>
      </w:r>
      <w:r w:rsidR="0049116B">
        <w:rPr>
          <w:rFonts w:ascii="Times New Roman" w:hAnsi="Times New Roman"/>
          <w:sz w:val="24"/>
        </w:rPr>
        <w:t xml:space="preserve">replacement </w:t>
      </w:r>
      <w:r w:rsidR="000D261E">
        <w:rPr>
          <w:rFonts w:ascii="Times New Roman" w:hAnsi="Times New Roman"/>
          <w:sz w:val="24"/>
        </w:rPr>
        <w:t xml:space="preserve">paragraph 21.4 containing </w:t>
      </w:r>
      <w:r>
        <w:rPr>
          <w:rFonts w:ascii="Times New Roman" w:hAnsi="Times New Roman"/>
          <w:sz w:val="24"/>
        </w:rPr>
        <w:t xml:space="preserve">definitions relevant to the interpretation of Chapter 21.  These definitions comprise the repealed definitions </w:t>
      </w:r>
      <w:r w:rsidR="007103FF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new definitions </w:t>
      </w:r>
      <w:r w:rsidR="007103FF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‘Australian market licence exemption’, ‘managed investment scheme’, ‘MIS service’, ‘participant’ and ‘registered managed investment scheme’.</w:t>
      </w:r>
    </w:p>
    <w:p w14:paraId="0C64A2C1" w14:textId="03DFCF0F" w:rsidR="003B7524" w:rsidRPr="00DB317D" w:rsidRDefault="003B7524" w:rsidP="003B7524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DB317D">
        <w:rPr>
          <w:rFonts w:ascii="Times New Roman" w:hAnsi="Times New Roman"/>
          <w:b/>
          <w:sz w:val="24"/>
        </w:rPr>
        <w:t>4.</w:t>
      </w:r>
      <w:r w:rsidRPr="00DB317D">
        <w:rPr>
          <w:rFonts w:ascii="Times New Roman" w:hAnsi="Times New Roman"/>
          <w:b/>
          <w:sz w:val="24"/>
        </w:rPr>
        <w:tab/>
        <w:t>Legislative instruments</w:t>
      </w:r>
    </w:p>
    <w:p w14:paraId="0BC47B17" w14:textId="77777777" w:rsidR="003B7524" w:rsidRDefault="003B7524" w:rsidP="003B7524">
      <w:pPr>
        <w:spacing w:before="240"/>
        <w:rPr>
          <w:rFonts w:ascii="Times New Roman" w:hAnsi="Times New Roman"/>
          <w:sz w:val="24"/>
        </w:rPr>
      </w:pPr>
      <w:r w:rsidRPr="00DB317D">
        <w:rPr>
          <w:rFonts w:ascii="Times New Roman" w:hAnsi="Times New Roman"/>
          <w:sz w:val="24"/>
        </w:rPr>
        <w:t xml:space="preserve">These AML/CTF Rules are legislative instruments as defined in section 5 of the </w:t>
      </w:r>
      <w:r w:rsidRPr="00DB317D">
        <w:rPr>
          <w:rFonts w:ascii="Times New Roman" w:hAnsi="Times New Roman"/>
          <w:i/>
          <w:sz w:val="24"/>
        </w:rPr>
        <w:t>Legislative Instruments Act 2003</w:t>
      </w:r>
      <w:r w:rsidRPr="00DB317D">
        <w:rPr>
          <w:rFonts w:ascii="Times New Roman" w:hAnsi="Times New Roman"/>
          <w:sz w:val="24"/>
        </w:rPr>
        <w:t>.</w:t>
      </w:r>
    </w:p>
    <w:p w14:paraId="0BB2E4F2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Likely impact</w:t>
      </w:r>
    </w:p>
    <w:p w14:paraId="6905C53E" w14:textId="298EB989" w:rsidR="004379C6" w:rsidRDefault="003568F8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amendment to Chapter </w:t>
      </w:r>
      <w:r w:rsidR="000D261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1 will have a positive </w:t>
      </w:r>
      <w:r w:rsidR="002C10AE">
        <w:rPr>
          <w:rFonts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</w:t>
      </w:r>
      <w:r w:rsidR="00EF1910">
        <w:rPr>
          <w:rFonts w:ascii="Times New Roman" w:hAnsi="Times New Roman"/>
          <w:sz w:val="24"/>
        </w:rPr>
        <w:t xml:space="preserve">on </w:t>
      </w:r>
      <w:r w:rsidR="000D261E">
        <w:rPr>
          <w:rFonts w:ascii="Times New Roman" w:hAnsi="Times New Roman"/>
          <w:sz w:val="24"/>
        </w:rPr>
        <w:t>any</w:t>
      </w:r>
      <w:r w:rsidR="00F21C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reporting </w:t>
      </w:r>
      <w:r w:rsidR="000D261E">
        <w:rPr>
          <w:rFonts w:ascii="Times New Roman" w:hAnsi="Times New Roman"/>
          <w:sz w:val="24"/>
        </w:rPr>
        <w:t xml:space="preserve">entity that issues </w:t>
      </w:r>
      <w:r w:rsidR="009C2AEA">
        <w:rPr>
          <w:rFonts w:ascii="Times New Roman" w:hAnsi="Times New Roman"/>
          <w:sz w:val="24"/>
        </w:rPr>
        <w:t xml:space="preserve">new </w:t>
      </w:r>
      <w:r w:rsidR="000D261E">
        <w:rPr>
          <w:rFonts w:ascii="Times New Roman" w:hAnsi="Times New Roman"/>
          <w:sz w:val="24"/>
        </w:rPr>
        <w:t xml:space="preserve">interests in registered </w:t>
      </w:r>
      <w:proofErr w:type="spellStart"/>
      <w:r w:rsidR="009F1526">
        <w:rPr>
          <w:rFonts w:ascii="Times New Roman" w:hAnsi="Times New Roman"/>
          <w:sz w:val="24"/>
        </w:rPr>
        <w:t>MISs</w:t>
      </w:r>
      <w:r w:rsidR="007103FF">
        <w:rPr>
          <w:rFonts w:ascii="Times New Roman" w:hAnsi="Times New Roman"/>
          <w:sz w:val="24"/>
        </w:rPr>
        <w:t>.</w:t>
      </w:r>
      <w:proofErr w:type="spellEnd"/>
    </w:p>
    <w:p w14:paraId="1D6CD79B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Assessment of benefits</w:t>
      </w:r>
    </w:p>
    <w:p w14:paraId="505869F2" w14:textId="63707E1B" w:rsidR="000D261E" w:rsidRDefault="000D261E" w:rsidP="007103FF">
      <w:pPr>
        <w:pStyle w:val="Paragraph"/>
        <w:rPr>
          <w:color w:val="000000"/>
        </w:rPr>
      </w:pPr>
      <w:r w:rsidRPr="00715DED">
        <w:rPr>
          <w:color w:val="000000"/>
        </w:rPr>
        <w:t>These AML/CTF Rules</w:t>
      </w:r>
      <w:r w:rsidR="00715DED">
        <w:rPr>
          <w:color w:val="000000"/>
        </w:rPr>
        <w:t xml:space="preserve"> will </w:t>
      </w:r>
      <w:r w:rsidR="00976AF8">
        <w:rPr>
          <w:color w:val="000000"/>
        </w:rPr>
        <w:t>provide regulatory relief to</w:t>
      </w:r>
      <w:r w:rsidR="00715DED">
        <w:rPr>
          <w:color w:val="000000"/>
        </w:rPr>
        <w:t xml:space="preserve"> reporting entities issuing interests in registered </w:t>
      </w:r>
      <w:r w:rsidR="00D70C84">
        <w:rPr>
          <w:color w:val="000000"/>
        </w:rPr>
        <w:t>MISs</w:t>
      </w:r>
      <w:r w:rsidR="00715DED">
        <w:rPr>
          <w:color w:val="000000"/>
        </w:rPr>
        <w:t xml:space="preserve"> </w:t>
      </w:r>
      <w:r w:rsidR="009F1526">
        <w:rPr>
          <w:color w:val="000000"/>
        </w:rPr>
        <w:t>covered by</w:t>
      </w:r>
      <w:r w:rsidR="00715DED">
        <w:rPr>
          <w:color w:val="000000"/>
        </w:rPr>
        <w:t xml:space="preserve"> the item 35 designated service</w:t>
      </w:r>
      <w:r w:rsidR="00D70C84">
        <w:rPr>
          <w:color w:val="000000"/>
        </w:rPr>
        <w:t xml:space="preserve"> </w:t>
      </w:r>
      <w:r w:rsidR="007103FF">
        <w:rPr>
          <w:color w:val="000000"/>
        </w:rPr>
        <w:t xml:space="preserve">as it </w:t>
      </w:r>
      <w:r w:rsidR="00715DED">
        <w:rPr>
          <w:color w:val="000000"/>
        </w:rPr>
        <w:t xml:space="preserve">will remove duplication of AML/CTF obligations in relation to a common customer of two separate reporting entities providing two separate designated services (item 35 </w:t>
      </w:r>
      <w:r w:rsidR="00715DED">
        <w:rPr>
          <w:color w:val="000000"/>
        </w:rPr>
        <w:lastRenderedPageBreak/>
        <w:t>and item 33 (an agent acquiring or disposing of a security and derivative)</w:t>
      </w:r>
      <w:r w:rsidR="009F1526">
        <w:rPr>
          <w:color w:val="000000"/>
        </w:rPr>
        <w:t>)</w:t>
      </w:r>
      <w:r w:rsidR="00715DED">
        <w:rPr>
          <w:color w:val="000000"/>
        </w:rPr>
        <w:t xml:space="preserve"> which relate to the issue of an interest in a registered </w:t>
      </w:r>
      <w:r w:rsidR="00D70C84">
        <w:rPr>
          <w:color w:val="000000"/>
        </w:rPr>
        <w:t>MIS</w:t>
      </w:r>
      <w:r w:rsidR="00715DED">
        <w:rPr>
          <w:color w:val="000000"/>
        </w:rPr>
        <w:t>.</w:t>
      </w:r>
    </w:p>
    <w:p w14:paraId="10F39859" w14:textId="77777777" w:rsidR="003B7524" w:rsidRPr="007E0F49" w:rsidRDefault="003B7524" w:rsidP="003B7524">
      <w:pPr>
        <w:pStyle w:val="Paragraph"/>
        <w:rPr>
          <w:b/>
          <w:szCs w:val="24"/>
        </w:rPr>
      </w:pPr>
      <w:r>
        <w:rPr>
          <w:b/>
        </w:rPr>
        <w:t>7</w:t>
      </w:r>
      <w:r w:rsidRPr="007E0F49">
        <w:rPr>
          <w:b/>
        </w:rPr>
        <w:t>.</w:t>
      </w:r>
      <w:r w:rsidRPr="007E0F49">
        <w:rPr>
          <w:b/>
        </w:rPr>
        <w:tab/>
        <w:t>Consultation</w:t>
      </w:r>
    </w:p>
    <w:p w14:paraId="624E72E4" w14:textId="2C139037" w:rsidR="00626E80" w:rsidRDefault="00D44977" w:rsidP="008634E5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AUSTRAC published </w:t>
      </w:r>
      <w:r w:rsidR="007E6720">
        <w:rPr>
          <w:rFonts w:ascii="Times New Roman" w:hAnsi="Times New Roman"/>
          <w:sz w:val="24"/>
        </w:rPr>
        <w:t xml:space="preserve">the </w:t>
      </w:r>
      <w:r w:rsidR="000C5E2A">
        <w:rPr>
          <w:rFonts w:ascii="Times New Roman" w:hAnsi="Times New Roman"/>
          <w:sz w:val="24"/>
        </w:rPr>
        <w:t xml:space="preserve">amendments </w:t>
      </w:r>
      <w:r w:rsidR="00626E80">
        <w:rPr>
          <w:rFonts w:ascii="Times New Roman" w:hAnsi="Times New Roman"/>
          <w:sz w:val="24"/>
        </w:rPr>
        <w:t xml:space="preserve">to Chapter </w:t>
      </w:r>
      <w:r w:rsidR="000D261E">
        <w:rPr>
          <w:rFonts w:ascii="Times New Roman" w:hAnsi="Times New Roman"/>
          <w:sz w:val="24"/>
        </w:rPr>
        <w:t>2</w:t>
      </w:r>
      <w:r w:rsidR="000E63EE">
        <w:rPr>
          <w:rFonts w:ascii="Times New Roman" w:hAnsi="Times New Roman"/>
          <w:sz w:val="24"/>
        </w:rPr>
        <w:t>1</w:t>
      </w:r>
      <w:r w:rsidR="00626E80">
        <w:rPr>
          <w:rFonts w:ascii="Times New Roman" w:hAnsi="Times New Roman"/>
          <w:sz w:val="24"/>
        </w:rPr>
        <w:t xml:space="preserve"> </w:t>
      </w:r>
      <w:r w:rsidR="00C15AD7">
        <w:rPr>
          <w:rFonts w:ascii="Times New Roman" w:hAnsi="Times New Roman"/>
          <w:sz w:val="24"/>
        </w:rPr>
        <w:t xml:space="preserve">of the </w:t>
      </w:r>
      <w:r w:rsidR="00C15AD7" w:rsidRPr="00C15AD7">
        <w:rPr>
          <w:rFonts w:ascii="Times New Roman" w:hAnsi="Times New Roman"/>
          <w:sz w:val="24"/>
        </w:rPr>
        <w:t xml:space="preserve">AML/CTF Rules </w:t>
      </w:r>
      <w:r w:rsidR="00C15AD7">
        <w:rPr>
          <w:rFonts w:ascii="Times New Roman" w:hAnsi="Times New Roman"/>
          <w:sz w:val="24"/>
        </w:rPr>
        <w:t>f</w:t>
      </w:r>
      <w:r w:rsidR="00C15AD7" w:rsidRPr="00C15AD7">
        <w:rPr>
          <w:rFonts w:ascii="Times New Roman" w:hAnsi="Times New Roman"/>
          <w:sz w:val="24"/>
        </w:rPr>
        <w:t>or public consultation on</w:t>
      </w:r>
      <w:r w:rsidR="00626E80">
        <w:rPr>
          <w:rFonts w:ascii="Times New Roman" w:hAnsi="Times New Roman"/>
          <w:sz w:val="24"/>
        </w:rPr>
        <w:t xml:space="preserve"> </w:t>
      </w:r>
      <w:r w:rsidR="002475AC">
        <w:rPr>
          <w:rFonts w:ascii="Times New Roman" w:hAnsi="Times New Roman"/>
          <w:sz w:val="24"/>
        </w:rPr>
        <w:t xml:space="preserve">the </w:t>
      </w:r>
      <w:r w:rsidR="00626E80">
        <w:rPr>
          <w:rFonts w:ascii="Times New Roman" w:hAnsi="Times New Roman"/>
          <w:sz w:val="24"/>
        </w:rPr>
        <w:t xml:space="preserve">AUSTRAC website from </w:t>
      </w:r>
      <w:r w:rsidR="00B647FD">
        <w:rPr>
          <w:rFonts w:ascii="Times New Roman" w:hAnsi="Times New Roman"/>
          <w:sz w:val="24"/>
        </w:rPr>
        <w:t>2</w:t>
      </w:r>
      <w:r w:rsidR="007D2DBB">
        <w:rPr>
          <w:rFonts w:ascii="Times New Roman" w:hAnsi="Times New Roman"/>
          <w:sz w:val="24"/>
        </w:rPr>
        <w:t>0</w:t>
      </w:r>
      <w:r w:rsidR="00B647FD">
        <w:rPr>
          <w:rFonts w:ascii="Times New Roman" w:hAnsi="Times New Roman"/>
          <w:sz w:val="24"/>
        </w:rPr>
        <w:t xml:space="preserve"> </w:t>
      </w:r>
      <w:r w:rsidR="007D2DBB">
        <w:rPr>
          <w:rFonts w:ascii="Times New Roman" w:hAnsi="Times New Roman"/>
          <w:sz w:val="24"/>
        </w:rPr>
        <w:t>December</w:t>
      </w:r>
      <w:r w:rsidR="00626E80">
        <w:rPr>
          <w:rFonts w:ascii="Times New Roman" w:hAnsi="Times New Roman"/>
          <w:sz w:val="24"/>
        </w:rPr>
        <w:t xml:space="preserve"> 2013 to </w:t>
      </w:r>
      <w:r w:rsidR="007D2DBB">
        <w:rPr>
          <w:rFonts w:ascii="Times New Roman" w:hAnsi="Times New Roman"/>
          <w:sz w:val="24"/>
        </w:rPr>
        <w:t>17 January</w:t>
      </w:r>
      <w:r w:rsidR="00626E80">
        <w:rPr>
          <w:rFonts w:ascii="Times New Roman" w:hAnsi="Times New Roman"/>
          <w:sz w:val="24"/>
        </w:rPr>
        <w:t xml:space="preserve"> 201</w:t>
      </w:r>
      <w:r w:rsidR="007D2DBB">
        <w:rPr>
          <w:rFonts w:ascii="Times New Roman" w:hAnsi="Times New Roman"/>
          <w:sz w:val="24"/>
        </w:rPr>
        <w:t>4</w:t>
      </w:r>
      <w:r w:rsidR="00626E80">
        <w:rPr>
          <w:rFonts w:ascii="Times New Roman" w:hAnsi="Times New Roman"/>
          <w:sz w:val="24"/>
        </w:rPr>
        <w:t xml:space="preserve">. </w:t>
      </w:r>
    </w:p>
    <w:p w14:paraId="04B97CCF" w14:textId="3208E15F" w:rsidR="00E9115C" w:rsidRDefault="00E9115C" w:rsidP="00E9115C">
      <w:pPr>
        <w:spacing w:before="240"/>
        <w:rPr>
          <w:rFonts w:ascii="Times New Roman" w:hAnsi="Times New Roman"/>
          <w:sz w:val="24"/>
        </w:rPr>
      </w:pPr>
      <w:r w:rsidRPr="00832FD7">
        <w:rPr>
          <w:rFonts w:ascii="Times New Roman" w:hAnsi="Times New Roman"/>
          <w:sz w:val="24"/>
        </w:rPr>
        <w:t xml:space="preserve">AUSTRAC has consulted with the </w:t>
      </w:r>
      <w:r w:rsidR="00832FD7" w:rsidRPr="00832FD7">
        <w:rPr>
          <w:rFonts w:ascii="Times New Roman" w:hAnsi="Times New Roman"/>
          <w:sz w:val="24"/>
        </w:rPr>
        <w:t>Australian Taxation Office, the Australia</w:t>
      </w:r>
      <w:r w:rsidR="008D25B6">
        <w:rPr>
          <w:rFonts w:ascii="Times New Roman" w:hAnsi="Times New Roman"/>
          <w:sz w:val="24"/>
        </w:rPr>
        <w:t>n</w:t>
      </w:r>
      <w:r w:rsidR="00832FD7" w:rsidRPr="00832FD7">
        <w:rPr>
          <w:rFonts w:ascii="Times New Roman" w:hAnsi="Times New Roman"/>
          <w:sz w:val="24"/>
        </w:rPr>
        <w:t xml:space="preserve"> Customs and Border Protection Service, the Australian Federal Police, the Australian Crime Commission and the Office of the Australian Information Commissioner in relation to these AML/CTF Rules.</w:t>
      </w:r>
    </w:p>
    <w:p w14:paraId="21040039" w14:textId="77777777" w:rsidR="003B7524" w:rsidRPr="00F0454D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Ongoing consultation</w:t>
      </w:r>
    </w:p>
    <w:p w14:paraId="318942AE" w14:textId="128B1295" w:rsidR="00D852BA" w:rsidRDefault="007929FC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AUSTRAC will conduct ongoing consultation with stakeholders on the operation of the</w:t>
      </w:r>
      <w:r w:rsidR="007D2DBB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AML/CTF Rules</w:t>
      </w:r>
      <w:r w:rsidR="003B7524" w:rsidRPr="00EE3DCD">
        <w:rPr>
          <w:rFonts w:ascii="Times New Roman" w:hAnsi="Times New Roman"/>
          <w:sz w:val="24"/>
        </w:rPr>
        <w:t>.</w:t>
      </w:r>
    </w:p>
    <w:p w14:paraId="79CFDAFC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7600EF">
        <w:rPr>
          <w:rFonts w:ascii="Times New Roman" w:hAnsi="Times New Roman"/>
          <w:b/>
          <w:sz w:val="28"/>
          <w:szCs w:val="28"/>
        </w:rPr>
        <w:lastRenderedPageBreak/>
        <w:t>Statement of Compa</w:t>
      </w:r>
      <w:r>
        <w:rPr>
          <w:rFonts w:ascii="Times New Roman" w:hAnsi="Times New Roman"/>
          <w:b/>
          <w:sz w:val="28"/>
          <w:szCs w:val="28"/>
        </w:rPr>
        <w:t>ti</w:t>
      </w:r>
      <w:r w:rsidRPr="007600EF">
        <w:rPr>
          <w:rFonts w:ascii="Times New Roman" w:hAnsi="Times New Roman"/>
          <w:b/>
          <w:sz w:val="28"/>
          <w:szCs w:val="28"/>
        </w:rPr>
        <w:t>bility with Human Rights</w:t>
      </w:r>
    </w:p>
    <w:p w14:paraId="3610E438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10FF6C2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7600EF">
        <w:rPr>
          <w:rFonts w:ascii="Times New Roman" w:hAnsi="Times New Roman"/>
          <w:i/>
          <w:szCs w:val="22"/>
        </w:rPr>
        <w:t>Prepared in accordance with Part 3 of the Human Rights (Parliamentary Scrutiny</w:t>
      </w:r>
      <w:r>
        <w:rPr>
          <w:rFonts w:ascii="Times New Roman" w:hAnsi="Times New Roman"/>
          <w:i/>
          <w:szCs w:val="22"/>
        </w:rPr>
        <w:t>)</w:t>
      </w:r>
      <w:r w:rsidRPr="007600EF">
        <w:rPr>
          <w:rFonts w:ascii="Times New Roman" w:hAnsi="Times New Roman"/>
          <w:i/>
          <w:szCs w:val="22"/>
        </w:rPr>
        <w:t xml:space="preserve"> Act 2011</w:t>
      </w:r>
    </w:p>
    <w:p w14:paraId="1C7A5615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C4522CC" w14:textId="02E14D22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4"/>
        </w:rPr>
      </w:pPr>
      <w:r w:rsidRPr="007600EF">
        <w:rPr>
          <w:rFonts w:ascii="Times New Roman" w:hAnsi="Times New Roman"/>
          <w:b/>
          <w:i/>
          <w:sz w:val="24"/>
        </w:rPr>
        <w:t>Anti-Money Laundering and Counter-Terrorism Financing Rules Amendment Instrument 201</w:t>
      </w:r>
      <w:r w:rsidR="005F5E52">
        <w:rPr>
          <w:rFonts w:ascii="Times New Roman" w:hAnsi="Times New Roman"/>
          <w:b/>
          <w:i/>
          <w:sz w:val="24"/>
        </w:rPr>
        <w:t>4</w:t>
      </w:r>
      <w:r w:rsidRPr="007600EF">
        <w:rPr>
          <w:rFonts w:ascii="Times New Roman" w:hAnsi="Times New Roman"/>
          <w:b/>
          <w:i/>
          <w:sz w:val="24"/>
        </w:rPr>
        <w:t xml:space="preserve"> (No.</w:t>
      </w:r>
      <w:r w:rsidR="00745E6D">
        <w:rPr>
          <w:rFonts w:ascii="Times New Roman" w:hAnsi="Times New Roman"/>
          <w:b/>
          <w:i/>
          <w:sz w:val="24"/>
        </w:rPr>
        <w:t xml:space="preserve"> </w:t>
      </w:r>
      <w:r w:rsidR="007103FF">
        <w:rPr>
          <w:rFonts w:ascii="Times New Roman" w:hAnsi="Times New Roman"/>
          <w:b/>
          <w:i/>
          <w:sz w:val="24"/>
        </w:rPr>
        <w:t>2</w:t>
      </w:r>
      <w:r w:rsidRPr="007600EF">
        <w:rPr>
          <w:rFonts w:ascii="Times New Roman" w:hAnsi="Times New Roman"/>
          <w:b/>
          <w:i/>
          <w:sz w:val="24"/>
        </w:rPr>
        <w:t>)</w:t>
      </w:r>
    </w:p>
    <w:p w14:paraId="2354A44F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</w:rPr>
      </w:pPr>
    </w:p>
    <w:p w14:paraId="01302705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7600EF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7600EF">
        <w:rPr>
          <w:rFonts w:ascii="Times New Roman" w:hAnsi="Times New Roman"/>
          <w:i/>
          <w:sz w:val="24"/>
        </w:rPr>
        <w:t>Human Rights (Parliamentary Scrutiny</w:t>
      </w:r>
      <w:r>
        <w:rPr>
          <w:rFonts w:ascii="Times New Roman" w:hAnsi="Times New Roman"/>
          <w:i/>
          <w:sz w:val="24"/>
        </w:rPr>
        <w:t>)</w:t>
      </w:r>
      <w:r w:rsidRPr="007600EF">
        <w:rPr>
          <w:rFonts w:ascii="Times New Roman" w:hAnsi="Times New Roman"/>
          <w:i/>
          <w:sz w:val="24"/>
        </w:rPr>
        <w:t xml:space="preserve"> Act 2011</w:t>
      </w:r>
      <w:r w:rsidRPr="007600EF">
        <w:rPr>
          <w:rFonts w:ascii="Times New Roman" w:hAnsi="Times New Roman"/>
          <w:sz w:val="24"/>
        </w:rPr>
        <w:t>.</w:t>
      </w:r>
    </w:p>
    <w:p w14:paraId="4F023C75" w14:textId="77777777" w:rsidR="00E07FA9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03EB464F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Overview of the legislative instrument</w:t>
      </w:r>
    </w:p>
    <w:p w14:paraId="17D3D072" w14:textId="77777777" w:rsidR="00E07FA9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5682C3EF" w14:textId="77777777" w:rsidR="00E9115C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2D18EA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Instrument amends Chapter </w:t>
      </w:r>
      <w:r w:rsidR="007D2DB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 w:rsidRPr="002D18EA">
        <w:rPr>
          <w:rFonts w:ascii="Times New Roman" w:hAnsi="Times New Roman"/>
          <w:sz w:val="24"/>
        </w:rPr>
        <w:t xml:space="preserve"> of the Anti-Money Laundering/Counter-Terrorism Financing Rules (AML/CTF Rules) </w:t>
      </w:r>
      <w:r>
        <w:rPr>
          <w:rFonts w:ascii="Times New Roman" w:hAnsi="Times New Roman"/>
          <w:sz w:val="24"/>
        </w:rPr>
        <w:t>by</w:t>
      </w:r>
      <w:r w:rsidR="00E9115C">
        <w:rPr>
          <w:rFonts w:ascii="Times New Roman" w:hAnsi="Times New Roman"/>
          <w:sz w:val="24"/>
        </w:rPr>
        <w:t>:</w:t>
      </w:r>
    </w:p>
    <w:p w14:paraId="3B62AA0C" w14:textId="77777777" w:rsidR="00E9115C" w:rsidRDefault="00E9115C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9CE1AEF" w14:textId="11845CFF" w:rsidR="00E9115C" w:rsidRPr="00E9115C" w:rsidRDefault="007D2DBB" w:rsidP="00E9115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inserting a new exemption </w:t>
      </w:r>
      <w:r w:rsidR="00E9115C">
        <w:rPr>
          <w:rFonts w:ascii="Times New Roman" w:hAnsi="Times New Roman"/>
          <w:sz w:val="24"/>
        </w:rPr>
        <w:t xml:space="preserve">in </w:t>
      </w:r>
      <w:bookmarkStart w:id="0" w:name="_GoBack"/>
      <w:bookmarkEnd w:id="0"/>
      <w:r w:rsidR="007103FF">
        <w:rPr>
          <w:rFonts w:ascii="Times New Roman" w:hAnsi="Times New Roman"/>
          <w:sz w:val="24"/>
        </w:rPr>
        <w:t xml:space="preserve">relation to </w:t>
      </w:r>
      <w:r w:rsidR="009F1526">
        <w:rPr>
          <w:rFonts w:ascii="Times New Roman" w:hAnsi="Times New Roman"/>
          <w:sz w:val="24"/>
        </w:rPr>
        <w:t xml:space="preserve">the issue of interests in </w:t>
      </w:r>
      <w:r>
        <w:rPr>
          <w:rFonts w:ascii="Times New Roman" w:hAnsi="Times New Roman"/>
          <w:sz w:val="24"/>
        </w:rPr>
        <w:t xml:space="preserve">registered </w:t>
      </w:r>
      <w:r w:rsidR="007103FF">
        <w:rPr>
          <w:rFonts w:ascii="Times New Roman" w:hAnsi="Times New Roman"/>
          <w:sz w:val="24"/>
        </w:rPr>
        <w:t>managed investment schemes</w:t>
      </w:r>
      <w:r w:rsidR="00F06A0F">
        <w:rPr>
          <w:rFonts w:ascii="Times New Roman" w:hAnsi="Times New Roman"/>
          <w:sz w:val="24"/>
        </w:rPr>
        <w:t>;</w:t>
      </w:r>
      <w:r w:rsidR="007103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</w:p>
    <w:p w14:paraId="4564C124" w14:textId="53EB2525" w:rsidR="00E07FA9" w:rsidRPr="00E9115C" w:rsidRDefault="00E9115C" w:rsidP="00E9115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proofErr w:type="gramStart"/>
      <w:r w:rsidRPr="00E9115C">
        <w:rPr>
          <w:rFonts w:ascii="Times New Roman" w:hAnsi="Times New Roman"/>
          <w:sz w:val="24"/>
        </w:rPr>
        <w:t>updat</w:t>
      </w:r>
      <w:r w:rsidR="007103FF">
        <w:rPr>
          <w:rFonts w:ascii="Times New Roman" w:hAnsi="Times New Roman"/>
          <w:sz w:val="24"/>
        </w:rPr>
        <w:t>ing</w:t>
      </w:r>
      <w:proofErr w:type="gramEnd"/>
      <w:r w:rsidR="007103FF">
        <w:rPr>
          <w:rFonts w:ascii="Times New Roman" w:hAnsi="Times New Roman"/>
          <w:sz w:val="24"/>
        </w:rPr>
        <w:t xml:space="preserve"> the </w:t>
      </w:r>
      <w:r w:rsidRPr="00E9115C">
        <w:rPr>
          <w:rFonts w:ascii="Times New Roman" w:hAnsi="Times New Roman"/>
          <w:sz w:val="24"/>
        </w:rPr>
        <w:t xml:space="preserve">definitions </w:t>
      </w:r>
      <w:r w:rsidR="007103FF">
        <w:rPr>
          <w:rFonts w:ascii="Times New Roman" w:hAnsi="Times New Roman"/>
          <w:sz w:val="24"/>
        </w:rPr>
        <w:t>in the chapter</w:t>
      </w:r>
      <w:r w:rsidR="00E07FA9" w:rsidRPr="00E9115C">
        <w:rPr>
          <w:rFonts w:ascii="Times New Roman" w:hAnsi="Times New Roman"/>
          <w:sz w:val="24"/>
        </w:rPr>
        <w:t>.</w:t>
      </w:r>
    </w:p>
    <w:p w14:paraId="733A2D37" w14:textId="77777777" w:rsidR="00F15258" w:rsidRDefault="00F1525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9E598E9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Human rights implications</w:t>
      </w:r>
    </w:p>
    <w:p w14:paraId="1827D4C6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B1A7743" w14:textId="77777777" w:rsidR="00D852BA" w:rsidRDefault="00330393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considered that this Instrument does not engage any of the applicable rights or freedoms.</w:t>
      </w:r>
    </w:p>
    <w:p w14:paraId="515E1C2E" w14:textId="77777777" w:rsidR="00330393" w:rsidRDefault="00330393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226BFE8F" w14:textId="77777777" w:rsidR="00D852BA" w:rsidRPr="007600EF" w:rsidRDefault="00D852BA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Conclusion</w:t>
      </w:r>
    </w:p>
    <w:p w14:paraId="2411725E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C5D3F63" w14:textId="7D546AB5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Instrument is </w:t>
      </w:r>
      <w:r w:rsidR="00237735">
        <w:rPr>
          <w:rFonts w:ascii="Times New Roman" w:hAnsi="Times New Roman"/>
          <w:sz w:val="24"/>
        </w:rPr>
        <w:t xml:space="preserve">therefore </w:t>
      </w:r>
      <w:r>
        <w:rPr>
          <w:rFonts w:ascii="Times New Roman" w:hAnsi="Times New Roman"/>
          <w:sz w:val="24"/>
        </w:rPr>
        <w:t>compatible with human rights as it does not raise any human rights issues.</w:t>
      </w:r>
    </w:p>
    <w:p w14:paraId="30559E7E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FAE2655" w14:textId="77777777" w:rsidR="003340DB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7016D8F" w14:textId="77777777" w:rsidR="003340DB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CD4E941" w14:textId="77777777" w:rsidR="00D65393" w:rsidRDefault="00D65393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Lance Schmidt </w:t>
      </w:r>
    </w:p>
    <w:p w14:paraId="1F054871" w14:textId="77777777" w:rsidR="009531E4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Chief Executive Officer</w:t>
      </w:r>
    </w:p>
    <w:p w14:paraId="28B8EB1F" w14:textId="77777777" w:rsidR="00D65393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Australian Transaction Reports and Analysis Centre</w:t>
      </w:r>
    </w:p>
    <w:sectPr w:rsidR="00D65393" w:rsidSect="00AB3147">
      <w:footerReference w:type="even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029E" w14:textId="77777777" w:rsidR="007B1B95" w:rsidRDefault="007B1B95">
      <w:r>
        <w:separator/>
      </w:r>
    </w:p>
  </w:endnote>
  <w:endnote w:type="continuationSeparator" w:id="0">
    <w:p w14:paraId="1CED8562" w14:textId="77777777" w:rsidR="007B1B95" w:rsidRDefault="007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EE1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9ADF" w14:textId="77777777" w:rsidR="00D808DA" w:rsidRDefault="00D80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0745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1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4C9A6A" w14:textId="77777777" w:rsidR="00D808DA" w:rsidRDefault="00D808DA" w:rsidP="003B75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2A4F" w14:textId="77777777" w:rsidR="007B1B95" w:rsidRDefault="007B1B95">
      <w:r>
        <w:separator/>
      </w:r>
    </w:p>
  </w:footnote>
  <w:footnote w:type="continuationSeparator" w:id="0">
    <w:p w14:paraId="385BED6D" w14:textId="77777777" w:rsidR="007B1B95" w:rsidRDefault="007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F2"/>
    <w:multiLevelType w:val="hybridMultilevel"/>
    <w:tmpl w:val="8BE0A230"/>
    <w:lvl w:ilvl="0" w:tplc="5AF4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D6350"/>
    <w:multiLevelType w:val="hybridMultilevel"/>
    <w:tmpl w:val="427E5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32BF4"/>
    <w:multiLevelType w:val="hybridMultilevel"/>
    <w:tmpl w:val="C6288D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3313A"/>
    <w:multiLevelType w:val="hybridMultilevel"/>
    <w:tmpl w:val="93804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06278F"/>
    <w:multiLevelType w:val="multilevel"/>
    <w:tmpl w:val="FF9C9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C16C4"/>
    <w:multiLevelType w:val="hybridMultilevel"/>
    <w:tmpl w:val="57B2ABA4"/>
    <w:lvl w:ilvl="0" w:tplc="FFB6A9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15A7CE6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4A293B"/>
    <w:multiLevelType w:val="hybridMultilevel"/>
    <w:tmpl w:val="830A868E"/>
    <w:lvl w:ilvl="0" w:tplc="F6606D1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670BA"/>
    <w:multiLevelType w:val="hybridMultilevel"/>
    <w:tmpl w:val="9C0CDF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C64AE"/>
    <w:multiLevelType w:val="hybridMultilevel"/>
    <w:tmpl w:val="A7C6D62A"/>
    <w:lvl w:ilvl="0" w:tplc="1FECF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65A21"/>
    <w:multiLevelType w:val="hybridMultilevel"/>
    <w:tmpl w:val="EEF4C094"/>
    <w:lvl w:ilvl="0" w:tplc="5AF4C4D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C13A1B"/>
    <w:multiLevelType w:val="hybridMultilevel"/>
    <w:tmpl w:val="4C8E725C"/>
    <w:lvl w:ilvl="0" w:tplc="F6606D1A">
      <w:start w:val="1"/>
      <w:numFmt w:val="bullet"/>
      <w:lvlText w:val=""/>
      <w:lvlJc w:val="left"/>
      <w:pPr>
        <w:tabs>
          <w:tab w:val="num" w:pos="1500"/>
        </w:tabs>
        <w:ind w:left="16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5FE80D0D"/>
    <w:multiLevelType w:val="hybridMultilevel"/>
    <w:tmpl w:val="D58CE33C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6606D1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429FD"/>
    <w:multiLevelType w:val="hybridMultilevel"/>
    <w:tmpl w:val="5A1A1DA4"/>
    <w:lvl w:ilvl="0" w:tplc="414099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BF2A2F"/>
    <w:multiLevelType w:val="multilevel"/>
    <w:tmpl w:val="468C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4070E2"/>
    <w:multiLevelType w:val="hybridMultilevel"/>
    <w:tmpl w:val="3B90928A"/>
    <w:lvl w:ilvl="0" w:tplc="952667D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B4C537C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9A19DC"/>
    <w:multiLevelType w:val="multilevel"/>
    <w:tmpl w:val="510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E09C7"/>
    <w:multiLevelType w:val="hybridMultilevel"/>
    <w:tmpl w:val="7196F280"/>
    <w:lvl w:ilvl="0" w:tplc="04463F8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24"/>
    <w:rsid w:val="0000129C"/>
    <w:rsid w:val="00002D59"/>
    <w:rsid w:val="00004237"/>
    <w:rsid w:val="00013686"/>
    <w:rsid w:val="00024C66"/>
    <w:rsid w:val="00027747"/>
    <w:rsid w:val="00035795"/>
    <w:rsid w:val="000430D4"/>
    <w:rsid w:val="00050CE5"/>
    <w:rsid w:val="000572EA"/>
    <w:rsid w:val="00057C98"/>
    <w:rsid w:val="0006328D"/>
    <w:rsid w:val="00075472"/>
    <w:rsid w:val="0008191B"/>
    <w:rsid w:val="0009363E"/>
    <w:rsid w:val="000A448C"/>
    <w:rsid w:val="000A71FF"/>
    <w:rsid w:val="000B07C2"/>
    <w:rsid w:val="000B3D22"/>
    <w:rsid w:val="000C4CBB"/>
    <w:rsid w:val="000C4DEC"/>
    <w:rsid w:val="000C5E2A"/>
    <w:rsid w:val="000D143A"/>
    <w:rsid w:val="000D1DA2"/>
    <w:rsid w:val="000D261E"/>
    <w:rsid w:val="000E63EE"/>
    <w:rsid w:val="00100A29"/>
    <w:rsid w:val="00100E9D"/>
    <w:rsid w:val="00101CDF"/>
    <w:rsid w:val="0010649D"/>
    <w:rsid w:val="001138C2"/>
    <w:rsid w:val="00115CA1"/>
    <w:rsid w:val="001161BA"/>
    <w:rsid w:val="00121FC3"/>
    <w:rsid w:val="00122D9B"/>
    <w:rsid w:val="0013429C"/>
    <w:rsid w:val="00134CA6"/>
    <w:rsid w:val="00146C29"/>
    <w:rsid w:val="00151CE0"/>
    <w:rsid w:val="0015621A"/>
    <w:rsid w:val="001663D5"/>
    <w:rsid w:val="00193377"/>
    <w:rsid w:val="001941DA"/>
    <w:rsid w:val="00197E8A"/>
    <w:rsid w:val="001A58BA"/>
    <w:rsid w:val="001A63E8"/>
    <w:rsid w:val="001B005E"/>
    <w:rsid w:val="001B3A61"/>
    <w:rsid w:val="001B679A"/>
    <w:rsid w:val="001B7DCC"/>
    <w:rsid w:val="001C2371"/>
    <w:rsid w:val="001C37C9"/>
    <w:rsid w:val="001C57DA"/>
    <w:rsid w:val="001C5B36"/>
    <w:rsid w:val="001C6C6F"/>
    <w:rsid w:val="001D3034"/>
    <w:rsid w:val="001D3559"/>
    <w:rsid w:val="001D3968"/>
    <w:rsid w:val="001D5E25"/>
    <w:rsid w:val="001D6003"/>
    <w:rsid w:val="001E005B"/>
    <w:rsid w:val="001E23BF"/>
    <w:rsid w:val="001E2728"/>
    <w:rsid w:val="001E4D8A"/>
    <w:rsid w:val="0020702F"/>
    <w:rsid w:val="002222BA"/>
    <w:rsid w:val="00234EE9"/>
    <w:rsid w:val="002358FE"/>
    <w:rsid w:val="00237735"/>
    <w:rsid w:val="00243298"/>
    <w:rsid w:val="00243C97"/>
    <w:rsid w:val="00244D95"/>
    <w:rsid w:val="00246666"/>
    <w:rsid w:val="00247043"/>
    <w:rsid w:val="002475AC"/>
    <w:rsid w:val="002526C4"/>
    <w:rsid w:val="00252A86"/>
    <w:rsid w:val="0025603C"/>
    <w:rsid w:val="002570AB"/>
    <w:rsid w:val="002700FC"/>
    <w:rsid w:val="00272368"/>
    <w:rsid w:val="00285882"/>
    <w:rsid w:val="0029686B"/>
    <w:rsid w:val="002A0A5F"/>
    <w:rsid w:val="002A5004"/>
    <w:rsid w:val="002A6852"/>
    <w:rsid w:val="002A6B5F"/>
    <w:rsid w:val="002B0655"/>
    <w:rsid w:val="002B0D2D"/>
    <w:rsid w:val="002C10AE"/>
    <w:rsid w:val="002C2936"/>
    <w:rsid w:val="002C75DD"/>
    <w:rsid w:val="002C76AE"/>
    <w:rsid w:val="002D18EA"/>
    <w:rsid w:val="002D67A4"/>
    <w:rsid w:val="002E74AC"/>
    <w:rsid w:val="003017CC"/>
    <w:rsid w:val="0030571B"/>
    <w:rsid w:val="00306189"/>
    <w:rsid w:val="00325102"/>
    <w:rsid w:val="00326047"/>
    <w:rsid w:val="00330393"/>
    <w:rsid w:val="003340DB"/>
    <w:rsid w:val="00344E15"/>
    <w:rsid w:val="00345CA1"/>
    <w:rsid w:val="003568F8"/>
    <w:rsid w:val="00363F21"/>
    <w:rsid w:val="00365FD7"/>
    <w:rsid w:val="003676D9"/>
    <w:rsid w:val="003747EE"/>
    <w:rsid w:val="003911F4"/>
    <w:rsid w:val="003912AD"/>
    <w:rsid w:val="003932F4"/>
    <w:rsid w:val="00393D2A"/>
    <w:rsid w:val="003A1795"/>
    <w:rsid w:val="003A3B0B"/>
    <w:rsid w:val="003A73B8"/>
    <w:rsid w:val="003B2DDD"/>
    <w:rsid w:val="003B7524"/>
    <w:rsid w:val="003C0500"/>
    <w:rsid w:val="003D7390"/>
    <w:rsid w:val="003E13D0"/>
    <w:rsid w:val="003E6AA6"/>
    <w:rsid w:val="003F250A"/>
    <w:rsid w:val="00402D9E"/>
    <w:rsid w:val="0040415D"/>
    <w:rsid w:val="0040525D"/>
    <w:rsid w:val="004065F6"/>
    <w:rsid w:val="004132BB"/>
    <w:rsid w:val="0041386C"/>
    <w:rsid w:val="0041387C"/>
    <w:rsid w:val="0042132D"/>
    <w:rsid w:val="00430DA3"/>
    <w:rsid w:val="004321FD"/>
    <w:rsid w:val="00433B24"/>
    <w:rsid w:val="00433C9D"/>
    <w:rsid w:val="0043626D"/>
    <w:rsid w:val="004379C6"/>
    <w:rsid w:val="00445B35"/>
    <w:rsid w:val="004521B8"/>
    <w:rsid w:val="004571E2"/>
    <w:rsid w:val="00460BA8"/>
    <w:rsid w:val="00460E86"/>
    <w:rsid w:val="004619BB"/>
    <w:rsid w:val="004661D5"/>
    <w:rsid w:val="004760F8"/>
    <w:rsid w:val="00482B80"/>
    <w:rsid w:val="00486E49"/>
    <w:rsid w:val="004878CA"/>
    <w:rsid w:val="0049116B"/>
    <w:rsid w:val="0049443F"/>
    <w:rsid w:val="004A3E59"/>
    <w:rsid w:val="004A49A4"/>
    <w:rsid w:val="004B17CA"/>
    <w:rsid w:val="004C1454"/>
    <w:rsid w:val="004D1BEF"/>
    <w:rsid w:val="004D29B8"/>
    <w:rsid w:val="004D3937"/>
    <w:rsid w:val="004D6131"/>
    <w:rsid w:val="004F566E"/>
    <w:rsid w:val="00507EC4"/>
    <w:rsid w:val="005114F2"/>
    <w:rsid w:val="00512DE8"/>
    <w:rsid w:val="00514F91"/>
    <w:rsid w:val="00515AE5"/>
    <w:rsid w:val="00521F8E"/>
    <w:rsid w:val="0052299B"/>
    <w:rsid w:val="00527C66"/>
    <w:rsid w:val="005300D6"/>
    <w:rsid w:val="005352F5"/>
    <w:rsid w:val="0054012A"/>
    <w:rsid w:val="00543C45"/>
    <w:rsid w:val="005472C1"/>
    <w:rsid w:val="005516F3"/>
    <w:rsid w:val="0055701C"/>
    <w:rsid w:val="00560220"/>
    <w:rsid w:val="0056172E"/>
    <w:rsid w:val="00565748"/>
    <w:rsid w:val="00570274"/>
    <w:rsid w:val="005723CF"/>
    <w:rsid w:val="0059487B"/>
    <w:rsid w:val="00596868"/>
    <w:rsid w:val="005B548D"/>
    <w:rsid w:val="005B5AD3"/>
    <w:rsid w:val="005B5D9A"/>
    <w:rsid w:val="005B69DB"/>
    <w:rsid w:val="005C0E87"/>
    <w:rsid w:val="005C51C8"/>
    <w:rsid w:val="005D51C8"/>
    <w:rsid w:val="005D58B2"/>
    <w:rsid w:val="005D650F"/>
    <w:rsid w:val="005D67E7"/>
    <w:rsid w:val="005E5E7F"/>
    <w:rsid w:val="005E600A"/>
    <w:rsid w:val="005F2F3D"/>
    <w:rsid w:val="005F5E52"/>
    <w:rsid w:val="00603BC5"/>
    <w:rsid w:val="00611827"/>
    <w:rsid w:val="00613E6B"/>
    <w:rsid w:val="00624DF2"/>
    <w:rsid w:val="00625479"/>
    <w:rsid w:val="006262A1"/>
    <w:rsid w:val="00626E80"/>
    <w:rsid w:val="006361B8"/>
    <w:rsid w:val="00637851"/>
    <w:rsid w:val="00640C28"/>
    <w:rsid w:val="006474D5"/>
    <w:rsid w:val="00650E63"/>
    <w:rsid w:val="00656B01"/>
    <w:rsid w:val="00657A4D"/>
    <w:rsid w:val="006757A9"/>
    <w:rsid w:val="006760CB"/>
    <w:rsid w:val="00685FBE"/>
    <w:rsid w:val="00686BF3"/>
    <w:rsid w:val="006A0527"/>
    <w:rsid w:val="006A44F1"/>
    <w:rsid w:val="006B1285"/>
    <w:rsid w:val="006B2808"/>
    <w:rsid w:val="006B520D"/>
    <w:rsid w:val="006C1ED7"/>
    <w:rsid w:val="006D0503"/>
    <w:rsid w:val="006D1560"/>
    <w:rsid w:val="006E438F"/>
    <w:rsid w:val="006E51E2"/>
    <w:rsid w:val="006E5F4D"/>
    <w:rsid w:val="006F4E28"/>
    <w:rsid w:val="0070277B"/>
    <w:rsid w:val="007030C7"/>
    <w:rsid w:val="00703DE2"/>
    <w:rsid w:val="00704289"/>
    <w:rsid w:val="00706BE4"/>
    <w:rsid w:val="007103FF"/>
    <w:rsid w:val="00715DED"/>
    <w:rsid w:val="007202F1"/>
    <w:rsid w:val="00722B4C"/>
    <w:rsid w:val="00722E42"/>
    <w:rsid w:val="00731178"/>
    <w:rsid w:val="00731CAB"/>
    <w:rsid w:val="007350B4"/>
    <w:rsid w:val="00736E51"/>
    <w:rsid w:val="007402D2"/>
    <w:rsid w:val="00743DDD"/>
    <w:rsid w:val="00745E6D"/>
    <w:rsid w:val="00746C4A"/>
    <w:rsid w:val="00747409"/>
    <w:rsid w:val="00766E95"/>
    <w:rsid w:val="00784906"/>
    <w:rsid w:val="00791450"/>
    <w:rsid w:val="007929FC"/>
    <w:rsid w:val="007B0B01"/>
    <w:rsid w:val="007B1B95"/>
    <w:rsid w:val="007B404C"/>
    <w:rsid w:val="007C52B3"/>
    <w:rsid w:val="007C6B20"/>
    <w:rsid w:val="007D2DBB"/>
    <w:rsid w:val="007D52F8"/>
    <w:rsid w:val="007E08A2"/>
    <w:rsid w:val="007E2861"/>
    <w:rsid w:val="007E32CD"/>
    <w:rsid w:val="007E6720"/>
    <w:rsid w:val="007F6303"/>
    <w:rsid w:val="00801D69"/>
    <w:rsid w:val="00803999"/>
    <w:rsid w:val="008156AC"/>
    <w:rsid w:val="008158AC"/>
    <w:rsid w:val="008169EF"/>
    <w:rsid w:val="0082090C"/>
    <w:rsid w:val="00821DE1"/>
    <w:rsid w:val="008275EE"/>
    <w:rsid w:val="00832FD7"/>
    <w:rsid w:val="00834E6A"/>
    <w:rsid w:val="00842441"/>
    <w:rsid w:val="00854FDF"/>
    <w:rsid w:val="00856FD6"/>
    <w:rsid w:val="008634E5"/>
    <w:rsid w:val="008759D0"/>
    <w:rsid w:val="008929D0"/>
    <w:rsid w:val="00893479"/>
    <w:rsid w:val="00893E97"/>
    <w:rsid w:val="008944A3"/>
    <w:rsid w:val="008A5AE5"/>
    <w:rsid w:val="008A602F"/>
    <w:rsid w:val="008B14C4"/>
    <w:rsid w:val="008B5AA2"/>
    <w:rsid w:val="008D0E3B"/>
    <w:rsid w:val="008D128E"/>
    <w:rsid w:val="008D1D16"/>
    <w:rsid w:val="008D25B6"/>
    <w:rsid w:val="008E09CA"/>
    <w:rsid w:val="008E7F86"/>
    <w:rsid w:val="008F5EA5"/>
    <w:rsid w:val="008F6EB6"/>
    <w:rsid w:val="00901510"/>
    <w:rsid w:val="009103AC"/>
    <w:rsid w:val="00915C8B"/>
    <w:rsid w:val="00920455"/>
    <w:rsid w:val="00922EA2"/>
    <w:rsid w:val="009413B8"/>
    <w:rsid w:val="009430AC"/>
    <w:rsid w:val="009451CB"/>
    <w:rsid w:val="00951A7D"/>
    <w:rsid w:val="009531E4"/>
    <w:rsid w:val="009671EF"/>
    <w:rsid w:val="0097268A"/>
    <w:rsid w:val="0097373B"/>
    <w:rsid w:val="00976AF8"/>
    <w:rsid w:val="009808DB"/>
    <w:rsid w:val="00980BB2"/>
    <w:rsid w:val="00983976"/>
    <w:rsid w:val="00986F88"/>
    <w:rsid w:val="00992FA8"/>
    <w:rsid w:val="00995FE6"/>
    <w:rsid w:val="009A70D8"/>
    <w:rsid w:val="009B18E1"/>
    <w:rsid w:val="009C2AEA"/>
    <w:rsid w:val="009C7626"/>
    <w:rsid w:val="009D20F2"/>
    <w:rsid w:val="009D7365"/>
    <w:rsid w:val="009E3ABB"/>
    <w:rsid w:val="009F1526"/>
    <w:rsid w:val="009F55D4"/>
    <w:rsid w:val="009F7B8D"/>
    <w:rsid w:val="00A15D25"/>
    <w:rsid w:val="00A220EF"/>
    <w:rsid w:val="00A3220B"/>
    <w:rsid w:val="00A33486"/>
    <w:rsid w:val="00A33736"/>
    <w:rsid w:val="00A35354"/>
    <w:rsid w:val="00A364BC"/>
    <w:rsid w:val="00A40D24"/>
    <w:rsid w:val="00A434EF"/>
    <w:rsid w:val="00A44FB5"/>
    <w:rsid w:val="00A52F00"/>
    <w:rsid w:val="00A55140"/>
    <w:rsid w:val="00A57F33"/>
    <w:rsid w:val="00A629AC"/>
    <w:rsid w:val="00A66647"/>
    <w:rsid w:val="00A673EB"/>
    <w:rsid w:val="00A67B86"/>
    <w:rsid w:val="00A73A2F"/>
    <w:rsid w:val="00A76C79"/>
    <w:rsid w:val="00A82F52"/>
    <w:rsid w:val="00A91296"/>
    <w:rsid w:val="00A920E5"/>
    <w:rsid w:val="00AA28B4"/>
    <w:rsid w:val="00AB3147"/>
    <w:rsid w:val="00AD12F4"/>
    <w:rsid w:val="00AE23BF"/>
    <w:rsid w:val="00AF361F"/>
    <w:rsid w:val="00AF543F"/>
    <w:rsid w:val="00B05B5F"/>
    <w:rsid w:val="00B06115"/>
    <w:rsid w:val="00B142A8"/>
    <w:rsid w:val="00B14DFD"/>
    <w:rsid w:val="00B20C44"/>
    <w:rsid w:val="00B3042A"/>
    <w:rsid w:val="00B647FD"/>
    <w:rsid w:val="00B66083"/>
    <w:rsid w:val="00B7008F"/>
    <w:rsid w:val="00B70663"/>
    <w:rsid w:val="00B76175"/>
    <w:rsid w:val="00B77480"/>
    <w:rsid w:val="00B804DA"/>
    <w:rsid w:val="00B85A4C"/>
    <w:rsid w:val="00B907A6"/>
    <w:rsid w:val="00B936F6"/>
    <w:rsid w:val="00BA0C4A"/>
    <w:rsid w:val="00BA2CFE"/>
    <w:rsid w:val="00BA7E86"/>
    <w:rsid w:val="00BB186F"/>
    <w:rsid w:val="00BB454B"/>
    <w:rsid w:val="00BB59CE"/>
    <w:rsid w:val="00BC221B"/>
    <w:rsid w:val="00BD06AD"/>
    <w:rsid w:val="00BD07E8"/>
    <w:rsid w:val="00BD14DB"/>
    <w:rsid w:val="00BD3813"/>
    <w:rsid w:val="00BE3D82"/>
    <w:rsid w:val="00BE509D"/>
    <w:rsid w:val="00BF0E87"/>
    <w:rsid w:val="00BF4F6F"/>
    <w:rsid w:val="00BF7EAB"/>
    <w:rsid w:val="00C039F5"/>
    <w:rsid w:val="00C13686"/>
    <w:rsid w:val="00C15AD7"/>
    <w:rsid w:val="00C3257C"/>
    <w:rsid w:val="00C35547"/>
    <w:rsid w:val="00C361E5"/>
    <w:rsid w:val="00C40447"/>
    <w:rsid w:val="00C64858"/>
    <w:rsid w:val="00C813A6"/>
    <w:rsid w:val="00C83B9B"/>
    <w:rsid w:val="00C87509"/>
    <w:rsid w:val="00CA497D"/>
    <w:rsid w:val="00CB5002"/>
    <w:rsid w:val="00CB6711"/>
    <w:rsid w:val="00CD5822"/>
    <w:rsid w:val="00CE05AD"/>
    <w:rsid w:val="00CE3A3D"/>
    <w:rsid w:val="00CE3E37"/>
    <w:rsid w:val="00CF081A"/>
    <w:rsid w:val="00CF3A4F"/>
    <w:rsid w:val="00CF684B"/>
    <w:rsid w:val="00D071F3"/>
    <w:rsid w:val="00D13DE2"/>
    <w:rsid w:val="00D13F7F"/>
    <w:rsid w:val="00D17CB5"/>
    <w:rsid w:val="00D25D42"/>
    <w:rsid w:val="00D26799"/>
    <w:rsid w:val="00D335F0"/>
    <w:rsid w:val="00D34049"/>
    <w:rsid w:val="00D36795"/>
    <w:rsid w:val="00D37860"/>
    <w:rsid w:val="00D44977"/>
    <w:rsid w:val="00D44DEA"/>
    <w:rsid w:val="00D456F1"/>
    <w:rsid w:val="00D62BC3"/>
    <w:rsid w:val="00D65393"/>
    <w:rsid w:val="00D656CC"/>
    <w:rsid w:val="00D70C84"/>
    <w:rsid w:val="00D763EF"/>
    <w:rsid w:val="00D808DA"/>
    <w:rsid w:val="00D80A79"/>
    <w:rsid w:val="00D852BA"/>
    <w:rsid w:val="00D932DB"/>
    <w:rsid w:val="00DA141C"/>
    <w:rsid w:val="00DA7965"/>
    <w:rsid w:val="00DB317D"/>
    <w:rsid w:val="00DB46BA"/>
    <w:rsid w:val="00DB59B1"/>
    <w:rsid w:val="00DB6EF1"/>
    <w:rsid w:val="00DC3F5A"/>
    <w:rsid w:val="00DC5399"/>
    <w:rsid w:val="00DD17DD"/>
    <w:rsid w:val="00DE4563"/>
    <w:rsid w:val="00DE6A9B"/>
    <w:rsid w:val="00DE7AA1"/>
    <w:rsid w:val="00E00882"/>
    <w:rsid w:val="00E06A12"/>
    <w:rsid w:val="00E07FA9"/>
    <w:rsid w:val="00E1250A"/>
    <w:rsid w:val="00E1765C"/>
    <w:rsid w:val="00E32833"/>
    <w:rsid w:val="00E5533D"/>
    <w:rsid w:val="00E600DC"/>
    <w:rsid w:val="00E64F1D"/>
    <w:rsid w:val="00E72232"/>
    <w:rsid w:val="00E90EF9"/>
    <w:rsid w:val="00E9115C"/>
    <w:rsid w:val="00E943AE"/>
    <w:rsid w:val="00E961FB"/>
    <w:rsid w:val="00EA1048"/>
    <w:rsid w:val="00EB5C57"/>
    <w:rsid w:val="00EC51D6"/>
    <w:rsid w:val="00ED6C78"/>
    <w:rsid w:val="00EE3472"/>
    <w:rsid w:val="00EF1910"/>
    <w:rsid w:val="00EF1BAE"/>
    <w:rsid w:val="00F021D4"/>
    <w:rsid w:val="00F03C63"/>
    <w:rsid w:val="00F06A0F"/>
    <w:rsid w:val="00F10923"/>
    <w:rsid w:val="00F15258"/>
    <w:rsid w:val="00F17295"/>
    <w:rsid w:val="00F21CB2"/>
    <w:rsid w:val="00F3748B"/>
    <w:rsid w:val="00F53284"/>
    <w:rsid w:val="00F7392E"/>
    <w:rsid w:val="00F74E13"/>
    <w:rsid w:val="00F76DE0"/>
    <w:rsid w:val="00F8508D"/>
    <w:rsid w:val="00F85165"/>
    <w:rsid w:val="00F905A2"/>
    <w:rsid w:val="00F910C0"/>
    <w:rsid w:val="00FA17AB"/>
    <w:rsid w:val="00FA45DE"/>
    <w:rsid w:val="00FA4A39"/>
    <w:rsid w:val="00FC3DE0"/>
    <w:rsid w:val="00FC42B9"/>
    <w:rsid w:val="00FD5727"/>
    <w:rsid w:val="00FD5819"/>
    <w:rsid w:val="00FE415A"/>
    <w:rsid w:val="00FE5A97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28F47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363E"/>
    <w:rPr>
      <w:sz w:val="16"/>
      <w:szCs w:val="16"/>
    </w:rPr>
  </w:style>
  <w:style w:type="paragraph" w:styleId="CommentText">
    <w:name w:val="annotation text"/>
    <w:basedOn w:val="Normal"/>
    <w:semiHidden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</dc:creator>
  <cp:keywords/>
  <dc:description/>
  <cp:lastModifiedBy>Tania Chomenko</cp:lastModifiedBy>
  <cp:revision>2</cp:revision>
  <cp:lastPrinted>2014-01-24T01:29:00Z</cp:lastPrinted>
  <dcterms:created xsi:type="dcterms:W3CDTF">2014-01-28T04:01:00Z</dcterms:created>
  <dcterms:modified xsi:type="dcterms:W3CDTF">2014-01-28T04:01:00Z</dcterms:modified>
</cp:coreProperties>
</file>