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A4" w:rsidRPr="004F2BA4" w:rsidRDefault="008C3BA4" w:rsidP="00E6527F">
      <w:pPr>
        <w:autoSpaceDE w:val="0"/>
        <w:autoSpaceDN w:val="0"/>
        <w:adjustRightInd w:val="0"/>
        <w:spacing w:line="240" w:lineRule="auto"/>
        <w:rPr>
          <w:rFonts w:eastAsia="Times New Roman" w:cs="Arial"/>
          <w:b/>
          <w:sz w:val="24"/>
          <w:szCs w:val="24"/>
          <w:lang w:eastAsia="en-AU"/>
        </w:rPr>
      </w:pPr>
      <w:bookmarkStart w:id="0" w:name="_GoBack"/>
      <w:bookmarkEnd w:id="0"/>
      <w:r w:rsidRPr="004F2BA4">
        <w:rPr>
          <w:rFonts w:eastAsia="Times New Roman" w:cs="Arial"/>
          <w:b/>
          <w:sz w:val="24"/>
          <w:szCs w:val="24"/>
          <w:lang w:eastAsia="en-AU"/>
        </w:rPr>
        <w:t>EXPLANATORY STATEMENT</w:t>
      </w:r>
    </w:p>
    <w:p w:rsidR="00D05FE7" w:rsidRPr="00E6527F" w:rsidRDefault="002A556D" w:rsidP="00E6527F">
      <w:pPr>
        <w:spacing w:line="240" w:lineRule="auto"/>
        <w:rPr>
          <w:b/>
          <w:sz w:val="28"/>
          <w:szCs w:val="28"/>
        </w:rPr>
      </w:pPr>
      <w:r>
        <w:rPr>
          <w:b/>
          <w:sz w:val="28"/>
          <w:szCs w:val="28"/>
        </w:rPr>
        <w:t>National Gambling Reforms (Administration of ATM measure) Direction</w:t>
      </w:r>
      <w:r w:rsidR="00AE2BC0">
        <w:rPr>
          <w:b/>
          <w:sz w:val="28"/>
          <w:szCs w:val="28"/>
        </w:rPr>
        <w:t>s</w:t>
      </w:r>
      <w:r w:rsidR="009C0E54">
        <w:rPr>
          <w:b/>
          <w:sz w:val="28"/>
          <w:szCs w:val="28"/>
        </w:rPr>
        <w:t xml:space="preserve"> 2014</w:t>
      </w:r>
    </w:p>
    <w:p w:rsidR="008C3BA4" w:rsidRPr="00C77A58" w:rsidRDefault="008C3BA4" w:rsidP="00C77A58">
      <w:pPr>
        <w:autoSpaceDE w:val="0"/>
        <w:autoSpaceDN w:val="0"/>
        <w:adjustRightInd w:val="0"/>
        <w:spacing w:line="240" w:lineRule="auto"/>
        <w:jc w:val="both"/>
        <w:rPr>
          <w:rFonts w:eastAsia="Times New Roman" w:cs="Arial"/>
          <w:b/>
          <w:sz w:val="28"/>
          <w:szCs w:val="28"/>
          <w:lang w:eastAsia="en-AU"/>
        </w:rPr>
      </w:pPr>
      <w:r w:rsidRPr="00F77A3B">
        <w:rPr>
          <w:rFonts w:eastAsia="Times New Roman" w:cs="Arial"/>
          <w:b/>
          <w:sz w:val="28"/>
          <w:szCs w:val="28"/>
          <w:lang w:eastAsia="en-AU"/>
        </w:rPr>
        <w:t>Summary</w:t>
      </w:r>
    </w:p>
    <w:p w:rsidR="000945D6" w:rsidRDefault="00165373" w:rsidP="00C77A58">
      <w:pPr>
        <w:autoSpaceDE w:val="0"/>
        <w:autoSpaceDN w:val="0"/>
        <w:adjustRightInd w:val="0"/>
        <w:spacing w:line="240" w:lineRule="auto"/>
        <w:rPr>
          <w:rFonts w:eastAsia="Times New Roman" w:cs="Arial"/>
          <w:sz w:val="24"/>
          <w:szCs w:val="24"/>
          <w:lang w:eastAsia="en-AU"/>
        </w:rPr>
      </w:pPr>
      <w:r>
        <w:rPr>
          <w:rFonts w:eastAsia="Times New Roman" w:cs="Arial"/>
          <w:sz w:val="24"/>
          <w:szCs w:val="24"/>
          <w:lang w:eastAsia="en-AU"/>
        </w:rPr>
        <w:t xml:space="preserve">The </w:t>
      </w:r>
      <w:r w:rsidR="00AD4B4A">
        <w:rPr>
          <w:rFonts w:eastAsia="Times New Roman" w:cs="Arial"/>
          <w:i/>
          <w:sz w:val="24"/>
          <w:szCs w:val="24"/>
          <w:lang w:eastAsia="en-AU"/>
        </w:rPr>
        <w:t xml:space="preserve">National Gambling </w:t>
      </w:r>
      <w:r w:rsidR="004973F6">
        <w:rPr>
          <w:rFonts w:eastAsia="Times New Roman" w:cs="Arial"/>
          <w:i/>
          <w:sz w:val="24"/>
          <w:szCs w:val="24"/>
          <w:lang w:eastAsia="en-AU"/>
        </w:rPr>
        <w:t>Reforms (Administ</w:t>
      </w:r>
      <w:r w:rsidR="000945D6">
        <w:rPr>
          <w:rFonts w:eastAsia="Times New Roman" w:cs="Arial"/>
          <w:i/>
          <w:sz w:val="24"/>
          <w:szCs w:val="24"/>
          <w:lang w:eastAsia="en-AU"/>
        </w:rPr>
        <w:t>ration of ATM measure) Directions</w:t>
      </w:r>
      <w:r w:rsidR="004973F6">
        <w:rPr>
          <w:rFonts w:eastAsia="Times New Roman" w:cs="Arial"/>
          <w:i/>
          <w:sz w:val="24"/>
          <w:szCs w:val="24"/>
          <w:lang w:eastAsia="en-AU"/>
        </w:rPr>
        <w:t xml:space="preserve"> </w:t>
      </w:r>
      <w:r w:rsidR="007F6AF4" w:rsidRPr="007F6AF4">
        <w:rPr>
          <w:rFonts w:eastAsia="Times New Roman" w:cs="Arial"/>
          <w:sz w:val="24"/>
          <w:szCs w:val="24"/>
          <w:lang w:eastAsia="en-AU"/>
        </w:rPr>
        <w:t>(Directions)</w:t>
      </w:r>
      <w:r w:rsidR="007F6AF4">
        <w:rPr>
          <w:rFonts w:eastAsia="Times New Roman" w:cs="Arial"/>
          <w:i/>
          <w:sz w:val="24"/>
          <w:szCs w:val="24"/>
          <w:lang w:eastAsia="en-AU"/>
        </w:rPr>
        <w:t xml:space="preserve"> </w:t>
      </w:r>
      <w:r w:rsidR="000945D6">
        <w:rPr>
          <w:rFonts w:eastAsia="Times New Roman" w:cs="Arial"/>
          <w:sz w:val="24"/>
          <w:szCs w:val="24"/>
          <w:lang w:eastAsia="en-AU"/>
        </w:rPr>
        <w:t>are</w:t>
      </w:r>
      <w:r w:rsidR="004973F6">
        <w:rPr>
          <w:rFonts w:eastAsia="Times New Roman" w:cs="Arial"/>
          <w:sz w:val="24"/>
          <w:szCs w:val="24"/>
          <w:lang w:eastAsia="en-AU"/>
        </w:rPr>
        <w:t xml:space="preserve"> made under section 110 of the </w:t>
      </w:r>
      <w:r w:rsidR="004973F6">
        <w:rPr>
          <w:rFonts w:eastAsia="Times New Roman" w:cs="Arial"/>
          <w:i/>
          <w:sz w:val="24"/>
          <w:szCs w:val="24"/>
          <w:lang w:eastAsia="en-AU"/>
        </w:rPr>
        <w:t xml:space="preserve">National Gambling Reform Act 2012 </w:t>
      </w:r>
      <w:r w:rsidR="004973F6">
        <w:rPr>
          <w:rFonts w:eastAsia="Times New Roman" w:cs="Arial"/>
          <w:sz w:val="24"/>
          <w:szCs w:val="24"/>
          <w:lang w:eastAsia="en-AU"/>
        </w:rPr>
        <w:t xml:space="preserve">(the Act). </w:t>
      </w:r>
    </w:p>
    <w:p w:rsidR="00C25078" w:rsidRDefault="006E3BBD" w:rsidP="00C77A58">
      <w:pPr>
        <w:pStyle w:val="SectionText"/>
        <w:spacing w:after="200"/>
        <w:ind w:left="0"/>
      </w:pPr>
      <w:r>
        <w:t xml:space="preserve">The object of the Directions is to provide regulatory guidance and general requirements in relation to the approach to be taken by the Regulator in the first </w:t>
      </w:r>
      <w:r w:rsidR="00F70603">
        <w:t>six</w:t>
      </w:r>
      <w:r>
        <w:t xml:space="preserve"> months of</w:t>
      </w:r>
      <w:r w:rsidR="00D05FE7">
        <w:t xml:space="preserve"> administerin</w:t>
      </w:r>
      <w:r w:rsidR="00F201B5">
        <w:t>g the ATM measure under the Act.</w:t>
      </w:r>
      <w:r w:rsidR="00C25078" w:rsidRPr="00C25078">
        <w:t xml:space="preserve"> </w:t>
      </w:r>
      <w:r w:rsidR="00C25078">
        <w:t xml:space="preserve"> </w:t>
      </w:r>
    </w:p>
    <w:p w:rsidR="00C0169F" w:rsidRDefault="00F201B5" w:rsidP="00B14EB5">
      <w:pPr>
        <w:pStyle w:val="SectionText"/>
        <w:spacing w:after="200"/>
        <w:ind w:left="0"/>
      </w:pPr>
      <w:r>
        <w:t xml:space="preserve">The approach to be taken, will focus on assisting regulated entities understand their obligations under the Act and engaging cooperatively with regulated entities and </w:t>
      </w:r>
      <w:r w:rsidRPr="00B14EB5">
        <w:t>other relevant persons to facilitate implementation of its first measure</w:t>
      </w:r>
      <w:r w:rsidR="00C0169F">
        <w:t>.</w:t>
      </w:r>
    </w:p>
    <w:p w:rsidR="00E86C82" w:rsidRDefault="00E86C82" w:rsidP="00B14EB5">
      <w:pPr>
        <w:pStyle w:val="SectionText"/>
        <w:spacing w:after="200"/>
        <w:ind w:left="0"/>
      </w:pPr>
      <w:r>
        <w:t>The Directions</w:t>
      </w:r>
      <w:r w:rsidR="00C25078">
        <w:t xml:space="preserve"> give</w:t>
      </w:r>
      <w:r w:rsidR="009B5ADA">
        <w:t>s</w:t>
      </w:r>
      <w:r w:rsidR="00C25078">
        <w:t xml:space="preserve"> effect to an educative approach </w:t>
      </w:r>
      <w:r w:rsidR="00EE5D67">
        <w:t>b</w:t>
      </w:r>
      <w:r w:rsidR="00FC7F07">
        <w:t>y</w:t>
      </w:r>
      <w:r>
        <w:t>:</w:t>
      </w:r>
    </w:p>
    <w:p w:rsidR="00E86C82" w:rsidRDefault="000052FE" w:rsidP="00B14EB5">
      <w:pPr>
        <w:pStyle w:val="SectionText"/>
        <w:numPr>
          <w:ilvl w:val="0"/>
          <w:numId w:val="44"/>
        </w:numPr>
        <w:spacing w:after="200"/>
      </w:pPr>
      <w:r>
        <w:t>s</w:t>
      </w:r>
      <w:r w:rsidR="00E86C82">
        <w:t>pecifying priorities</w:t>
      </w:r>
      <w:r w:rsidR="00CC66B1">
        <w:t xml:space="preserve"> based on</w:t>
      </w:r>
      <w:r w:rsidR="00D7300D">
        <w:t xml:space="preserve"> the Regulator’s</w:t>
      </w:r>
      <w:r w:rsidR="00E86C82">
        <w:t xml:space="preserve"> functions</w:t>
      </w:r>
      <w:r w:rsidR="00CC66B1">
        <w:t xml:space="preserve"> relevant to an educative approach</w:t>
      </w:r>
      <w:r w:rsidR="00C47922">
        <w:t xml:space="preserve"> – t</w:t>
      </w:r>
      <w:r w:rsidR="00CC66B1">
        <w:t>his is intended to inform the Regulator’s general administration of the ATM measure</w:t>
      </w:r>
      <w:r w:rsidR="009D2F3F">
        <w:t>;</w:t>
      </w:r>
    </w:p>
    <w:p w:rsidR="00CC66B1" w:rsidRDefault="000052FE" w:rsidP="00B14EB5">
      <w:pPr>
        <w:pStyle w:val="SectionText"/>
        <w:numPr>
          <w:ilvl w:val="0"/>
          <w:numId w:val="44"/>
        </w:numPr>
        <w:spacing w:after="200"/>
      </w:pPr>
      <w:r>
        <w:t>p</w:t>
      </w:r>
      <w:r w:rsidR="00CC66B1">
        <w:t>rescribing procedural requirements</w:t>
      </w:r>
      <w:r w:rsidR="00EA1E01">
        <w:t xml:space="preserve"> to ensure genuine applications for exemption are settled before</w:t>
      </w:r>
      <w:r w:rsidR="00D37E1C">
        <w:t xml:space="preserve"> responding t</w:t>
      </w:r>
      <w:r w:rsidR="00EA1E01">
        <w:t>o potential non-compliance</w:t>
      </w:r>
      <w:r w:rsidR="00F70603">
        <w:t xml:space="preserve"> – </w:t>
      </w:r>
      <w:r w:rsidR="00FC7F07">
        <w:t xml:space="preserve">this </w:t>
      </w:r>
      <w:r w:rsidR="00EA1E01">
        <w:t xml:space="preserve">will help reduce uncertainty and </w:t>
      </w:r>
      <w:r w:rsidR="009D2F3F">
        <w:t>avoid pursuing action which may become unnecessary;</w:t>
      </w:r>
      <w:r w:rsidR="00EA1E01">
        <w:t xml:space="preserve"> and </w:t>
      </w:r>
    </w:p>
    <w:p w:rsidR="00CC66B1" w:rsidRPr="00E86C82" w:rsidRDefault="000052FE" w:rsidP="00B14EB5">
      <w:pPr>
        <w:pStyle w:val="SectionText"/>
        <w:numPr>
          <w:ilvl w:val="0"/>
          <w:numId w:val="44"/>
        </w:numPr>
        <w:spacing w:after="200"/>
      </w:pPr>
      <w:proofErr w:type="gramStart"/>
      <w:r>
        <w:t>e</w:t>
      </w:r>
      <w:r w:rsidR="00EA1E01">
        <w:t>stablishing</w:t>
      </w:r>
      <w:proofErr w:type="gramEnd"/>
      <w:r w:rsidR="00EA1E01">
        <w:t xml:space="preserve"> </w:t>
      </w:r>
      <w:r w:rsidR="00D7300D">
        <w:t xml:space="preserve">a mandatory process </w:t>
      </w:r>
      <w:r w:rsidR="00D37E1C">
        <w:t>f</w:t>
      </w:r>
      <w:r w:rsidR="00D7300D">
        <w:t>or</w:t>
      </w:r>
      <w:r w:rsidR="00D37E1C">
        <w:t xml:space="preserve"> ‘cooperative engagement’ which must </w:t>
      </w:r>
      <w:r w:rsidR="00D7300D">
        <w:t>be followed be</w:t>
      </w:r>
      <w:r w:rsidR="00D37E1C">
        <w:t>fore responding to</w:t>
      </w:r>
      <w:r w:rsidR="00D7300D">
        <w:t xml:space="preserve"> any potential</w:t>
      </w:r>
      <w:r w:rsidR="00FC7F07">
        <w:t xml:space="preserve"> non-compliance – this </w:t>
      </w:r>
      <w:r w:rsidR="00D37E1C">
        <w:t>ensures maximum opportunity is afforded to pur</w:t>
      </w:r>
      <w:r w:rsidR="009B5ADA">
        <w:t>sui</w:t>
      </w:r>
      <w:r w:rsidR="00D37E1C">
        <w:t>ng a cooperative approach.</w:t>
      </w:r>
    </w:p>
    <w:p w:rsidR="000D0358" w:rsidRDefault="000B1D7C" w:rsidP="00B14EB5">
      <w:pPr>
        <w:pStyle w:val="SectionText"/>
        <w:spacing w:after="200"/>
        <w:ind w:left="0"/>
      </w:pPr>
      <w:r>
        <w:t>The Directions also emphasise the priority for ‘cooperative engagement’</w:t>
      </w:r>
      <w:r w:rsidR="002A4FC2">
        <w:t xml:space="preserve"> as steps towards achieving compliance and ensuring all reasonable opportunities are afforded </w:t>
      </w:r>
      <w:r w:rsidR="00267BE5">
        <w:t xml:space="preserve">to regulated entities </w:t>
      </w:r>
      <w:r w:rsidR="002A4FC2">
        <w:t xml:space="preserve">to </w:t>
      </w:r>
      <w:r w:rsidR="00F70603">
        <w:t>address potential non-compliance</w:t>
      </w:r>
      <w:r w:rsidR="002A4FC2">
        <w:t xml:space="preserve">. </w:t>
      </w:r>
    </w:p>
    <w:p w:rsidR="00C77A58" w:rsidRPr="00B14EB5" w:rsidRDefault="008C3BA4" w:rsidP="00B14EB5">
      <w:pPr>
        <w:pStyle w:val="SectionText"/>
        <w:spacing w:after="200"/>
        <w:ind w:left="0"/>
        <w:rPr>
          <w:b/>
          <w:sz w:val="28"/>
          <w:szCs w:val="28"/>
        </w:rPr>
      </w:pPr>
      <w:r w:rsidRPr="00B14EB5">
        <w:rPr>
          <w:b/>
          <w:sz w:val="28"/>
          <w:szCs w:val="28"/>
        </w:rPr>
        <w:t>Background</w:t>
      </w:r>
    </w:p>
    <w:p w:rsidR="001576F4" w:rsidRPr="000E56AF" w:rsidRDefault="009B5ADA" w:rsidP="003535B7">
      <w:pPr>
        <w:pStyle w:val="SectionText"/>
        <w:spacing w:after="200"/>
        <w:ind w:left="0"/>
      </w:pPr>
      <w:r>
        <w:t xml:space="preserve">On 12 December </w:t>
      </w:r>
      <w:r w:rsidRPr="003535B7">
        <w:t>201</w:t>
      </w:r>
      <w:r w:rsidR="00F70603">
        <w:t>2</w:t>
      </w:r>
      <w:r w:rsidRPr="003535B7">
        <w:t xml:space="preserve"> the </w:t>
      </w:r>
      <w:r w:rsidR="003535B7" w:rsidRPr="003535B7">
        <w:t xml:space="preserve">Act </w:t>
      </w:r>
      <w:r w:rsidRPr="003535B7">
        <w:t>commenced</w:t>
      </w:r>
      <w:r>
        <w:t xml:space="preserve"> operation</w:t>
      </w:r>
      <w:r w:rsidR="003535B7">
        <w:t xml:space="preserve">, to </w:t>
      </w:r>
      <w:r>
        <w:t>provide</w:t>
      </w:r>
      <w:r w:rsidR="003535B7">
        <w:t xml:space="preserve"> </w:t>
      </w:r>
      <w:r>
        <w:t>measures to reduce the harm caused by gaming machines</w:t>
      </w:r>
      <w:r w:rsidR="00267BE5">
        <w:t xml:space="preserve"> to problem gamblers, and the</w:t>
      </w:r>
      <w:r w:rsidR="00CF595C">
        <w:t>ir</w:t>
      </w:r>
      <w:r w:rsidR="00267BE5">
        <w:t xml:space="preserve"> families and communities</w:t>
      </w:r>
      <w:r w:rsidR="001576F4">
        <w:t xml:space="preserve">.  </w:t>
      </w:r>
      <w:r w:rsidR="003535B7">
        <w:t>T</w:t>
      </w:r>
      <w:r w:rsidR="001576F4" w:rsidRPr="001576F4">
        <w:t>he</w:t>
      </w:r>
      <w:r w:rsidR="001576F4">
        <w:t xml:space="preserve"> ATM measure is the</w:t>
      </w:r>
      <w:r w:rsidR="001576F4" w:rsidRPr="001576F4">
        <w:t xml:space="preserve"> first </w:t>
      </w:r>
      <w:r w:rsidR="001576F4">
        <w:t xml:space="preserve">that applies under </w:t>
      </w:r>
      <w:r w:rsidR="001576F4" w:rsidRPr="001576F4">
        <w:t>the Act</w:t>
      </w:r>
      <w:r w:rsidR="001576F4">
        <w:t xml:space="preserve"> from 1 February 2014, and requires ATM providers and venues to introduce </w:t>
      </w:r>
      <w:r w:rsidR="001576F4" w:rsidRPr="001576F4">
        <w:t>a $250 limit to cash withdrawals from ATMs at gaming venues, in any 24 hour period.</w:t>
      </w:r>
    </w:p>
    <w:p w:rsidR="003535B7" w:rsidRPr="000E56AF" w:rsidRDefault="004F5F60" w:rsidP="000E56AF">
      <w:pPr>
        <w:pStyle w:val="SectionText"/>
        <w:spacing w:after="200"/>
        <w:ind w:left="0"/>
      </w:pPr>
      <w:r>
        <w:t>The Act also establishes</w:t>
      </w:r>
      <w:r w:rsidR="001576F4">
        <w:t xml:space="preserve"> a National Gambling Regulator (Regulator) to administer the measures</w:t>
      </w:r>
      <w:r>
        <w:t>.  In particular the Regulator is given a range of powers to monitor and enforce compliance with the ATM measure</w:t>
      </w:r>
      <w:r w:rsidR="003535B7" w:rsidRPr="000E56AF">
        <w:t>, and</w:t>
      </w:r>
      <w:r w:rsidR="001576F4">
        <w:t xml:space="preserve"> </w:t>
      </w:r>
      <w:r w:rsidR="003535B7">
        <w:t xml:space="preserve">grant exemptions </w:t>
      </w:r>
      <w:r w:rsidR="003535B7" w:rsidRPr="000E56AF">
        <w:t>on the grounds of</w:t>
      </w:r>
      <w:r w:rsidR="003535B7">
        <w:t xml:space="preserve"> ‘unreasonable inconvenience’ under section 43.</w:t>
      </w:r>
    </w:p>
    <w:p w:rsidR="003535B7" w:rsidRPr="000E56AF" w:rsidRDefault="003535B7" w:rsidP="000E56AF">
      <w:pPr>
        <w:pStyle w:val="SectionText"/>
        <w:spacing w:after="200"/>
        <w:ind w:left="0"/>
      </w:pPr>
    </w:p>
    <w:p w:rsidR="00A34A93" w:rsidRPr="000E56AF" w:rsidRDefault="00A34A93" w:rsidP="002A4FC2">
      <w:pPr>
        <w:pStyle w:val="SectionText"/>
        <w:spacing w:after="200"/>
        <w:ind w:left="0"/>
        <w:rPr>
          <w:b/>
          <w:i/>
        </w:rPr>
      </w:pPr>
      <w:r w:rsidRPr="000E56AF">
        <w:rPr>
          <w:b/>
          <w:i/>
        </w:rPr>
        <w:lastRenderedPageBreak/>
        <w:t>Policy background</w:t>
      </w:r>
    </w:p>
    <w:p w:rsidR="00EA43C0" w:rsidRPr="00B14EB5" w:rsidRDefault="00E45100" w:rsidP="00EA43C0">
      <w:pPr>
        <w:pStyle w:val="SectionText"/>
        <w:spacing w:after="200"/>
        <w:ind w:left="0"/>
      </w:pPr>
      <w:r w:rsidRPr="00B14EB5">
        <w:t xml:space="preserve">An educative approach </w:t>
      </w:r>
      <w:r w:rsidR="003535B7">
        <w:t>to regulation</w:t>
      </w:r>
      <w:r w:rsidR="00EA43C0">
        <w:t xml:space="preserve"> aims to encourage regulated entities to assume responsibility</w:t>
      </w:r>
      <w:r w:rsidR="00EA43C0" w:rsidRPr="00EA43C0">
        <w:t xml:space="preserve"> </w:t>
      </w:r>
      <w:r w:rsidR="00EA43C0" w:rsidRPr="00B14EB5">
        <w:t>for their obligations</w:t>
      </w:r>
      <w:r w:rsidR="00EA43C0">
        <w:t>.  Formal enforcement action is avoided unless necessary and</w:t>
      </w:r>
      <w:r w:rsidR="00A71C3B">
        <w:t xml:space="preserve"> </w:t>
      </w:r>
      <w:r w:rsidR="00CF595C">
        <w:t xml:space="preserve">/ </w:t>
      </w:r>
      <w:r w:rsidR="00EA43C0">
        <w:t>or as a last resort</w:t>
      </w:r>
      <w:r w:rsidR="00EA43C0" w:rsidRPr="00B14EB5">
        <w:t>.  Over time, this ensures that costs are only incurred when necessary, and that the administrative burdens imposed on industry are minimised.</w:t>
      </w:r>
    </w:p>
    <w:p w:rsidR="00ED50BE" w:rsidRPr="000E56AF" w:rsidRDefault="00CD75A0" w:rsidP="00ED50BE">
      <w:pPr>
        <w:pStyle w:val="SectionText"/>
        <w:spacing w:after="200"/>
        <w:ind w:left="0"/>
      </w:pPr>
      <w:r w:rsidRPr="00B14EB5">
        <w:t xml:space="preserve">In addition, </w:t>
      </w:r>
      <w:r w:rsidR="007F65A0">
        <w:t>e</w:t>
      </w:r>
      <w:r w:rsidRPr="00B14EB5">
        <w:t xml:space="preserve">ngaging cooperatively with industry is likely to be more effective in promoting compliance and </w:t>
      </w:r>
      <w:r w:rsidRPr="000E56AF">
        <w:t>will help provide practical solutions for responding to non</w:t>
      </w:r>
      <w:r w:rsidR="00F70603">
        <w:noBreakHyphen/>
      </w:r>
      <w:r w:rsidRPr="000E56AF">
        <w:t>compliance.</w:t>
      </w:r>
    </w:p>
    <w:p w:rsidR="00ED50BE" w:rsidRPr="000E56AF" w:rsidRDefault="00ED50BE" w:rsidP="000E56AF">
      <w:pPr>
        <w:pStyle w:val="SectionText"/>
        <w:spacing w:after="200"/>
        <w:ind w:left="0"/>
        <w:rPr>
          <w:b/>
          <w:i/>
        </w:rPr>
      </w:pPr>
      <w:r w:rsidRPr="000E56AF">
        <w:rPr>
          <w:b/>
          <w:i/>
        </w:rPr>
        <w:t>Consultation</w:t>
      </w:r>
    </w:p>
    <w:p w:rsidR="003535B7" w:rsidRPr="000E56AF" w:rsidRDefault="00ED50BE" w:rsidP="002A4FC2">
      <w:pPr>
        <w:pStyle w:val="SectionText"/>
        <w:spacing w:after="200"/>
        <w:ind w:left="0"/>
      </w:pPr>
      <w:r w:rsidRPr="000E56AF">
        <w:t>An exposure draft was released for public consultation on 23 – 2</w:t>
      </w:r>
      <w:r w:rsidR="003535B7" w:rsidRPr="000E56AF">
        <w:t>4</w:t>
      </w:r>
      <w:r w:rsidRPr="000E56AF">
        <w:t xml:space="preserve"> January 2014.  In addition peak industry bodies</w:t>
      </w:r>
      <w:r w:rsidR="00CF595C">
        <w:t xml:space="preserve"> and ATM providers who had contact with the Regulator and were impacted</w:t>
      </w:r>
      <w:r w:rsidR="00CF595C" w:rsidRPr="000E56AF">
        <w:t xml:space="preserve"> by the Direction</w:t>
      </w:r>
      <w:r w:rsidRPr="000E56AF">
        <w:t xml:space="preserve"> </w:t>
      </w:r>
      <w:r w:rsidR="00973C7D" w:rsidRPr="000E56AF">
        <w:t>w</w:t>
      </w:r>
      <w:r w:rsidR="00CF595C">
        <w:t>ere</w:t>
      </w:r>
      <w:r w:rsidR="00973C7D" w:rsidRPr="000E56AF">
        <w:t xml:space="preserve"> also </w:t>
      </w:r>
      <w:r w:rsidR="00F70603">
        <w:t xml:space="preserve">directly </w:t>
      </w:r>
      <w:r w:rsidRPr="000E56AF">
        <w:t xml:space="preserve">invited to provide comment. </w:t>
      </w:r>
      <w:r w:rsidR="003535B7" w:rsidRPr="000E56AF">
        <w:t xml:space="preserve"> </w:t>
      </w:r>
    </w:p>
    <w:p w:rsidR="003535B7" w:rsidRPr="000E56AF" w:rsidRDefault="003535B7" w:rsidP="002A4FC2">
      <w:pPr>
        <w:pStyle w:val="SectionText"/>
        <w:spacing w:after="200"/>
        <w:ind w:left="0"/>
      </w:pPr>
    </w:p>
    <w:p w:rsidR="00D72093" w:rsidRPr="009469F4" w:rsidRDefault="00D72093" w:rsidP="00C77A58">
      <w:pPr>
        <w:spacing w:line="240" w:lineRule="auto"/>
        <w:rPr>
          <w:rFonts w:eastAsia="Times New Roman" w:cs="Arial"/>
          <w:b/>
          <w:sz w:val="24"/>
          <w:szCs w:val="24"/>
          <w:lang w:eastAsia="en-AU"/>
        </w:rPr>
      </w:pPr>
      <w:bookmarkStart w:id="1" w:name="_Toc338861320"/>
      <w:r w:rsidRPr="009469F4">
        <w:rPr>
          <w:rFonts w:eastAsia="Times New Roman" w:cs="Arial"/>
          <w:b/>
          <w:sz w:val="24"/>
          <w:szCs w:val="24"/>
          <w:lang w:eastAsia="en-AU"/>
        </w:rPr>
        <w:br w:type="page"/>
      </w:r>
    </w:p>
    <w:p w:rsidR="002A556D" w:rsidRPr="009469F4" w:rsidRDefault="002A556D" w:rsidP="00C77A58">
      <w:pPr>
        <w:autoSpaceDE w:val="0"/>
        <w:autoSpaceDN w:val="0"/>
        <w:adjustRightInd w:val="0"/>
        <w:spacing w:line="240" w:lineRule="auto"/>
        <w:rPr>
          <w:rFonts w:eastAsia="Times New Roman" w:cs="Arial"/>
          <w:b/>
          <w:sz w:val="24"/>
          <w:szCs w:val="24"/>
          <w:lang w:eastAsia="en-AU"/>
        </w:rPr>
      </w:pPr>
      <w:r w:rsidRPr="009469F4">
        <w:rPr>
          <w:rFonts w:eastAsia="Times New Roman" w:cs="Arial"/>
          <w:b/>
          <w:sz w:val="24"/>
          <w:szCs w:val="24"/>
          <w:lang w:eastAsia="en-AU"/>
        </w:rPr>
        <w:lastRenderedPageBreak/>
        <w:t>Explanation of the provisions</w:t>
      </w:r>
    </w:p>
    <w:p w:rsidR="002A556D" w:rsidRPr="009469F4" w:rsidRDefault="002A556D" w:rsidP="00C77A58">
      <w:pPr>
        <w:autoSpaceDE w:val="0"/>
        <w:autoSpaceDN w:val="0"/>
        <w:adjustRightInd w:val="0"/>
        <w:spacing w:line="240" w:lineRule="auto"/>
        <w:rPr>
          <w:rFonts w:eastAsia="Times New Roman" w:cs="Arial"/>
          <w:b/>
          <w:sz w:val="24"/>
          <w:szCs w:val="24"/>
          <w:lang w:eastAsia="en-AU"/>
        </w:rPr>
      </w:pPr>
      <w:r w:rsidRPr="009469F4">
        <w:rPr>
          <w:rFonts w:eastAsia="Times New Roman" w:cs="Arial"/>
          <w:b/>
          <w:sz w:val="24"/>
          <w:szCs w:val="24"/>
          <w:lang w:eastAsia="en-AU"/>
        </w:rPr>
        <w:t xml:space="preserve">Part 1 – Preliminary </w:t>
      </w:r>
    </w:p>
    <w:p w:rsidR="002A556D" w:rsidRPr="009469F4" w:rsidRDefault="00386903" w:rsidP="00C77A58">
      <w:pPr>
        <w:autoSpaceDE w:val="0"/>
        <w:autoSpaceDN w:val="0"/>
        <w:adjustRightInd w:val="0"/>
        <w:spacing w:line="240" w:lineRule="auto"/>
        <w:rPr>
          <w:rFonts w:eastAsia="Times New Roman" w:cs="Arial"/>
          <w:i/>
          <w:sz w:val="24"/>
          <w:szCs w:val="24"/>
          <w:lang w:eastAsia="en-AU"/>
        </w:rPr>
      </w:pPr>
      <w:r>
        <w:rPr>
          <w:rFonts w:eastAsia="Times New Roman" w:cs="Arial"/>
          <w:i/>
          <w:sz w:val="24"/>
          <w:szCs w:val="24"/>
          <w:lang w:eastAsia="en-AU"/>
        </w:rPr>
        <w:t xml:space="preserve">Section 1 - </w:t>
      </w:r>
      <w:r w:rsidR="005E7DF0">
        <w:rPr>
          <w:rFonts w:eastAsia="Times New Roman" w:cs="Arial"/>
          <w:i/>
          <w:sz w:val="24"/>
          <w:szCs w:val="24"/>
          <w:lang w:eastAsia="en-AU"/>
        </w:rPr>
        <w:t>Citation</w:t>
      </w:r>
    </w:p>
    <w:p w:rsidR="002A556D" w:rsidRPr="00C77A58" w:rsidRDefault="002A556D" w:rsidP="00C77A58">
      <w:pPr>
        <w:autoSpaceDE w:val="0"/>
        <w:autoSpaceDN w:val="0"/>
        <w:adjustRightInd w:val="0"/>
        <w:spacing w:line="240" w:lineRule="auto"/>
        <w:rPr>
          <w:rFonts w:eastAsia="Times New Roman" w:cs="Arial"/>
          <w:sz w:val="24"/>
          <w:szCs w:val="24"/>
          <w:lang w:eastAsia="en-AU"/>
        </w:rPr>
      </w:pPr>
      <w:r>
        <w:rPr>
          <w:rFonts w:eastAsia="Times New Roman" w:cs="Arial"/>
          <w:sz w:val="24"/>
          <w:szCs w:val="24"/>
          <w:lang w:eastAsia="en-AU"/>
        </w:rPr>
        <w:t xml:space="preserve">Section 1 of the </w:t>
      </w:r>
      <w:r w:rsidR="00AE2BC0">
        <w:rPr>
          <w:rFonts w:eastAsia="Times New Roman" w:cs="Arial"/>
          <w:sz w:val="24"/>
          <w:szCs w:val="24"/>
          <w:lang w:eastAsia="en-AU"/>
        </w:rPr>
        <w:t>Directions</w:t>
      </w:r>
      <w:r w:rsidRPr="009469F4">
        <w:rPr>
          <w:rFonts w:eastAsia="Times New Roman" w:cs="Arial"/>
          <w:sz w:val="24"/>
          <w:szCs w:val="24"/>
          <w:lang w:eastAsia="en-AU"/>
        </w:rPr>
        <w:t xml:space="preserve"> stat</w:t>
      </w:r>
      <w:r>
        <w:rPr>
          <w:rFonts w:eastAsia="Times New Roman" w:cs="Arial"/>
          <w:sz w:val="24"/>
          <w:szCs w:val="24"/>
          <w:lang w:eastAsia="en-AU"/>
        </w:rPr>
        <w:t xml:space="preserve">es the name of the </w:t>
      </w:r>
      <w:r w:rsidR="00AE2BC0">
        <w:rPr>
          <w:rFonts w:eastAsia="Times New Roman" w:cs="Arial"/>
          <w:sz w:val="24"/>
          <w:szCs w:val="24"/>
          <w:lang w:eastAsia="en-AU"/>
        </w:rPr>
        <w:t>Directions</w:t>
      </w:r>
      <w:r w:rsidRPr="009469F4">
        <w:rPr>
          <w:rFonts w:eastAsia="Times New Roman" w:cs="Arial"/>
          <w:sz w:val="24"/>
          <w:szCs w:val="24"/>
          <w:lang w:eastAsia="en-AU"/>
        </w:rPr>
        <w:t xml:space="preserve">, which </w:t>
      </w:r>
      <w:proofErr w:type="gramStart"/>
      <w:r w:rsidRPr="009469F4">
        <w:rPr>
          <w:rFonts w:eastAsia="Times New Roman" w:cs="Arial"/>
          <w:sz w:val="24"/>
          <w:szCs w:val="24"/>
          <w:lang w:eastAsia="en-AU"/>
        </w:rPr>
        <w:t>is</w:t>
      </w:r>
      <w:proofErr w:type="gramEnd"/>
      <w:r w:rsidRPr="009469F4">
        <w:rPr>
          <w:rFonts w:eastAsia="Times New Roman" w:cs="Arial"/>
          <w:sz w:val="24"/>
          <w:szCs w:val="24"/>
          <w:lang w:eastAsia="en-AU"/>
        </w:rPr>
        <w:t xml:space="preserve"> the </w:t>
      </w:r>
      <w:r>
        <w:rPr>
          <w:rFonts w:eastAsia="Times New Roman" w:cs="Arial"/>
          <w:i/>
          <w:sz w:val="24"/>
          <w:szCs w:val="24"/>
          <w:lang w:eastAsia="en-AU"/>
        </w:rPr>
        <w:t xml:space="preserve">National Gambling Reforms (Administration of ATM measure) </w:t>
      </w:r>
      <w:r w:rsidR="00AE2BC0">
        <w:rPr>
          <w:rFonts w:eastAsia="Times New Roman" w:cs="Arial"/>
          <w:i/>
          <w:sz w:val="24"/>
          <w:szCs w:val="24"/>
          <w:lang w:eastAsia="en-AU"/>
        </w:rPr>
        <w:t>Directions</w:t>
      </w:r>
      <w:r w:rsidR="009C0E54">
        <w:rPr>
          <w:rFonts w:eastAsia="Times New Roman" w:cs="Arial"/>
          <w:i/>
          <w:sz w:val="24"/>
          <w:szCs w:val="24"/>
          <w:lang w:eastAsia="en-AU"/>
        </w:rPr>
        <w:t xml:space="preserve"> 2014</w:t>
      </w:r>
      <w:r w:rsidRPr="009469F4">
        <w:rPr>
          <w:rFonts w:eastAsia="Times New Roman" w:cs="Arial"/>
          <w:sz w:val="24"/>
          <w:szCs w:val="24"/>
          <w:lang w:eastAsia="en-AU"/>
        </w:rPr>
        <w:t>.</w:t>
      </w:r>
    </w:p>
    <w:p w:rsidR="002A556D" w:rsidRPr="009469F4" w:rsidRDefault="00386903" w:rsidP="00C77A58">
      <w:pPr>
        <w:autoSpaceDE w:val="0"/>
        <w:autoSpaceDN w:val="0"/>
        <w:adjustRightInd w:val="0"/>
        <w:spacing w:line="240" w:lineRule="auto"/>
        <w:rPr>
          <w:rFonts w:eastAsia="Times New Roman" w:cs="Arial"/>
          <w:i/>
          <w:sz w:val="24"/>
          <w:szCs w:val="24"/>
          <w:lang w:eastAsia="en-AU"/>
        </w:rPr>
      </w:pPr>
      <w:r>
        <w:rPr>
          <w:rFonts w:eastAsia="Times New Roman" w:cs="Arial"/>
          <w:i/>
          <w:sz w:val="24"/>
          <w:szCs w:val="24"/>
          <w:lang w:eastAsia="en-AU"/>
        </w:rPr>
        <w:t xml:space="preserve">Section 2 - </w:t>
      </w:r>
      <w:r w:rsidR="002A556D">
        <w:rPr>
          <w:rFonts w:eastAsia="Times New Roman" w:cs="Arial"/>
          <w:i/>
          <w:sz w:val="24"/>
          <w:szCs w:val="24"/>
          <w:lang w:eastAsia="en-AU"/>
        </w:rPr>
        <w:t>Application</w:t>
      </w:r>
    </w:p>
    <w:p w:rsidR="002A556D" w:rsidRPr="00C77A58" w:rsidRDefault="002A556D" w:rsidP="00C77A58">
      <w:pPr>
        <w:autoSpaceDE w:val="0"/>
        <w:autoSpaceDN w:val="0"/>
        <w:adjustRightInd w:val="0"/>
        <w:spacing w:line="240" w:lineRule="auto"/>
        <w:rPr>
          <w:rFonts w:eastAsia="Times New Roman" w:cs="Arial"/>
          <w:sz w:val="24"/>
          <w:szCs w:val="24"/>
          <w:lang w:eastAsia="en-AU"/>
        </w:rPr>
      </w:pPr>
      <w:r w:rsidRPr="009469F4">
        <w:rPr>
          <w:rFonts w:eastAsia="Times New Roman" w:cs="Arial"/>
          <w:sz w:val="24"/>
          <w:szCs w:val="24"/>
          <w:lang w:eastAsia="en-AU"/>
        </w:rPr>
        <w:t xml:space="preserve">Section 2 of the </w:t>
      </w:r>
      <w:r w:rsidR="00AE2BC0">
        <w:rPr>
          <w:rFonts w:eastAsia="Times New Roman" w:cs="Arial"/>
          <w:sz w:val="24"/>
          <w:szCs w:val="24"/>
          <w:lang w:eastAsia="en-AU"/>
        </w:rPr>
        <w:t>Directions</w:t>
      </w:r>
      <w:r w:rsidRPr="009469F4">
        <w:rPr>
          <w:rFonts w:eastAsia="Times New Roman" w:cs="Arial"/>
          <w:sz w:val="24"/>
          <w:szCs w:val="24"/>
          <w:lang w:eastAsia="en-AU"/>
        </w:rPr>
        <w:t xml:space="preserve"> provides that the D</w:t>
      </w:r>
      <w:r>
        <w:rPr>
          <w:rFonts w:eastAsia="Times New Roman" w:cs="Arial"/>
          <w:sz w:val="24"/>
          <w:szCs w:val="24"/>
          <w:lang w:eastAsia="en-AU"/>
        </w:rPr>
        <w:t>irections will cease to have effect after 6 months from their</w:t>
      </w:r>
      <w:r w:rsidR="005E7DF0">
        <w:rPr>
          <w:rFonts w:eastAsia="Times New Roman" w:cs="Arial"/>
          <w:sz w:val="24"/>
          <w:szCs w:val="24"/>
          <w:lang w:eastAsia="en-AU"/>
        </w:rPr>
        <w:t xml:space="preserve"> commencement</w:t>
      </w:r>
      <w:r w:rsidRPr="009469F4">
        <w:rPr>
          <w:rFonts w:eastAsia="Times New Roman" w:cs="Arial"/>
          <w:sz w:val="24"/>
          <w:szCs w:val="24"/>
          <w:lang w:eastAsia="en-AU"/>
        </w:rPr>
        <w:t xml:space="preserve">. </w:t>
      </w:r>
    </w:p>
    <w:p w:rsidR="002A556D" w:rsidRPr="009469F4" w:rsidRDefault="00386903" w:rsidP="00C77A58">
      <w:pPr>
        <w:autoSpaceDE w:val="0"/>
        <w:autoSpaceDN w:val="0"/>
        <w:adjustRightInd w:val="0"/>
        <w:spacing w:line="240" w:lineRule="auto"/>
        <w:jc w:val="both"/>
        <w:rPr>
          <w:rFonts w:eastAsia="Times New Roman" w:cs="Arial"/>
          <w:i/>
          <w:sz w:val="24"/>
          <w:szCs w:val="24"/>
          <w:lang w:eastAsia="en-AU"/>
        </w:rPr>
      </w:pPr>
      <w:r>
        <w:rPr>
          <w:rFonts w:eastAsia="Times New Roman" w:cs="Arial"/>
          <w:i/>
          <w:sz w:val="24"/>
          <w:szCs w:val="24"/>
          <w:lang w:eastAsia="en-AU"/>
        </w:rPr>
        <w:t xml:space="preserve">Section 3 - </w:t>
      </w:r>
      <w:r w:rsidR="002A556D" w:rsidRPr="009469F4">
        <w:rPr>
          <w:rFonts w:eastAsia="Times New Roman" w:cs="Arial"/>
          <w:i/>
          <w:sz w:val="24"/>
          <w:szCs w:val="24"/>
          <w:lang w:eastAsia="en-AU"/>
        </w:rPr>
        <w:t>Definitions</w:t>
      </w:r>
    </w:p>
    <w:p w:rsidR="002A556D" w:rsidRPr="009469F4" w:rsidRDefault="005E7DF0" w:rsidP="00C77A58">
      <w:pPr>
        <w:autoSpaceDE w:val="0"/>
        <w:autoSpaceDN w:val="0"/>
        <w:adjustRightInd w:val="0"/>
        <w:spacing w:line="240" w:lineRule="auto"/>
        <w:jc w:val="both"/>
        <w:rPr>
          <w:rFonts w:eastAsia="Times New Roman" w:cs="Arial"/>
          <w:sz w:val="24"/>
          <w:szCs w:val="24"/>
          <w:lang w:eastAsia="en-AU"/>
        </w:rPr>
      </w:pPr>
      <w:r>
        <w:rPr>
          <w:rFonts w:eastAsia="Times New Roman" w:cs="Arial"/>
          <w:sz w:val="24"/>
          <w:szCs w:val="24"/>
          <w:lang w:eastAsia="en-AU"/>
        </w:rPr>
        <w:t xml:space="preserve">Section 3 of the </w:t>
      </w:r>
      <w:r w:rsidR="00AE2BC0">
        <w:rPr>
          <w:rFonts w:eastAsia="Times New Roman" w:cs="Arial"/>
          <w:sz w:val="24"/>
          <w:szCs w:val="24"/>
          <w:lang w:eastAsia="en-AU"/>
        </w:rPr>
        <w:t>Directions</w:t>
      </w:r>
      <w:r w:rsidR="002A556D" w:rsidRPr="009469F4">
        <w:rPr>
          <w:rFonts w:eastAsia="Times New Roman" w:cs="Arial"/>
          <w:sz w:val="24"/>
          <w:szCs w:val="24"/>
          <w:lang w:eastAsia="en-AU"/>
        </w:rPr>
        <w:t xml:space="preserve"> defines the terms used in the </w:t>
      </w:r>
      <w:r w:rsidR="00AE2BC0">
        <w:rPr>
          <w:rFonts w:eastAsia="Times New Roman" w:cs="Arial"/>
          <w:sz w:val="24"/>
          <w:szCs w:val="24"/>
          <w:lang w:eastAsia="en-AU"/>
        </w:rPr>
        <w:t>Directions</w:t>
      </w:r>
      <w:r w:rsidR="002A556D" w:rsidRPr="009469F4">
        <w:rPr>
          <w:rFonts w:eastAsia="Times New Roman" w:cs="Arial"/>
          <w:sz w:val="24"/>
          <w:szCs w:val="24"/>
          <w:lang w:eastAsia="en-AU"/>
        </w:rPr>
        <w:t xml:space="preserve">.  </w:t>
      </w:r>
    </w:p>
    <w:p w:rsidR="002A556D" w:rsidRDefault="00386903" w:rsidP="00C77A58">
      <w:pPr>
        <w:autoSpaceDE w:val="0"/>
        <w:autoSpaceDN w:val="0"/>
        <w:adjustRightInd w:val="0"/>
        <w:spacing w:line="240" w:lineRule="auto"/>
        <w:jc w:val="both"/>
        <w:rPr>
          <w:rFonts w:eastAsia="Times New Roman" w:cs="Arial"/>
          <w:i/>
          <w:sz w:val="24"/>
          <w:szCs w:val="24"/>
          <w:lang w:eastAsia="en-AU"/>
        </w:rPr>
      </w:pPr>
      <w:r>
        <w:rPr>
          <w:rFonts w:eastAsia="Times New Roman" w:cs="Arial"/>
          <w:i/>
          <w:sz w:val="24"/>
          <w:szCs w:val="24"/>
          <w:lang w:eastAsia="en-AU"/>
        </w:rPr>
        <w:t xml:space="preserve">Section 4 - </w:t>
      </w:r>
      <w:r w:rsidR="005E7DF0">
        <w:rPr>
          <w:rFonts w:eastAsia="Times New Roman" w:cs="Arial"/>
          <w:i/>
          <w:sz w:val="24"/>
          <w:szCs w:val="24"/>
          <w:lang w:eastAsia="en-AU"/>
        </w:rPr>
        <w:t>Object of these Directions</w:t>
      </w:r>
    </w:p>
    <w:p w:rsidR="0071544D" w:rsidRDefault="002A556D" w:rsidP="00C77A58">
      <w:pPr>
        <w:autoSpaceDE w:val="0"/>
        <w:autoSpaceDN w:val="0"/>
        <w:adjustRightInd w:val="0"/>
        <w:spacing w:line="240" w:lineRule="auto"/>
        <w:jc w:val="both"/>
        <w:rPr>
          <w:rFonts w:cs="Arial"/>
          <w:sz w:val="24"/>
          <w:szCs w:val="24"/>
        </w:rPr>
      </w:pPr>
      <w:r>
        <w:rPr>
          <w:rFonts w:eastAsia="Times New Roman" w:cs="Arial"/>
          <w:sz w:val="24"/>
          <w:szCs w:val="24"/>
          <w:lang w:eastAsia="en-AU"/>
        </w:rPr>
        <w:t xml:space="preserve">Section </w:t>
      </w:r>
      <w:r w:rsidR="005E7DF0">
        <w:rPr>
          <w:rFonts w:eastAsia="Times New Roman" w:cs="Arial"/>
          <w:sz w:val="24"/>
          <w:szCs w:val="24"/>
          <w:lang w:eastAsia="en-AU"/>
        </w:rPr>
        <w:t>4</w:t>
      </w:r>
      <w:r>
        <w:rPr>
          <w:rFonts w:eastAsia="Times New Roman" w:cs="Arial"/>
          <w:sz w:val="24"/>
          <w:szCs w:val="24"/>
          <w:lang w:eastAsia="en-AU"/>
        </w:rPr>
        <w:t xml:space="preserve"> of the </w:t>
      </w:r>
      <w:r w:rsidR="00AE2BC0">
        <w:rPr>
          <w:rFonts w:eastAsia="Times New Roman" w:cs="Arial"/>
          <w:sz w:val="24"/>
          <w:szCs w:val="24"/>
          <w:lang w:eastAsia="en-AU"/>
        </w:rPr>
        <w:t>Directions</w:t>
      </w:r>
      <w:r>
        <w:rPr>
          <w:rFonts w:eastAsia="Times New Roman" w:cs="Arial"/>
          <w:sz w:val="24"/>
          <w:szCs w:val="24"/>
          <w:lang w:eastAsia="en-AU"/>
        </w:rPr>
        <w:t xml:space="preserve"> </w:t>
      </w:r>
      <w:r w:rsidR="0071544D">
        <w:rPr>
          <w:rFonts w:eastAsia="Times New Roman" w:cs="Arial"/>
          <w:sz w:val="24"/>
          <w:szCs w:val="24"/>
          <w:lang w:eastAsia="en-AU"/>
        </w:rPr>
        <w:t>sets out</w:t>
      </w:r>
      <w:r w:rsidR="005E7DF0">
        <w:rPr>
          <w:rFonts w:eastAsia="Times New Roman" w:cs="Arial"/>
          <w:sz w:val="24"/>
          <w:szCs w:val="24"/>
          <w:lang w:eastAsia="en-AU"/>
        </w:rPr>
        <w:t xml:space="preserve"> that the object of the Directions is to provide regulatory guidance </w:t>
      </w:r>
      <w:r w:rsidR="003C6BA4">
        <w:rPr>
          <w:rFonts w:eastAsia="Times New Roman" w:cs="Arial"/>
          <w:sz w:val="24"/>
          <w:szCs w:val="24"/>
          <w:lang w:eastAsia="en-AU"/>
        </w:rPr>
        <w:t>and general requirements in relation to</w:t>
      </w:r>
      <w:r w:rsidR="00A95524">
        <w:rPr>
          <w:rFonts w:eastAsia="Times New Roman" w:cs="Arial"/>
          <w:sz w:val="24"/>
          <w:szCs w:val="24"/>
          <w:lang w:eastAsia="en-AU"/>
        </w:rPr>
        <w:t xml:space="preserve"> the </w:t>
      </w:r>
      <w:r w:rsidR="005E7DF0">
        <w:rPr>
          <w:rFonts w:eastAsia="Times New Roman" w:cs="Arial"/>
          <w:sz w:val="24"/>
          <w:szCs w:val="24"/>
          <w:lang w:eastAsia="en-AU"/>
        </w:rPr>
        <w:t>approach to be taken by the Regulator in</w:t>
      </w:r>
      <w:r w:rsidR="00A95524">
        <w:rPr>
          <w:rFonts w:eastAsia="Times New Roman" w:cs="Arial"/>
          <w:sz w:val="24"/>
          <w:szCs w:val="24"/>
          <w:lang w:eastAsia="en-AU"/>
        </w:rPr>
        <w:t xml:space="preserve"> the first 6 months of</w:t>
      </w:r>
      <w:r w:rsidR="005E7DF0">
        <w:rPr>
          <w:rFonts w:eastAsia="Times New Roman" w:cs="Arial"/>
          <w:sz w:val="24"/>
          <w:szCs w:val="24"/>
          <w:lang w:eastAsia="en-AU"/>
        </w:rPr>
        <w:t xml:space="preserve"> administering the ATM measure</w:t>
      </w:r>
      <w:r>
        <w:rPr>
          <w:rFonts w:cs="Arial"/>
          <w:sz w:val="24"/>
          <w:szCs w:val="24"/>
        </w:rPr>
        <w:t>.</w:t>
      </w:r>
      <w:r w:rsidR="005E7DF0">
        <w:rPr>
          <w:rFonts w:cs="Arial"/>
          <w:sz w:val="24"/>
          <w:szCs w:val="24"/>
        </w:rPr>
        <w:t xml:space="preserve"> </w:t>
      </w:r>
    </w:p>
    <w:p w:rsidR="002A556D" w:rsidRPr="009469F4" w:rsidRDefault="005E7DF0" w:rsidP="00C77A58">
      <w:pPr>
        <w:autoSpaceDE w:val="0"/>
        <w:autoSpaceDN w:val="0"/>
        <w:adjustRightInd w:val="0"/>
        <w:spacing w:line="240" w:lineRule="auto"/>
        <w:jc w:val="both"/>
        <w:rPr>
          <w:rFonts w:eastAsia="Times New Roman" w:cs="Arial"/>
          <w:sz w:val="24"/>
          <w:szCs w:val="24"/>
          <w:lang w:eastAsia="en-AU"/>
        </w:rPr>
      </w:pPr>
      <w:r>
        <w:rPr>
          <w:rFonts w:cs="Arial"/>
          <w:sz w:val="24"/>
          <w:szCs w:val="24"/>
        </w:rPr>
        <w:t xml:space="preserve">The approach to be taken is an educative approach, which seeks to build the capacity of regulated entities to meet their obligations under the </w:t>
      </w:r>
      <w:r w:rsidR="0071544D">
        <w:rPr>
          <w:rFonts w:cs="Arial"/>
          <w:sz w:val="24"/>
          <w:szCs w:val="24"/>
        </w:rPr>
        <w:t>Act</w:t>
      </w:r>
      <w:r w:rsidR="00EB138A">
        <w:rPr>
          <w:rFonts w:cs="Arial"/>
          <w:sz w:val="24"/>
          <w:szCs w:val="24"/>
        </w:rPr>
        <w:t xml:space="preserve"> while encouraging cooperation by regulated entities</w:t>
      </w:r>
      <w:r w:rsidR="0071544D">
        <w:rPr>
          <w:rFonts w:cs="Arial"/>
          <w:sz w:val="24"/>
          <w:szCs w:val="24"/>
        </w:rPr>
        <w:t>, rather than</w:t>
      </w:r>
      <w:r w:rsidR="00EB138A">
        <w:rPr>
          <w:rFonts w:cs="Arial"/>
          <w:sz w:val="24"/>
          <w:szCs w:val="24"/>
        </w:rPr>
        <w:t xml:space="preserve"> a</w:t>
      </w:r>
      <w:r w:rsidR="0071544D">
        <w:rPr>
          <w:rFonts w:cs="Arial"/>
          <w:sz w:val="24"/>
          <w:szCs w:val="24"/>
        </w:rPr>
        <w:t xml:space="preserve"> strict enforcement</w:t>
      </w:r>
      <w:r w:rsidR="00EB138A">
        <w:rPr>
          <w:rFonts w:cs="Arial"/>
          <w:sz w:val="24"/>
          <w:szCs w:val="24"/>
        </w:rPr>
        <w:t xml:space="preserve"> approach of</w:t>
      </w:r>
      <w:r w:rsidR="0071544D">
        <w:rPr>
          <w:rFonts w:cs="Arial"/>
          <w:sz w:val="24"/>
          <w:szCs w:val="24"/>
        </w:rPr>
        <w:t xml:space="preserve"> focusing on </w:t>
      </w:r>
      <w:r w:rsidR="001F17C6">
        <w:rPr>
          <w:rFonts w:cs="Arial"/>
          <w:sz w:val="24"/>
          <w:szCs w:val="24"/>
        </w:rPr>
        <w:t xml:space="preserve">active monitoring of compliance </w:t>
      </w:r>
      <w:r w:rsidR="0071544D">
        <w:rPr>
          <w:rFonts w:cs="Arial"/>
          <w:sz w:val="24"/>
          <w:szCs w:val="24"/>
        </w:rPr>
        <w:t>or use of formal enforcement powers.</w:t>
      </w:r>
    </w:p>
    <w:p w:rsidR="002A556D" w:rsidRPr="009469F4" w:rsidRDefault="005E7DF0" w:rsidP="00C77A58">
      <w:pPr>
        <w:autoSpaceDE w:val="0"/>
        <w:autoSpaceDN w:val="0"/>
        <w:adjustRightInd w:val="0"/>
        <w:spacing w:line="240" w:lineRule="auto"/>
        <w:rPr>
          <w:rFonts w:eastAsia="Times New Roman" w:cs="Arial"/>
          <w:b/>
          <w:sz w:val="24"/>
          <w:szCs w:val="24"/>
          <w:lang w:eastAsia="en-AU"/>
        </w:rPr>
      </w:pPr>
      <w:r>
        <w:rPr>
          <w:rFonts w:eastAsia="Times New Roman" w:cs="Arial"/>
          <w:b/>
          <w:sz w:val="24"/>
          <w:szCs w:val="24"/>
          <w:lang w:eastAsia="en-AU"/>
        </w:rPr>
        <w:t>Part 2 – Directions</w:t>
      </w:r>
      <w:r w:rsidRPr="009469F4">
        <w:rPr>
          <w:rFonts w:eastAsia="Times New Roman" w:cs="Arial"/>
          <w:b/>
          <w:sz w:val="24"/>
          <w:szCs w:val="24"/>
          <w:lang w:eastAsia="en-AU"/>
        </w:rPr>
        <w:t xml:space="preserve"> </w:t>
      </w:r>
    </w:p>
    <w:p w:rsidR="005C015D" w:rsidRPr="00C77A58" w:rsidRDefault="001F17C6" w:rsidP="00C77A58">
      <w:pPr>
        <w:autoSpaceDE w:val="0"/>
        <w:autoSpaceDN w:val="0"/>
        <w:adjustRightInd w:val="0"/>
        <w:spacing w:line="240" w:lineRule="auto"/>
        <w:rPr>
          <w:rFonts w:eastAsia="Times New Roman" w:cs="Arial"/>
          <w:sz w:val="24"/>
          <w:szCs w:val="24"/>
          <w:lang w:eastAsia="en-AU"/>
        </w:rPr>
      </w:pPr>
      <w:r>
        <w:rPr>
          <w:rFonts w:eastAsia="Times New Roman" w:cs="Arial"/>
          <w:sz w:val="24"/>
          <w:szCs w:val="24"/>
          <w:lang w:eastAsia="en-AU"/>
        </w:rPr>
        <w:t xml:space="preserve">Part 2 of the </w:t>
      </w:r>
      <w:r w:rsidR="00AE2BC0">
        <w:rPr>
          <w:rFonts w:eastAsia="Times New Roman" w:cs="Arial"/>
          <w:sz w:val="24"/>
          <w:szCs w:val="24"/>
          <w:lang w:eastAsia="en-AU"/>
        </w:rPr>
        <w:t>Directions</w:t>
      </w:r>
      <w:r w:rsidR="002A556D" w:rsidRPr="009469F4">
        <w:rPr>
          <w:rFonts w:eastAsia="Times New Roman" w:cs="Arial"/>
          <w:sz w:val="24"/>
          <w:szCs w:val="24"/>
          <w:lang w:eastAsia="en-AU"/>
        </w:rPr>
        <w:t xml:space="preserve"> sets out the </w:t>
      </w:r>
      <w:r>
        <w:rPr>
          <w:rFonts w:eastAsia="Times New Roman" w:cs="Arial"/>
          <w:sz w:val="24"/>
          <w:szCs w:val="24"/>
          <w:lang w:eastAsia="en-AU"/>
        </w:rPr>
        <w:t>Directions the Regulator is</w:t>
      </w:r>
      <w:r w:rsidR="002A556D">
        <w:rPr>
          <w:rFonts w:eastAsia="Times New Roman" w:cs="Arial"/>
          <w:sz w:val="24"/>
          <w:szCs w:val="24"/>
          <w:lang w:eastAsia="en-AU"/>
        </w:rPr>
        <w:t xml:space="preserve"> required</w:t>
      </w:r>
      <w:r>
        <w:rPr>
          <w:rFonts w:eastAsia="Times New Roman" w:cs="Arial"/>
          <w:sz w:val="24"/>
          <w:szCs w:val="24"/>
          <w:lang w:eastAsia="en-AU"/>
        </w:rPr>
        <w:t xml:space="preserve"> to comply with in the performance of the Regulator’s functions and the exercise of the Regulator’s powers under the Act</w:t>
      </w:r>
      <w:r w:rsidR="002A556D" w:rsidRPr="009469F4">
        <w:rPr>
          <w:rFonts w:eastAsia="Times New Roman" w:cs="Arial"/>
          <w:sz w:val="24"/>
          <w:szCs w:val="24"/>
          <w:lang w:eastAsia="en-AU"/>
        </w:rPr>
        <w:t>.</w:t>
      </w:r>
      <w:r w:rsidR="002A556D">
        <w:rPr>
          <w:rFonts w:eastAsia="Times New Roman" w:cs="Arial"/>
          <w:sz w:val="24"/>
          <w:szCs w:val="24"/>
          <w:lang w:eastAsia="en-AU"/>
        </w:rPr>
        <w:t xml:space="preserve">  </w:t>
      </w:r>
    </w:p>
    <w:p w:rsidR="00481D82" w:rsidRPr="005C015D" w:rsidRDefault="00E71AFF" w:rsidP="00C77A58">
      <w:pPr>
        <w:pStyle w:val="NSDSDotpoints"/>
        <w:numPr>
          <w:ilvl w:val="0"/>
          <w:numId w:val="0"/>
        </w:numPr>
        <w:spacing w:after="200"/>
        <w:rPr>
          <w:rFonts w:eastAsia="Times New Roman" w:cs="Arial"/>
          <w:i/>
        </w:rPr>
      </w:pPr>
      <w:r>
        <w:rPr>
          <w:rFonts w:eastAsia="Times New Roman" w:cs="Arial"/>
          <w:i/>
        </w:rPr>
        <w:t>Section 5</w:t>
      </w:r>
      <w:r w:rsidR="005C015D">
        <w:rPr>
          <w:rFonts w:eastAsia="Times New Roman" w:cs="Arial"/>
          <w:i/>
        </w:rPr>
        <w:t xml:space="preserve"> – Regulatory </w:t>
      </w:r>
      <w:r w:rsidR="00334F31">
        <w:rPr>
          <w:rFonts w:eastAsia="Times New Roman" w:cs="Arial"/>
          <w:i/>
        </w:rPr>
        <w:t>priori</w:t>
      </w:r>
      <w:r w:rsidR="005C015D">
        <w:rPr>
          <w:rFonts w:eastAsia="Times New Roman" w:cs="Arial"/>
          <w:i/>
        </w:rPr>
        <w:t>ties and principles</w:t>
      </w:r>
    </w:p>
    <w:p w:rsidR="005C015D" w:rsidRDefault="00E71AFF" w:rsidP="00C77A58">
      <w:pPr>
        <w:pStyle w:val="NSDSDotpoints"/>
        <w:numPr>
          <w:ilvl w:val="0"/>
          <w:numId w:val="0"/>
        </w:numPr>
        <w:spacing w:after="200"/>
      </w:pPr>
      <w:r>
        <w:t>Section 5</w:t>
      </w:r>
      <w:r w:rsidR="005C015D">
        <w:t xml:space="preserve"> </w:t>
      </w:r>
      <w:r w:rsidR="00967FFD">
        <w:t xml:space="preserve">of the </w:t>
      </w:r>
      <w:r w:rsidR="00AE2BC0">
        <w:t>Directions</w:t>
      </w:r>
      <w:r w:rsidR="00967FFD">
        <w:t xml:space="preserve"> </w:t>
      </w:r>
      <w:r w:rsidR="005C015D">
        <w:t>sets out the following functions and activities the Regulator must prioritise:</w:t>
      </w:r>
    </w:p>
    <w:p w:rsidR="005C015D" w:rsidRDefault="005C015D" w:rsidP="00C77A58">
      <w:pPr>
        <w:pStyle w:val="NSDSDotpoints"/>
        <w:numPr>
          <w:ilvl w:val="0"/>
          <w:numId w:val="38"/>
        </w:numPr>
        <w:spacing w:after="200"/>
      </w:pPr>
      <w:r>
        <w:t>providing information and advice to regulated entities and the general public about the operation of the ATM measure; and</w:t>
      </w:r>
    </w:p>
    <w:p w:rsidR="005C015D" w:rsidRDefault="005C015D" w:rsidP="00C77A58">
      <w:pPr>
        <w:pStyle w:val="NSDSDotpoints"/>
        <w:numPr>
          <w:ilvl w:val="0"/>
          <w:numId w:val="38"/>
        </w:numPr>
        <w:spacing w:after="200"/>
      </w:pPr>
      <w:r>
        <w:t>cooperating with regulated entities, as well as state and territory governments or other relevant persons, in administering the ATM measure; and</w:t>
      </w:r>
    </w:p>
    <w:p w:rsidR="00F87C8F" w:rsidRDefault="005C015D" w:rsidP="00F87C8F">
      <w:pPr>
        <w:pStyle w:val="NSDSDotpoints"/>
        <w:numPr>
          <w:ilvl w:val="0"/>
          <w:numId w:val="38"/>
        </w:numPr>
        <w:spacing w:after="200"/>
      </w:pPr>
      <w:proofErr w:type="gramStart"/>
      <w:r>
        <w:t>processing</w:t>
      </w:r>
      <w:proofErr w:type="gramEnd"/>
      <w:r>
        <w:t xml:space="preserve"> applications for gaming machine premises to be exempt from the operation of the ATM measure</w:t>
      </w:r>
      <w:r w:rsidR="00F87C8F">
        <w:t xml:space="preserve"> (under section 43 of the Act).</w:t>
      </w:r>
    </w:p>
    <w:p w:rsidR="00F87C8F" w:rsidRDefault="00F87C8F" w:rsidP="00F87C8F">
      <w:pPr>
        <w:pStyle w:val="NSDSDotpoints"/>
        <w:numPr>
          <w:ilvl w:val="0"/>
          <w:numId w:val="0"/>
        </w:numPr>
        <w:spacing w:after="200"/>
        <w:ind w:left="720"/>
      </w:pPr>
    </w:p>
    <w:p w:rsidR="00F87C8F" w:rsidRDefault="00F87C8F" w:rsidP="00F87C8F">
      <w:pPr>
        <w:pStyle w:val="NSDSDotpoints"/>
        <w:numPr>
          <w:ilvl w:val="0"/>
          <w:numId w:val="0"/>
        </w:numPr>
        <w:spacing w:after="200"/>
        <w:ind w:left="720"/>
      </w:pPr>
    </w:p>
    <w:p w:rsidR="00F87C8F" w:rsidRPr="00F87C8F" w:rsidRDefault="00F87C8F" w:rsidP="00F87C8F">
      <w:pPr>
        <w:pStyle w:val="NSDSDotpoints"/>
        <w:numPr>
          <w:ilvl w:val="0"/>
          <w:numId w:val="0"/>
        </w:numPr>
        <w:spacing w:after="200"/>
        <w:ind w:left="720"/>
      </w:pPr>
    </w:p>
    <w:p w:rsidR="00481D82" w:rsidRPr="00C77A58" w:rsidRDefault="00E71AFF" w:rsidP="00C77A58">
      <w:pPr>
        <w:pStyle w:val="NSDSbodytext"/>
        <w:spacing w:after="200" w:line="240" w:lineRule="auto"/>
        <w:rPr>
          <w:rFonts w:eastAsia="Times New Roman" w:cs="Arial"/>
          <w:i/>
        </w:rPr>
      </w:pPr>
      <w:r>
        <w:rPr>
          <w:rFonts w:eastAsia="Times New Roman" w:cs="Arial"/>
          <w:i/>
        </w:rPr>
        <w:lastRenderedPageBreak/>
        <w:t>Section 6 – General approach to monitoring of compliance with the ATM measure</w:t>
      </w:r>
    </w:p>
    <w:p w:rsidR="00481D82" w:rsidRPr="00E71AFF" w:rsidRDefault="00E71AFF" w:rsidP="00C77A58">
      <w:pPr>
        <w:spacing w:line="240" w:lineRule="auto"/>
        <w:rPr>
          <w:sz w:val="24"/>
          <w:szCs w:val="24"/>
          <w:lang w:eastAsia="en-AU"/>
        </w:rPr>
      </w:pPr>
      <w:r>
        <w:rPr>
          <w:sz w:val="24"/>
          <w:szCs w:val="24"/>
          <w:lang w:eastAsia="en-AU"/>
        </w:rPr>
        <w:t xml:space="preserve">Section 6 of the </w:t>
      </w:r>
      <w:r w:rsidR="00AE2BC0">
        <w:rPr>
          <w:sz w:val="24"/>
          <w:szCs w:val="24"/>
          <w:lang w:eastAsia="en-AU"/>
        </w:rPr>
        <w:t>Directions</w:t>
      </w:r>
      <w:r>
        <w:rPr>
          <w:sz w:val="24"/>
          <w:szCs w:val="24"/>
          <w:lang w:eastAsia="en-AU"/>
        </w:rPr>
        <w:t xml:space="preserve"> provides that rather than engaging in active monitoring of compliance or use of formal enforcement powers, the Regulator is to take an educative approach to the administration of the ATM measure, consistent with the regulatory priorities and principles set out in section 5.</w:t>
      </w:r>
    </w:p>
    <w:p w:rsidR="00481D82" w:rsidRDefault="00967FFD" w:rsidP="00F87C8F">
      <w:pPr>
        <w:pStyle w:val="NSDSDotpoints"/>
        <w:numPr>
          <w:ilvl w:val="0"/>
          <w:numId w:val="0"/>
        </w:numPr>
        <w:spacing w:after="200"/>
        <w:ind w:left="1276" w:hanging="1276"/>
        <w:rPr>
          <w:rFonts w:eastAsia="Times New Roman" w:cs="Arial"/>
          <w:i/>
        </w:rPr>
      </w:pPr>
      <w:r>
        <w:rPr>
          <w:rFonts w:eastAsia="Times New Roman" w:cs="Arial"/>
          <w:i/>
        </w:rPr>
        <w:t>Section 7 – Responding to instances of potential non-</w:t>
      </w:r>
      <w:r w:rsidR="00A61525">
        <w:rPr>
          <w:rFonts w:eastAsia="Times New Roman" w:cs="Arial"/>
          <w:i/>
        </w:rPr>
        <w:t xml:space="preserve">compliance </w:t>
      </w:r>
      <w:r w:rsidR="00197358">
        <w:rPr>
          <w:rFonts w:eastAsia="Times New Roman" w:cs="Arial"/>
          <w:i/>
        </w:rPr>
        <w:t>(</w:t>
      </w:r>
      <w:r>
        <w:rPr>
          <w:rFonts w:eastAsia="Times New Roman" w:cs="Arial"/>
          <w:i/>
        </w:rPr>
        <w:t>where there is a pending application for an exemption)</w:t>
      </w:r>
    </w:p>
    <w:p w:rsidR="0061697C" w:rsidRDefault="00967FFD" w:rsidP="00C77A58">
      <w:pPr>
        <w:pStyle w:val="NSDSDotpoints"/>
        <w:numPr>
          <w:ilvl w:val="0"/>
          <w:numId w:val="0"/>
        </w:numPr>
        <w:spacing w:after="200"/>
      </w:pPr>
      <w:r>
        <w:t xml:space="preserve">Section 7 of the </w:t>
      </w:r>
      <w:r w:rsidR="00AE2BC0">
        <w:t>Directions</w:t>
      </w:r>
      <w:r>
        <w:t xml:space="preserve"> provides that where</w:t>
      </w:r>
      <w:r w:rsidR="00334F31">
        <w:t xml:space="preserve"> the Regulator becomes aware of an instance of potential non-compliance and the occupier of the gaming machine premises concerned</w:t>
      </w:r>
      <w:r w:rsidR="002350C2">
        <w:t xml:space="preserve"> has made a genuine</w:t>
      </w:r>
      <w:r w:rsidR="00334F31">
        <w:t xml:space="preserve"> application, under section 43 of the Act, for an exemption from the operation of the ATM measure, the Regulator must determine the application for an ex</w:t>
      </w:r>
      <w:r w:rsidR="00F87C8F">
        <w:t>emption before responding</w:t>
      </w:r>
      <w:r w:rsidR="00334F31">
        <w:t xml:space="preserve"> to the potential non-compliance.</w:t>
      </w:r>
    </w:p>
    <w:p w:rsidR="00A2179B" w:rsidRDefault="000C5185" w:rsidP="00C77A58">
      <w:pPr>
        <w:pStyle w:val="NSDSDotpoints"/>
        <w:numPr>
          <w:ilvl w:val="0"/>
          <w:numId w:val="0"/>
        </w:numPr>
        <w:spacing w:after="200"/>
      </w:pPr>
      <w:r>
        <w:t xml:space="preserve">Subsection 7(2) </w:t>
      </w:r>
      <w:r w:rsidR="00A2179B">
        <w:t xml:space="preserve">applies </w:t>
      </w:r>
      <w:r w:rsidR="0061697C">
        <w:t>in relation to both persons who provide ATMs and persons who</w:t>
      </w:r>
      <w:r>
        <w:t xml:space="preserve"> occupy gaming machine premises</w:t>
      </w:r>
      <w:r w:rsidR="0061697C">
        <w:t>.</w:t>
      </w:r>
    </w:p>
    <w:p w:rsidR="004F700F" w:rsidRPr="00967FFD" w:rsidRDefault="004F700F" w:rsidP="00C77A58">
      <w:pPr>
        <w:pStyle w:val="NSDSDotpoints"/>
        <w:numPr>
          <w:ilvl w:val="0"/>
          <w:numId w:val="0"/>
        </w:numPr>
        <w:spacing w:after="200"/>
      </w:pPr>
      <w:r>
        <w:t xml:space="preserve">Examples of circumstances by which the Regulator may become aware of an instance of potential non-compliance include where a </w:t>
      </w:r>
      <w:r w:rsidR="00603D97">
        <w:t>complaint</w:t>
      </w:r>
      <w:r>
        <w:t xml:space="preserve"> has been made by a member of the public, or a regulated entity has made the Regulator aware of its non</w:t>
      </w:r>
      <w:r w:rsidR="00B46D27">
        <w:noBreakHyphen/>
      </w:r>
      <w:r>
        <w:t>compliance.</w:t>
      </w:r>
    </w:p>
    <w:p w:rsidR="00481D82" w:rsidRDefault="00A61525" w:rsidP="00C77A58">
      <w:pPr>
        <w:pStyle w:val="NSDSDotpoints"/>
        <w:numPr>
          <w:ilvl w:val="0"/>
          <w:numId w:val="0"/>
        </w:numPr>
        <w:spacing w:after="200"/>
        <w:ind w:left="1276" w:hanging="1276"/>
        <w:rPr>
          <w:rFonts w:eastAsia="Times New Roman" w:cs="Arial"/>
          <w:i/>
        </w:rPr>
      </w:pPr>
      <w:r>
        <w:rPr>
          <w:rFonts w:eastAsia="Times New Roman" w:cs="Arial"/>
          <w:i/>
        </w:rPr>
        <w:t>Section 8 – Responding to instances of potential non-compliance (where no pending application for exemption)</w:t>
      </w:r>
    </w:p>
    <w:p w:rsidR="00A61525" w:rsidRDefault="00A61525" w:rsidP="00C77A58">
      <w:pPr>
        <w:pStyle w:val="NSDSDotpoints"/>
        <w:numPr>
          <w:ilvl w:val="0"/>
          <w:numId w:val="0"/>
        </w:numPr>
        <w:spacing w:after="200"/>
      </w:pPr>
      <w:r>
        <w:t xml:space="preserve">Section 8 of the </w:t>
      </w:r>
      <w:r w:rsidR="00AE2BC0">
        <w:t>Directions</w:t>
      </w:r>
      <w:r>
        <w:t xml:space="preserve"> sets out the approach the Regulator must take in responding to an instance of potential non-compliance of which the Regulator has</w:t>
      </w:r>
      <w:r w:rsidR="0098504A">
        <w:t xml:space="preserve"> become aware where no genu</w:t>
      </w:r>
      <w:r w:rsidR="00567FBF">
        <w:t>ine</w:t>
      </w:r>
      <w:r>
        <w:t xml:space="preserve"> application, under section 43 of the Act, for an exemption from the operation of the ATM measure has been made</w:t>
      </w:r>
      <w:r w:rsidR="003863D1">
        <w:t>, or is awaiting decision</w:t>
      </w:r>
      <w:r>
        <w:t>, in respect of the gaming machine premises concerned</w:t>
      </w:r>
      <w:r w:rsidR="003863D1">
        <w:t xml:space="preserve">. </w:t>
      </w:r>
    </w:p>
    <w:p w:rsidR="003863D1" w:rsidRDefault="003863D1" w:rsidP="00C77A58">
      <w:pPr>
        <w:pStyle w:val="NSDSDotpoints"/>
        <w:numPr>
          <w:ilvl w:val="0"/>
          <w:numId w:val="0"/>
        </w:numPr>
        <w:spacing w:after="200"/>
      </w:pPr>
      <w:r>
        <w:t>Subsections 8(2) to (5) set out the fo</w:t>
      </w:r>
      <w:r w:rsidR="00567FBF">
        <w:t>llowing process of cooperative</w:t>
      </w:r>
      <w:r>
        <w:t xml:space="preserve"> engagement the Regulator must comply with.</w:t>
      </w:r>
    </w:p>
    <w:p w:rsidR="003863D1" w:rsidRDefault="00F87C8F" w:rsidP="00C77A58">
      <w:pPr>
        <w:pStyle w:val="NSDSDotpoints"/>
        <w:numPr>
          <w:ilvl w:val="0"/>
          <w:numId w:val="40"/>
        </w:numPr>
        <w:spacing w:after="200"/>
        <w:rPr>
          <w:rFonts w:eastAsia="Times New Roman" w:cs="Arial"/>
        </w:rPr>
      </w:pPr>
      <w:r>
        <w:rPr>
          <w:rFonts w:eastAsia="Times New Roman" w:cs="Arial"/>
        </w:rPr>
        <w:t xml:space="preserve">The Regulator must ensure </w:t>
      </w:r>
      <w:r w:rsidR="003863D1">
        <w:rPr>
          <w:rFonts w:eastAsia="Times New Roman" w:cs="Arial"/>
        </w:rPr>
        <w:t>the regulated entity concerned is contacted in relation to the potential non-compliance of which the Regulator has become awa</w:t>
      </w:r>
      <w:r w:rsidR="00197358">
        <w:rPr>
          <w:rFonts w:eastAsia="Times New Roman" w:cs="Arial"/>
        </w:rPr>
        <w:t>re.</w:t>
      </w:r>
    </w:p>
    <w:p w:rsidR="003863D1" w:rsidRDefault="003863D1" w:rsidP="00C77A58">
      <w:pPr>
        <w:pStyle w:val="NSDSDotpoints"/>
        <w:numPr>
          <w:ilvl w:val="0"/>
          <w:numId w:val="40"/>
        </w:numPr>
        <w:spacing w:after="200"/>
        <w:rPr>
          <w:rFonts w:eastAsia="Times New Roman" w:cs="Arial"/>
        </w:rPr>
      </w:pPr>
      <w:r>
        <w:rPr>
          <w:rFonts w:eastAsia="Times New Roman" w:cs="Arial"/>
        </w:rPr>
        <w:t xml:space="preserve">The </w:t>
      </w:r>
      <w:r w:rsidR="00F87C8F">
        <w:rPr>
          <w:rFonts w:eastAsia="Times New Roman" w:cs="Arial"/>
        </w:rPr>
        <w:t xml:space="preserve">Regulator must then ensure </w:t>
      </w:r>
      <w:r>
        <w:rPr>
          <w:rFonts w:eastAsia="Times New Roman" w:cs="Arial"/>
        </w:rPr>
        <w:t xml:space="preserve">the regulated entity is given a reasonable period of time, which will generally be </w:t>
      </w:r>
      <w:r w:rsidR="009202CA">
        <w:rPr>
          <w:rFonts w:eastAsia="Times New Roman" w:cs="Arial"/>
        </w:rPr>
        <w:t>at least 6</w:t>
      </w:r>
      <w:r>
        <w:rPr>
          <w:rFonts w:eastAsia="Times New Roman" w:cs="Arial"/>
        </w:rPr>
        <w:t xml:space="preserve"> weeks, before steps are taken to confirm the non-compliance.</w:t>
      </w:r>
      <w:r w:rsidR="00B46D27">
        <w:rPr>
          <w:rFonts w:eastAsia="Times New Roman" w:cs="Arial"/>
        </w:rPr>
        <w:t xml:space="preserve"> </w:t>
      </w:r>
      <w:r>
        <w:rPr>
          <w:rFonts w:eastAsia="Times New Roman" w:cs="Arial"/>
        </w:rPr>
        <w:t xml:space="preserve"> Steps which might be taken to confirm the non-compliance could include requesting information or visi</w:t>
      </w:r>
      <w:r w:rsidR="00197358">
        <w:rPr>
          <w:rFonts w:eastAsia="Times New Roman" w:cs="Arial"/>
        </w:rPr>
        <w:t>ti</w:t>
      </w:r>
      <w:r>
        <w:rPr>
          <w:rFonts w:eastAsia="Times New Roman" w:cs="Arial"/>
        </w:rPr>
        <w:t>ng the gaming machine premises.</w:t>
      </w:r>
    </w:p>
    <w:p w:rsidR="003863D1" w:rsidRDefault="003863D1" w:rsidP="00C77A58">
      <w:pPr>
        <w:pStyle w:val="NSDSDotpoints"/>
        <w:numPr>
          <w:ilvl w:val="0"/>
          <w:numId w:val="40"/>
        </w:numPr>
        <w:spacing w:after="200"/>
        <w:rPr>
          <w:rFonts w:eastAsia="Times New Roman" w:cs="Arial"/>
        </w:rPr>
      </w:pPr>
      <w:r>
        <w:rPr>
          <w:rFonts w:eastAsia="Times New Roman" w:cs="Arial"/>
        </w:rPr>
        <w:t>If, after taking steps to confirm non-compliance, the Regulator (or other authorised person) is of the view that there is an instance of non-compliance, the Regulator must ensu</w:t>
      </w:r>
      <w:r w:rsidR="009202CA">
        <w:rPr>
          <w:rFonts w:eastAsia="Times New Roman" w:cs="Arial"/>
        </w:rPr>
        <w:t>re assistance is offered to the</w:t>
      </w:r>
      <w:r>
        <w:rPr>
          <w:rFonts w:eastAsia="Times New Roman" w:cs="Arial"/>
        </w:rPr>
        <w:t xml:space="preserve"> regulated entity to help them understand their obligations under the Act. </w:t>
      </w:r>
    </w:p>
    <w:p w:rsidR="003863D1" w:rsidRDefault="003863D1" w:rsidP="00C77A58">
      <w:pPr>
        <w:pStyle w:val="NSDSDotpoints"/>
        <w:numPr>
          <w:ilvl w:val="0"/>
          <w:numId w:val="40"/>
        </w:numPr>
        <w:spacing w:after="200"/>
        <w:rPr>
          <w:rFonts w:eastAsia="Times New Roman" w:cs="Arial"/>
        </w:rPr>
      </w:pPr>
      <w:r>
        <w:rPr>
          <w:rFonts w:eastAsia="Times New Roman" w:cs="Arial"/>
        </w:rPr>
        <w:t xml:space="preserve">Following the provision of assistance to a regulated entity </w:t>
      </w:r>
      <w:r w:rsidR="009202CA">
        <w:rPr>
          <w:rFonts w:eastAsia="Times New Roman" w:cs="Arial"/>
        </w:rPr>
        <w:t xml:space="preserve">as required by subsection 8(4) of the </w:t>
      </w:r>
      <w:r w:rsidR="00AE2BC0">
        <w:rPr>
          <w:rFonts w:eastAsia="Times New Roman" w:cs="Arial"/>
        </w:rPr>
        <w:t>Directions</w:t>
      </w:r>
      <w:r w:rsidR="009202CA">
        <w:rPr>
          <w:rFonts w:eastAsia="Times New Roman" w:cs="Arial"/>
        </w:rPr>
        <w:t xml:space="preserve">, the Regulator must ensure the regulated </w:t>
      </w:r>
      <w:r w:rsidR="009202CA">
        <w:rPr>
          <w:rFonts w:eastAsia="Times New Roman" w:cs="Arial"/>
        </w:rPr>
        <w:lastRenderedPageBreak/>
        <w:t>entity is given a reasonable period of time, which will generally be at least 2 months, to rectify any non-compliance before any further action is taken.</w:t>
      </w:r>
    </w:p>
    <w:p w:rsidR="009202CA" w:rsidRDefault="009202CA" w:rsidP="00C77A58">
      <w:pPr>
        <w:pStyle w:val="NSDSDotpoints"/>
        <w:numPr>
          <w:ilvl w:val="0"/>
          <w:numId w:val="0"/>
        </w:numPr>
        <w:spacing w:after="200"/>
        <w:rPr>
          <w:rFonts w:eastAsia="Times New Roman" w:cs="Arial"/>
        </w:rPr>
      </w:pPr>
      <w:r>
        <w:rPr>
          <w:rFonts w:eastAsia="Times New Roman" w:cs="Arial"/>
        </w:rPr>
        <w:t xml:space="preserve">Subsections 8(6) to (9) set out the following process the Regulator must comply with in relation to any formal enforcement action. </w:t>
      </w:r>
    </w:p>
    <w:p w:rsidR="009202CA" w:rsidRDefault="009202CA" w:rsidP="00C77A58">
      <w:pPr>
        <w:pStyle w:val="NSDSDotpoints"/>
        <w:numPr>
          <w:ilvl w:val="0"/>
          <w:numId w:val="41"/>
        </w:numPr>
        <w:spacing w:after="200"/>
        <w:rPr>
          <w:rFonts w:eastAsia="Times New Roman" w:cs="Arial"/>
        </w:rPr>
      </w:pPr>
      <w:r>
        <w:rPr>
          <w:rFonts w:eastAsia="Times New Roman" w:cs="Arial"/>
        </w:rPr>
        <w:t>The Regulator must generally ensure that formal enforcement powers are only exercised in cases o</w:t>
      </w:r>
      <w:r w:rsidR="00197358">
        <w:rPr>
          <w:rFonts w:eastAsia="Times New Roman" w:cs="Arial"/>
        </w:rPr>
        <w:t>f</w:t>
      </w:r>
      <w:r>
        <w:rPr>
          <w:rFonts w:eastAsia="Times New Roman" w:cs="Arial"/>
        </w:rPr>
        <w:t xml:space="preserve"> serious non-compliance and only after the co</w:t>
      </w:r>
      <w:r w:rsidR="00567FBF">
        <w:rPr>
          <w:rFonts w:eastAsia="Times New Roman" w:cs="Arial"/>
        </w:rPr>
        <w:t>operative</w:t>
      </w:r>
      <w:r>
        <w:rPr>
          <w:rFonts w:eastAsia="Times New Roman" w:cs="Arial"/>
        </w:rPr>
        <w:t xml:space="preserve"> process set out under subsections 8(2) to (5) of the </w:t>
      </w:r>
      <w:r w:rsidR="00AE2BC0">
        <w:rPr>
          <w:rFonts w:eastAsia="Times New Roman" w:cs="Arial"/>
        </w:rPr>
        <w:t>Directions</w:t>
      </w:r>
      <w:r>
        <w:rPr>
          <w:rFonts w:eastAsia="Times New Roman" w:cs="Arial"/>
        </w:rPr>
        <w:t xml:space="preserve"> has been completed. </w:t>
      </w:r>
    </w:p>
    <w:p w:rsidR="008A3CB8" w:rsidRDefault="008A3CB8" w:rsidP="00C77A58">
      <w:pPr>
        <w:pStyle w:val="NSDSDotpoints"/>
        <w:numPr>
          <w:ilvl w:val="0"/>
          <w:numId w:val="41"/>
        </w:numPr>
        <w:spacing w:after="200"/>
        <w:rPr>
          <w:rFonts w:eastAsia="Times New Roman" w:cs="Arial"/>
        </w:rPr>
      </w:pPr>
      <w:r>
        <w:rPr>
          <w:rFonts w:eastAsia="Times New Roman" w:cs="Arial"/>
        </w:rPr>
        <w:t xml:space="preserve">In determining whether there is serious non-compliance, the Regulator </w:t>
      </w:r>
      <w:r w:rsidR="00567FBF">
        <w:rPr>
          <w:rFonts w:eastAsia="Times New Roman" w:cs="Arial"/>
        </w:rPr>
        <w:t xml:space="preserve"> </w:t>
      </w:r>
      <w:r>
        <w:rPr>
          <w:rFonts w:eastAsia="Times New Roman" w:cs="Arial"/>
        </w:rPr>
        <w:t>must consider</w:t>
      </w:r>
      <w:r w:rsidR="00722BD8">
        <w:rPr>
          <w:rFonts w:eastAsia="Times New Roman" w:cs="Arial"/>
        </w:rPr>
        <w:t xml:space="preserve"> (or ensure a relevant authorised person considers)</w:t>
      </w:r>
      <w:r>
        <w:rPr>
          <w:rFonts w:eastAsia="Times New Roman" w:cs="Arial"/>
        </w:rPr>
        <w:t>:</w:t>
      </w:r>
    </w:p>
    <w:p w:rsidR="008A3CB8" w:rsidRDefault="008A3CB8" w:rsidP="00C77A58">
      <w:pPr>
        <w:pStyle w:val="NSDSDotpoints"/>
        <w:numPr>
          <w:ilvl w:val="0"/>
          <w:numId w:val="42"/>
        </w:numPr>
        <w:spacing w:after="200"/>
        <w:rPr>
          <w:rFonts w:eastAsia="Times New Roman" w:cs="Arial"/>
        </w:rPr>
      </w:pPr>
      <w:r>
        <w:rPr>
          <w:rFonts w:eastAsia="Times New Roman" w:cs="Arial"/>
        </w:rPr>
        <w:t>whether it is a ‘first time’ breach of the ATM measure;</w:t>
      </w:r>
    </w:p>
    <w:p w:rsidR="008A3CB8" w:rsidRDefault="008A3CB8" w:rsidP="00C77A58">
      <w:pPr>
        <w:pStyle w:val="NSDSDotpoints"/>
        <w:numPr>
          <w:ilvl w:val="0"/>
          <w:numId w:val="42"/>
        </w:numPr>
        <w:spacing w:after="200"/>
        <w:rPr>
          <w:rFonts w:eastAsia="Times New Roman" w:cs="Arial"/>
        </w:rPr>
      </w:pPr>
      <w:r>
        <w:rPr>
          <w:rFonts w:eastAsia="Times New Roman" w:cs="Arial"/>
        </w:rPr>
        <w:t>whether the breach is deliberate; and</w:t>
      </w:r>
    </w:p>
    <w:p w:rsidR="008A3CB8" w:rsidRDefault="008A3CB8" w:rsidP="00C77A58">
      <w:pPr>
        <w:pStyle w:val="NSDSDotpoints"/>
        <w:numPr>
          <w:ilvl w:val="0"/>
          <w:numId w:val="42"/>
        </w:numPr>
        <w:spacing w:after="200"/>
        <w:rPr>
          <w:rFonts w:eastAsia="Times New Roman" w:cs="Arial"/>
        </w:rPr>
      </w:pPr>
      <w:proofErr w:type="gramStart"/>
      <w:r>
        <w:rPr>
          <w:rFonts w:eastAsia="Times New Roman" w:cs="Arial"/>
        </w:rPr>
        <w:t>any</w:t>
      </w:r>
      <w:proofErr w:type="gramEnd"/>
      <w:r>
        <w:rPr>
          <w:rFonts w:eastAsia="Times New Roman" w:cs="Arial"/>
        </w:rPr>
        <w:t xml:space="preserve"> other relevant factors. </w:t>
      </w:r>
    </w:p>
    <w:p w:rsidR="008A3CB8" w:rsidRDefault="008A3CB8" w:rsidP="00C77A58">
      <w:pPr>
        <w:pStyle w:val="NSDSDotpoints"/>
        <w:numPr>
          <w:ilvl w:val="0"/>
          <w:numId w:val="41"/>
        </w:numPr>
        <w:spacing w:after="200"/>
        <w:rPr>
          <w:rFonts w:eastAsia="Times New Roman" w:cs="Arial"/>
        </w:rPr>
      </w:pPr>
      <w:r>
        <w:rPr>
          <w:rFonts w:eastAsia="Times New Roman" w:cs="Arial"/>
        </w:rPr>
        <w:t xml:space="preserve">If, following consideration of the factors under subsection 8(6) of the </w:t>
      </w:r>
      <w:r w:rsidR="00AE2BC0">
        <w:rPr>
          <w:rFonts w:eastAsia="Times New Roman" w:cs="Arial"/>
        </w:rPr>
        <w:t>Directions</w:t>
      </w:r>
      <w:r>
        <w:rPr>
          <w:rFonts w:eastAsia="Times New Roman" w:cs="Arial"/>
        </w:rPr>
        <w:t xml:space="preserve">, it is intended that formal enforcement powers be exercised, the Regulator must ensure the regulated entity concerned is notified of the intention to </w:t>
      </w:r>
      <w:r w:rsidR="00260C81">
        <w:rPr>
          <w:rFonts w:eastAsia="Times New Roman" w:cs="Arial"/>
        </w:rPr>
        <w:t xml:space="preserve">do so and given a reasonable period, generally at least 1 month, to respond to this notification before any powers are exercised. </w:t>
      </w:r>
    </w:p>
    <w:p w:rsidR="008A3CB8" w:rsidRDefault="00E867AC" w:rsidP="00C77A58">
      <w:pPr>
        <w:pStyle w:val="NSDSDotpoints"/>
        <w:numPr>
          <w:ilvl w:val="0"/>
          <w:numId w:val="41"/>
        </w:numPr>
        <w:spacing w:after="200"/>
        <w:rPr>
          <w:rFonts w:eastAsia="Times New Roman" w:cs="Arial"/>
        </w:rPr>
      </w:pPr>
      <w:r>
        <w:rPr>
          <w:rFonts w:eastAsia="Times New Roman" w:cs="Arial"/>
        </w:rPr>
        <w:t xml:space="preserve">Where formal enforcement powers are to be exercised, the Regulator must generally ensure a graduated and escalating approach to non-compliance. </w:t>
      </w:r>
    </w:p>
    <w:p w:rsidR="008A3CB8" w:rsidRPr="009202CA" w:rsidRDefault="008A3CB8" w:rsidP="00C77A58">
      <w:pPr>
        <w:pStyle w:val="NSDSDotpoints"/>
        <w:numPr>
          <w:ilvl w:val="0"/>
          <w:numId w:val="0"/>
        </w:numPr>
        <w:spacing w:after="200"/>
        <w:ind w:left="720" w:hanging="360"/>
        <w:rPr>
          <w:rFonts w:eastAsia="Times New Roman" w:cs="Arial"/>
        </w:rPr>
      </w:pPr>
    </w:p>
    <w:p w:rsidR="002A556D" w:rsidRPr="009469F4" w:rsidRDefault="002A556D" w:rsidP="00C77A58">
      <w:pPr>
        <w:pStyle w:val="NSDSIndicatorsheading"/>
        <w:spacing w:before="0" w:after="200"/>
        <w:rPr>
          <w:color w:val="auto"/>
        </w:rPr>
      </w:pPr>
    </w:p>
    <w:p w:rsidR="002A556D" w:rsidRPr="009469F4" w:rsidRDefault="002A556D" w:rsidP="00C77A58">
      <w:pPr>
        <w:pStyle w:val="NSDSDotpoints"/>
        <w:numPr>
          <w:ilvl w:val="0"/>
          <w:numId w:val="0"/>
        </w:numPr>
        <w:spacing w:after="200"/>
        <w:ind w:left="720" w:hanging="360"/>
      </w:pPr>
    </w:p>
    <w:p w:rsidR="002A556D" w:rsidRPr="009469F4" w:rsidRDefault="002A556D" w:rsidP="00C77A58">
      <w:pPr>
        <w:pStyle w:val="NSDSDotpoints"/>
        <w:numPr>
          <w:ilvl w:val="0"/>
          <w:numId w:val="0"/>
        </w:numPr>
        <w:spacing w:after="200"/>
        <w:ind w:left="720" w:hanging="360"/>
      </w:pPr>
    </w:p>
    <w:p w:rsidR="002A556D" w:rsidRPr="009469F4" w:rsidRDefault="002A556D" w:rsidP="00C77A58">
      <w:pPr>
        <w:pStyle w:val="Heading1"/>
        <w:spacing w:before="0" w:after="200" w:line="240" w:lineRule="auto"/>
        <w:rPr>
          <w:rFonts w:eastAsia="Times New Roman" w:cs="Arial"/>
          <w:b w:val="0"/>
          <w:sz w:val="24"/>
          <w:szCs w:val="24"/>
          <w:lang w:eastAsia="en-AU"/>
        </w:rPr>
      </w:pPr>
      <w:bookmarkStart w:id="2" w:name="_Toc338861330"/>
      <w:r>
        <w:rPr>
          <w:sz w:val="24"/>
          <w:szCs w:val="24"/>
        </w:rPr>
        <w:br w:type="page"/>
      </w:r>
      <w:bookmarkEnd w:id="2"/>
    </w:p>
    <w:p w:rsidR="002A556D" w:rsidRPr="001964A5" w:rsidRDefault="002A556D" w:rsidP="00C77A58">
      <w:pPr>
        <w:autoSpaceDE w:val="0"/>
        <w:autoSpaceDN w:val="0"/>
        <w:adjustRightInd w:val="0"/>
        <w:spacing w:line="240" w:lineRule="auto"/>
        <w:jc w:val="both"/>
        <w:rPr>
          <w:rFonts w:eastAsia="Times New Roman" w:cs="Arial"/>
          <w:sz w:val="24"/>
          <w:szCs w:val="24"/>
          <w:lang w:eastAsia="en-AU"/>
        </w:rPr>
      </w:pPr>
      <w:r>
        <w:rPr>
          <w:rFonts w:eastAsia="Times New Roman" w:cs="Arial"/>
          <w:b/>
          <w:sz w:val="24"/>
          <w:szCs w:val="24"/>
          <w:lang w:eastAsia="en-AU"/>
        </w:rPr>
        <w:lastRenderedPageBreak/>
        <w:t>Regulation Impact Statement</w:t>
      </w:r>
    </w:p>
    <w:p w:rsidR="00973C7D" w:rsidRPr="009469F4" w:rsidRDefault="00973C7D" w:rsidP="00973C7D">
      <w:pPr>
        <w:autoSpaceDE w:val="0"/>
        <w:autoSpaceDN w:val="0"/>
        <w:adjustRightInd w:val="0"/>
        <w:spacing w:after="0"/>
        <w:rPr>
          <w:rFonts w:eastAsia="Times New Roman" w:cs="Arial"/>
          <w:sz w:val="24"/>
          <w:szCs w:val="24"/>
          <w:lang w:eastAsia="en-AU"/>
        </w:rPr>
      </w:pPr>
      <w:r>
        <w:rPr>
          <w:rFonts w:eastAsia="Times New Roman" w:cs="Arial"/>
          <w:sz w:val="24"/>
          <w:szCs w:val="24"/>
          <w:lang w:eastAsia="en-AU"/>
        </w:rPr>
        <w:t>A</w:t>
      </w:r>
      <w:r w:rsidRPr="001964A5">
        <w:rPr>
          <w:rFonts w:eastAsia="Times New Roman" w:cs="Arial"/>
          <w:sz w:val="24"/>
          <w:szCs w:val="24"/>
          <w:lang w:eastAsia="en-AU"/>
        </w:rPr>
        <w:t xml:space="preserve"> Regulation Impact Statement </w:t>
      </w:r>
      <w:r w:rsidR="00D8156B">
        <w:rPr>
          <w:rFonts w:eastAsia="Times New Roman" w:cs="Arial"/>
          <w:sz w:val="24"/>
          <w:szCs w:val="24"/>
          <w:lang w:eastAsia="en-AU"/>
        </w:rPr>
        <w:t>wa</w:t>
      </w:r>
      <w:r w:rsidRPr="001964A5">
        <w:rPr>
          <w:rFonts w:eastAsia="Times New Roman" w:cs="Arial"/>
          <w:sz w:val="24"/>
          <w:szCs w:val="24"/>
          <w:lang w:eastAsia="en-AU"/>
        </w:rPr>
        <w:t xml:space="preserve">s not required for because </w:t>
      </w:r>
      <w:r w:rsidR="007F65A0">
        <w:rPr>
          <w:rFonts w:eastAsia="Times New Roman" w:cs="Arial"/>
          <w:sz w:val="24"/>
          <w:szCs w:val="24"/>
          <w:lang w:eastAsia="en-AU"/>
        </w:rPr>
        <w:t>the Direction</w:t>
      </w:r>
      <w:r w:rsidRPr="001964A5">
        <w:rPr>
          <w:rFonts w:eastAsia="Times New Roman" w:cs="Arial"/>
          <w:sz w:val="24"/>
          <w:szCs w:val="24"/>
          <w:lang w:eastAsia="en-AU"/>
        </w:rPr>
        <w:t xml:space="preserve"> </w:t>
      </w:r>
      <w:r w:rsidR="005A06F4">
        <w:rPr>
          <w:rFonts w:eastAsia="Times New Roman" w:cs="Arial"/>
          <w:sz w:val="24"/>
          <w:szCs w:val="24"/>
          <w:lang w:eastAsia="en-AU"/>
        </w:rPr>
        <w:t>does not</w:t>
      </w:r>
      <w:r w:rsidRPr="001964A5">
        <w:rPr>
          <w:rFonts w:eastAsia="Times New Roman" w:cs="Arial"/>
          <w:sz w:val="24"/>
          <w:szCs w:val="24"/>
          <w:lang w:eastAsia="en-AU"/>
        </w:rPr>
        <w:t xml:space="preserve"> </w:t>
      </w:r>
      <w:r w:rsidR="005A06F4">
        <w:rPr>
          <w:rFonts w:eastAsia="Times New Roman" w:cs="Arial"/>
          <w:sz w:val="24"/>
          <w:szCs w:val="24"/>
          <w:lang w:eastAsia="en-AU"/>
        </w:rPr>
        <w:t>impose regulation</w:t>
      </w:r>
      <w:r w:rsidR="007F65A0">
        <w:rPr>
          <w:rFonts w:eastAsia="Times New Roman" w:cs="Arial"/>
          <w:sz w:val="24"/>
          <w:szCs w:val="24"/>
          <w:lang w:eastAsia="en-AU"/>
        </w:rPr>
        <w:t xml:space="preserve"> in addition</w:t>
      </w:r>
      <w:r w:rsidR="005A06F4">
        <w:rPr>
          <w:rFonts w:eastAsia="Times New Roman" w:cs="Arial"/>
          <w:sz w:val="24"/>
          <w:szCs w:val="24"/>
          <w:lang w:eastAsia="en-AU"/>
        </w:rPr>
        <w:t xml:space="preserve"> to the Act.  This Direction only facilitates the administration of existing functions </w:t>
      </w:r>
      <w:r w:rsidR="005D3CF8">
        <w:rPr>
          <w:rFonts w:eastAsia="Times New Roman" w:cs="Arial"/>
          <w:sz w:val="24"/>
          <w:szCs w:val="24"/>
          <w:lang w:eastAsia="en-AU"/>
        </w:rPr>
        <w:t xml:space="preserve">and powers </w:t>
      </w:r>
      <w:r w:rsidR="005A06F4">
        <w:rPr>
          <w:rFonts w:eastAsia="Times New Roman" w:cs="Arial"/>
          <w:sz w:val="24"/>
          <w:szCs w:val="24"/>
          <w:lang w:eastAsia="en-AU"/>
        </w:rPr>
        <w:t xml:space="preserve">under the Act.  </w:t>
      </w:r>
    </w:p>
    <w:p w:rsidR="002A556D" w:rsidRDefault="002A556D" w:rsidP="00C77A58">
      <w:pPr>
        <w:tabs>
          <w:tab w:val="left" w:pos="8325"/>
        </w:tabs>
        <w:spacing w:line="240" w:lineRule="auto"/>
        <w:rPr>
          <w:rFonts w:eastAsia="Times New Roman" w:cs="Arial"/>
          <w:b/>
          <w:sz w:val="24"/>
          <w:szCs w:val="24"/>
          <w:lang w:eastAsia="en-AU"/>
        </w:rPr>
      </w:pPr>
    </w:p>
    <w:p w:rsidR="002A556D" w:rsidRDefault="002A556D" w:rsidP="00C77A58">
      <w:pPr>
        <w:spacing w:line="240" w:lineRule="auto"/>
        <w:rPr>
          <w:rFonts w:eastAsia="Times New Roman" w:cs="Arial"/>
          <w:b/>
          <w:sz w:val="24"/>
          <w:szCs w:val="24"/>
          <w:lang w:eastAsia="en-AU"/>
        </w:rPr>
      </w:pPr>
    </w:p>
    <w:p w:rsidR="007D304D" w:rsidRPr="009469F4" w:rsidRDefault="007D304D" w:rsidP="00C77A58">
      <w:pPr>
        <w:autoSpaceDE w:val="0"/>
        <w:autoSpaceDN w:val="0"/>
        <w:adjustRightInd w:val="0"/>
        <w:spacing w:line="240" w:lineRule="auto"/>
        <w:jc w:val="both"/>
        <w:rPr>
          <w:rFonts w:eastAsia="Times New Roman" w:cs="Arial"/>
          <w:i/>
          <w:sz w:val="24"/>
          <w:szCs w:val="24"/>
          <w:lang w:eastAsia="en-AU"/>
        </w:rPr>
      </w:pPr>
    </w:p>
    <w:p w:rsidR="006A3BCC" w:rsidRPr="009469F4" w:rsidRDefault="006A3BCC" w:rsidP="00C77A58">
      <w:pPr>
        <w:autoSpaceDE w:val="0"/>
        <w:autoSpaceDN w:val="0"/>
        <w:adjustRightInd w:val="0"/>
        <w:spacing w:line="240" w:lineRule="auto"/>
        <w:rPr>
          <w:rFonts w:eastAsia="Times New Roman" w:cs="Arial"/>
          <w:sz w:val="24"/>
          <w:szCs w:val="24"/>
          <w:lang w:eastAsia="en-AU"/>
        </w:rPr>
      </w:pPr>
    </w:p>
    <w:bookmarkEnd w:id="1"/>
    <w:p w:rsidR="00D72093" w:rsidRPr="009469F4" w:rsidRDefault="00D72093" w:rsidP="00C77A58">
      <w:pPr>
        <w:pStyle w:val="NSDSIndicatorsheading"/>
        <w:spacing w:before="0" w:after="200"/>
        <w:rPr>
          <w:color w:val="auto"/>
        </w:rPr>
      </w:pPr>
    </w:p>
    <w:p w:rsidR="00A14B6D" w:rsidRPr="00611DA5" w:rsidRDefault="00A14B6D" w:rsidP="00C77A58">
      <w:pPr>
        <w:pStyle w:val="Heading1"/>
        <w:spacing w:before="0" w:after="200" w:line="240" w:lineRule="auto"/>
        <w:rPr>
          <w:b w:val="0"/>
          <w:sz w:val="24"/>
          <w:szCs w:val="24"/>
        </w:rPr>
      </w:pPr>
      <w:bookmarkStart w:id="3" w:name="_Toc338861331"/>
    </w:p>
    <w:bookmarkEnd w:id="3"/>
    <w:p w:rsidR="00E1792D" w:rsidRDefault="00E1792D" w:rsidP="00C77A58">
      <w:pPr>
        <w:tabs>
          <w:tab w:val="left" w:pos="8325"/>
        </w:tabs>
        <w:spacing w:line="240" w:lineRule="auto"/>
        <w:rPr>
          <w:rFonts w:eastAsia="Times New Roman" w:cs="Arial"/>
          <w:b/>
          <w:sz w:val="24"/>
          <w:szCs w:val="24"/>
          <w:lang w:eastAsia="en-AU"/>
        </w:rPr>
      </w:pPr>
    </w:p>
    <w:p w:rsidR="002F65DE" w:rsidRDefault="002F65DE" w:rsidP="00C77A58">
      <w:pPr>
        <w:spacing w:line="240" w:lineRule="auto"/>
        <w:rPr>
          <w:rFonts w:eastAsia="Times New Roman" w:cs="Arial"/>
          <w:b/>
          <w:sz w:val="24"/>
          <w:szCs w:val="24"/>
          <w:lang w:eastAsia="en-AU"/>
        </w:rPr>
      </w:pPr>
      <w:r>
        <w:rPr>
          <w:rFonts w:eastAsia="Times New Roman" w:cs="Arial"/>
          <w:b/>
          <w:sz w:val="24"/>
          <w:szCs w:val="24"/>
          <w:lang w:eastAsia="en-AU"/>
        </w:rPr>
        <w:br w:type="page"/>
      </w:r>
    </w:p>
    <w:p w:rsidR="00B06931" w:rsidRDefault="00B06931" w:rsidP="00C77A58">
      <w:pPr>
        <w:autoSpaceDE w:val="0"/>
        <w:autoSpaceDN w:val="0"/>
        <w:adjustRightInd w:val="0"/>
        <w:spacing w:line="240" w:lineRule="auto"/>
        <w:jc w:val="center"/>
        <w:rPr>
          <w:rFonts w:eastAsia="Times New Roman" w:cs="Arial"/>
          <w:b/>
          <w:i/>
          <w:sz w:val="28"/>
          <w:szCs w:val="28"/>
          <w:lang w:eastAsia="en-AU"/>
        </w:rPr>
      </w:pPr>
      <w:r>
        <w:rPr>
          <w:rFonts w:eastAsia="Times New Roman" w:cs="Arial"/>
          <w:b/>
          <w:i/>
          <w:sz w:val="28"/>
          <w:szCs w:val="28"/>
          <w:lang w:eastAsia="en-AU"/>
        </w:rPr>
        <w:lastRenderedPageBreak/>
        <w:t>Statement of Compatibility with Human Rights</w:t>
      </w:r>
    </w:p>
    <w:p w:rsidR="00B06931" w:rsidRPr="00C94B98" w:rsidRDefault="00B06931" w:rsidP="00C77A58">
      <w:pPr>
        <w:autoSpaceDE w:val="0"/>
        <w:autoSpaceDN w:val="0"/>
        <w:adjustRightInd w:val="0"/>
        <w:spacing w:line="240" w:lineRule="auto"/>
        <w:jc w:val="center"/>
        <w:rPr>
          <w:rFonts w:eastAsia="Times New Roman" w:cs="Arial"/>
          <w:i/>
          <w:sz w:val="24"/>
          <w:szCs w:val="24"/>
          <w:lang w:eastAsia="en-AU"/>
        </w:rPr>
      </w:pPr>
      <w:r w:rsidRPr="00C94B98">
        <w:rPr>
          <w:rFonts w:eastAsia="Times New Roman" w:cs="Arial"/>
          <w:i/>
          <w:sz w:val="24"/>
          <w:szCs w:val="24"/>
          <w:lang w:eastAsia="en-AU"/>
        </w:rPr>
        <w:t>Prepared in accordance with Part 3 of the Human Rights (Parliamentary Scrutiny) Act 2011</w:t>
      </w:r>
    </w:p>
    <w:p w:rsidR="00A65AEF" w:rsidRPr="005F1F3E" w:rsidRDefault="005F1F3E" w:rsidP="005F1F3E">
      <w:pPr>
        <w:spacing w:line="240" w:lineRule="auto"/>
        <w:jc w:val="center"/>
        <w:rPr>
          <w:b/>
          <w:sz w:val="28"/>
          <w:szCs w:val="28"/>
        </w:rPr>
      </w:pPr>
      <w:r>
        <w:rPr>
          <w:b/>
          <w:sz w:val="28"/>
          <w:szCs w:val="28"/>
        </w:rPr>
        <w:t xml:space="preserve">National Gambling Reforms (Administration of ATM measure) </w:t>
      </w:r>
      <w:r w:rsidR="00AE2BC0">
        <w:rPr>
          <w:b/>
          <w:sz w:val="28"/>
          <w:szCs w:val="28"/>
        </w:rPr>
        <w:t>Directions</w:t>
      </w:r>
      <w:r>
        <w:rPr>
          <w:b/>
          <w:sz w:val="28"/>
          <w:szCs w:val="28"/>
        </w:rPr>
        <w:t xml:space="preserve"> 2014</w:t>
      </w:r>
    </w:p>
    <w:p w:rsidR="00337DB5" w:rsidRDefault="00A65AEF" w:rsidP="00337DB5">
      <w:pPr>
        <w:spacing w:after="0" w:line="240" w:lineRule="auto"/>
        <w:rPr>
          <w:rFonts w:eastAsia="Calibri" w:cs="Arial"/>
          <w:sz w:val="24"/>
          <w:szCs w:val="24"/>
          <w:lang w:eastAsia="en-AU"/>
        </w:rPr>
      </w:pPr>
      <w:r w:rsidRPr="00C94B98">
        <w:rPr>
          <w:rFonts w:eastAsia="Times New Roman" w:cs="Arial"/>
          <w:sz w:val="24"/>
          <w:szCs w:val="24"/>
          <w:lang w:eastAsia="en-AU"/>
        </w:rPr>
        <w:t xml:space="preserve">This Legislative Instrument is compatible with the human rights and freedoms recognised or declared in the international instruments listed in section 3 of the </w:t>
      </w:r>
      <w:r w:rsidRPr="00C94B98">
        <w:rPr>
          <w:rFonts w:eastAsia="Times New Roman" w:cs="Arial"/>
          <w:i/>
          <w:sz w:val="24"/>
          <w:szCs w:val="24"/>
          <w:lang w:eastAsia="en-AU"/>
        </w:rPr>
        <w:t>Human Rights (Parliamentary Scrutiny) Act 2011</w:t>
      </w:r>
      <w:r w:rsidR="00337DB5">
        <w:rPr>
          <w:rFonts w:cs="Arial"/>
          <w:sz w:val="24"/>
          <w:szCs w:val="24"/>
        </w:rPr>
        <w:t>.</w:t>
      </w:r>
    </w:p>
    <w:p w:rsidR="00337DB5" w:rsidRDefault="00337DB5" w:rsidP="00337DB5">
      <w:pPr>
        <w:pStyle w:val="Default"/>
        <w:rPr>
          <w:rFonts w:ascii="Arial" w:hAnsi="Arial" w:cs="Arial"/>
          <w:b/>
          <w:bCs/>
        </w:rPr>
      </w:pPr>
    </w:p>
    <w:p w:rsidR="00337DB5" w:rsidRDefault="00337DB5" w:rsidP="00337DB5">
      <w:pPr>
        <w:pStyle w:val="Default"/>
        <w:rPr>
          <w:rFonts w:ascii="Arial" w:hAnsi="Arial" w:cs="Arial"/>
        </w:rPr>
      </w:pPr>
      <w:r>
        <w:rPr>
          <w:rFonts w:ascii="Arial" w:hAnsi="Arial" w:cs="Arial"/>
          <w:b/>
          <w:bCs/>
        </w:rPr>
        <w:t xml:space="preserve">Overview of the Directions </w:t>
      </w:r>
    </w:p>
    <w:p w:rsidR="00337DB5" w:rsidRDefault="00337DB5" w:rsidP="00337DB5">
      <w:pPr>
        <w:pStyle w:val="Default"/>
        <w:rPr>
          <w:rFonts w:ascii="Arial" w:hAnsi="Arial" w:cs="Arial"/>
        </w:rPr>
      </w:pPr>
    </w:p>
    <w:p w:rsidR="00337DB5" w:rsidRDefault="00337DB5" w:rsidP="00337DB5">
      <w:pPr>
        <w:autoSpaceDE w:val="0"/>
        <w:autoSpaceDN w:val="0"/>
        <w:adjustRightInd w:val="0"/>
        <w:spacing w:line="240" w:lineRule="auto"/>
        <w:rPr>
          <w:rFonts w:eastAsia="Times New Roman" w:cs="Arial"/>
          <w:sz w:val="24"/>
          <w:szCs w:val="24"/>
          <w:lang w:eastAsia="en-AU"/>
        </w:rPr>
      </w:pPr>
      <w:r>
        <w:rPr>
          <w:rFonts w:eastAsia="Times New Roman" w:cs="Arial"/>
          <w:sz w:val="24"/>
          <w:szCs w:val="24"/>
          <w:lang w:eastAsia="en-AU"/>
        </w:rPr>
        <w:t xml:space="preserve">The </w:t>
      </w:r>
      <w:r>
        <w:rPr>
          <w:rFonts w:eastAsia="Times New Roman" w:cs="Arial"/>
          <w:i/>
          <w:sz w:val="24"/>
          <w:szCs w:val="24"/>
          <w:lang w:eastAsia="en-AU"/>
        </w:rPr>
        <w:t xml:space="preserve">National Gambling Reforms (Administration of ATM measure) Directions </w:t>
      </w:r>
      <w:r w:rsidRPr="007F6AF4">
        <w:rPr>
          <w:rFonts w:eastAsia="Times New Roman" w:cs="Arial"/>
          <w:sz w:val="24"/>
          <w:szCs w:val="24"/>
          <w:lang w:eastAsia="en-AU"/>
        </w:rPr>
        <w:t>(Directions)</w:t>
      </w:r>
      <w:r>
        <w:rPr>
          <w:rFonts w:eastAsia="Times New Roman" w:cs="Arial"/>
          <w:i/>
          <w:sz w:val="24"/>
          <w:szCs w:val="24"/>
          <w:lang w:eastAsia="en-AU"/>
        </w:rPr>
        <w:t xml:space="preserve"> </w:t>
      </w:r>
      <w:r>
        <w:rPr>
          <w:rFonts w:eastAsia="Times New Roman" w:cs="Arial"/>
          <w:sz w:val="24"/>
          <w:szCs w:val="24"/>
          <w:lang w:eastAsia="en-AU"/>
        </w:rPr>
        <w:t xml:space="preserve">are made under section 110 of the </w:t>
      </w:r>
      <w:r>
        <w:rPr>
          <w:rFonts w:eastAsia="Times New Roman" w:cs="Arial"/>
          <w:i/>
          <w:sz w:val="24"/>
          <w:szCs w:val="24"/>
          <w:lang w:eastAsia="en-AU"/>
        </w:rPr>
        <w:t xml:space="preserve">National Gambling Reform Act 2012 </w:t>
      </w:r>
      <w:r>
        <w:rPr>
          <w:rFonts w:eastAsia="Times New Roman" w:cs="Arial"/>
          <w:sz w:val="24"/>
          <w:szCs w:val="24"/>
          <w:lang w:eastAsia="en-AU"/>
        </w:rPr>
        <w:t xml:space="preserve">(the Act). </w:t>
      </w:r>
    </w:p>
    <w:p w:rsidR="00337DB5" w:rsidRDefault="00337DB5" w:rsidP="00337DB5">
      <w:pPr>
        <w:pStyle w:val="SectionText"/>
        <w:spacing w:after="200"/>
        <w:ind w:left="0"/>
      </w:pPr>
      <w:r>
        <w:t xml:space="preserve">The object of the Directions is to provide regulatory guidance and general requirements in relation to the approach to be taken by the Regulator in the first </w:t>
      </w:r>
      <w:r w:rsidR="00F70603">
        <w:t>six</w:t>
      </w:r>
      <w:r>
        <w:t xml:space="preserve"> months of administering the ATM measure under the Act.</w:t>
      </w:r>
      <w:r w:rsidRPr="00C25078">
        <w:t xml:space="preserve"> </w:t>
      </w:r>
      <w:r>
        <w:t xml:space="preserve"> </w:t>
      </w:r>
    </w:p>
    <w:p w:rsidR="00337DB5" w:rsidRDefault="00337DB5" w:rsidP="00337DB5">
      <w:pPr>
        <w:pStyle w:val="SectionText"/>
        <w:spacing w:after="200"/>
        <w:ind w:left="0"/>
      </w:pPr>
      <w:r>
        <w:t xml:space="preserve">The approach to be taken will focus on assisting regulated entities understand their obligations under the Act and engaging cooperatively with regulated entities and </w:t>
      </w:r>
      <w:r w:rsidRPr="00B14EB5">
        <w:t xml:space="preserve">other relevant persons to facilitate implementation of </w:t>
      </w:r>
      <w:r>
        <w:t>the ATM</w:t>
      </w:r>
      <w:r w:rsidRPr="00B14EB5">
        <w:t xml:space="preserve"> measure</w:t>
      </w:r>
      <w:r>
        <w:t>.</w:t>
      </w:r>
    </w:p>
    <w:p w:rsidR="00337DB5" w:rsidRDefault="00337DB5" w:rsidP="00337DB5">
      <w:pPr>
        <w:pStyle w:val="SectionText"/>
        <w:spacing w:after="200"/>
        <w:ind w:left="0"/>
      </w:pPr>
      <w:r>
        <w:t>The Directions give effect to an educative approach by:</w:t>
      </w:r>
    </w:p>
    <w:p w:rsidR="00337DB5" w:rsidRDefault="00B95A87" w:rsidP="00337DB5">
      <w:pPr>
        <w:pStyle w:val="SectionText"/>
        <w:numPr>
          <w:ilvl w:val="0"/>
          <w:numId w:val="44"/>
        </w:numPr>
        <w:spacing w:after="200"/>
      </w:pPr>
      <w:r>
        <w:t xml:space="preserve">specifying </w:t>
      </w:r>
      <w:r w:rsidR="00337DB5">
        <w:t>priorities based on the Regulator’s functions relevant to an educative approach – this is intended to inform the Regulator’s general administration of the ATM measure;</w:t>
      </w:r>
    </w:p>
    <w:p w:rsidR="00337DB5" w:rsidRDefault="00B95A87" w:rsidP="00337DB5">
      <w:pPr>
        <w:pStyle w:val="SectionText"/>
        <w:numPr>
          <w:ilvl w:val="0"/>
          <w:numId w:val="44"/>
        </w:numPr>
        <w:spacing w:after="200"/>
      </w:pPr>
      <w:r>
        <w:t xml:space="preserve">prescribing </w:t>
      </w:r>
      <w:r w:rsidR="00337DB5">
        <w:t xml:space="preserve">procedural requirements to ensure genuine applications for exemption are settled before responding to potential non-compliance -  this will help reduce uncertainty and avoid pursuing enforcement action which may become unnecessary; and </w:t>
      </w:r>
    </w:p>
    <w:p w:rsidR="00337DB5" w:rsidRPr="00E86C82" w:rsidRDefault="00B95A87" w:rsidP="00337DB5">
      <w:pPr>
        <w:pStyle w:val="SectionText"/>
        <w:numPr>
          <w:ilvl w:val="0"/>
          <w:numId w:val="44"/>
        </w:numPr>
        <w:spacing w:after="200"/>
      </w:pPr>
      <w:proofErr w:type="gramStart"/>
      <w:r>
        <w:t>establishing</w:t>
      </w:r>
      <w:proofErr w:type="gramEnd"/>
      <w:r>
        <w:t xml:space="preserve"> </w:t>
      </w:r>
      <w:r w:rsidR="00337DB5">
        <w:t>a mandatory process for ‘cooperative engagement’ before responding to any potential non-compliance – this ensures maximum opportunity is afforded to pursuing a cooperative approach.</w:t>
      </w:r>
    </w:p>
    <w:p w:rsidR="00337DB5" w:rsidRDefault="00337DB5" w:rsidP="00337DB5">
      <w:pPr>
        <w:pStyle w:val="SectionText"/>
        <w:spacing w:after="200"/>
        <w:ind w:left="0"/>
      </w:pPr>
      <w:r>
        <w:t xml:space="preserve">The Directions also emphasise the priority of ‘cooperative engagement’ as steps towards achieving compliance and ensuring all reasonable opportunities are afforded to </w:t>
      </w:r>
      <w:r w:rsidR="00713996">
        <w:t xml:space="preserve">address potential </w:t>
      </w:r>
      <w:r>
        <w:t xml:space="preserve">non-compliance. </w:t>
      </w:r>
    </w:p>
    <w:p w:rsidR="00F70603" w:rsidRDefault="00F70603" w:rsidP="00337DB5">
      <w:pPr>
        <w:pStyle w:val="Default"/>
        <w:rPr>
          <w:rFonts w:ascii="Arial" w:hAnsi="Arial" w:cs="Arial"/>
          <w:b/>
          <w:bCs/>
        </w:rPr>
      </w:pPr>
    </w:p>
    <w:p w:rsidR="00F70603" w:rsidRDefault="00F70603" w:rsidP="00337DB5">
      <w:pPr>
        <w:pStyle w:val="Default"/>
        <w:rPr>
          <w:rFonts w:ascii="Arial" w:hAnsi="Arial" w:cs="Arial"/>
          <w:b/>
          <w:bCs/>
        </w:rPr>
      </w:pPr>
    </w:p>
    <w:p w:rsidR="00F70603" w:rsidRDefault="00F70603" w:rsidP="00337DB5">
      <w:pPr>
        <w:pStyle w:val="Default"/>
        <w:rPr>
          <w:rFonts w:ascii="Arial" w:hAnsi="Arial" w:cs="Arial"/>
          <w:b/>
          <w:bCs/>
        </w:rPr>
      </w:pPr>
    </w:p>
    <w:p w:rsidR="00F70603" w:rsidRDefault="00F70603" w:rsidP="00337DB5">
      <w:pPr>
        <w:pStyle w:val="Default"/>
        <w:rPr>
          <w:rFonts w:ascii="Arial" w:hAnsi="Arial" w:cs="Arial"/>
          <w:b/>
          <w:bCs/>
        </w:rPr>
      </w:pPr>
    </w:p>
    <w:p w:rsidR="00F70603" w:rsidRDefault="00F70603" w:rsidP="00337DB5">
      <w:pPr>
        <w:pStyle w:val="Default"/>
        <w:rPr>
          <w:rFonts w:ascii="Arial" w:hAnsi="Arial" w:cs="Arial"/>
          <w:b/>
          <w:bCs/>
        </w:rPr>
      </w:pPr>
    </w:p>
    <w:p w:rsidR="00F70603" w:rsidRDefault="00F70603" w:rsidP="00337DB5">
      <w:pPr>
        <w:pStyle w:val="Default"/>
        <w:rPr>
          <w:rFonts w:ascii="Arial" w:hAnsi="Arial" w:cs="Arial"/>
          <w:b/>
          <w:bCs/>
        </w:rPr>
      </w:pPr>
    </w:p>
    <w:p w:rsidR="00F70603" w:rsidRDefault="00F70603" w:rsidP="00337DB5">
      <w:pPr>
        <w:pStyle w:val="Default"/>
        <w:rPr>
          <w:rFonts w:ascii="Arial" w:hAnsi="Arial" w:cs="Arial"/>
          <w:b/>
          <w:bCs/>
        </w:rPr>
      </w:pPr>
    </w:p>
    <w:p w:rsidR="00337DB5" w:rsidRDefault="00337DB5" w:rsidP="00337DB5">
      <w:pPr>
        <w:pStyle w:val="Default"/>
        <w:rPr>
          <w:rFonts w:ascii="Arial" w:hAnsi="Arial" w:cs="Arial"/>
        </w:rPr>
      </w:pPr>
      <w:r>
        <w:rPr>
          <w:rFonts w:ascii="Arial" w:hAnsi="Arial" w:cs="Arial"/>
          <w:b/>
          <w:bCs/>
        </w:rPr>
        <w:lastRenderedPageBreak/>
        <w:t xml:space="preserve">Human rights implications </w:t>
      </w:r>
    </w:p>
    <w:p w:rsidR="00337DB5" w:rsidRDefault="00337DB5" w:rsidP="00337DB5">
      <w:pPr>
        <w:spacing w:after="0" w:line="240" w:lineRule="auto"/>
        <w:rPr>
          <w:rFonts w:eastAsia="Calibri" w:cs="Arial"/>
          <w:sz w:val="24"/>
          <w:szCs w:val="24"/>
          <w:lang w:eastAsia="en-AU"/>
        </w:rPr>
      </w:pPr>
    </w:p>
    <w:p w:rsidR="00337DB5" w:rsidRDefault="00337DB5" w:rsidP="00337DB5">
      <w:pPr>
        <w:pStyle w:val="Default"/>
        <w:rPr>
          <w:rFonts w:ascii="Arial" w:hAnsi="Arial" w:cs="Arial"/>
        </w:rPr>
      </w:pPr>
      <w:r w:rsidRPr="00E21334">
        <w:rPr>
          <w:rFonts w:ascii="Arial" w:eastAsia="Calibri" w:hAnsi="Arial" w:cs="Arial"/>
          <w:lang w:eastAsia="en-AU"/>
        </w:rPr>
        <w:t>The Directions relate</w:t>
      </w:r>
      <w:r w:rsidR="00713996">
        <w:rPr>
          <w:rFonts w:ascii="Arial" w:eastAsia="Calibri" w:hAnsi="Arial" w:cs="Arial"/>
          <w:lang w:eastAsia="en-AU"/>
        </w:rPr>
        <w:t xml:space="preserve"> solely</w:t>
      </w:r>
      <w:r w:rsidR="00A71C3B">
        <w:rPr>
          <w:rFonts w:ascii="Arial" w:eastAsia="Calibri" w:hAnsi="Arial" w:cs="Arial"/>
          <w:lang w:eastAsia="en-AU"/>
        </w:rPr>
        <w:t xml:space="preserve"> </w:t>
      </w:r>
      <w:r w:rsidRPr="00E21334">
        <w:rPr>
          <w:rFonts w:ascii="Arial" w:eastAsia="Calibri" w:hAnsi="Arial" w:cs="Arial"/>
          <w:lang w:eastAsia="en-AU"/>
        </w:rPr>
        <w:t xml:space="preserve">to the approach </w:t>
      </w:r>
      <w:r w:rsidR="00713996">
        <w:rPr>
          <w:rFonts w:ascii="Arial" w:eastAsia="Calibri" w:hAnsi="Arial" w:cs="Arial"/>
          <w:lang w:eastAsia="en-AU"/>
        </w:rPr>
        <w:t xml:space="preserve">adopted </w:t>
      </w:r>
      <w:r w:rsidRPr="00E21334">
        <w:rPr>
          <w:rFonts w:ascii="Arial" w:eastAsia="Calibri" w:hAnsi="Arial" w:cs="Arial"/>
          <w:lang w:eastAsia="en-AU"/>
        </w:rPr>
        <w:t>to administer the functions, powers and duties of the Regulator under the Act.</w:t>
      </w:r>
      <w:r>
        <w:rPr>
          <w:rFonts w:eastAsia="Calibri" w:cs="Arial"/>
          <w:lang w:eastAsia="en-AU"/>
        </w:rPr>
        <w:t xml:space="preserve">  </w:t>
      </w:r>
      <w:r>
        <w:rPr>
          <w:rFonts w:ascii="Arial" w:eastAsia="Calibri" w:hAnsi="Arial" w:cs="Arial"/>
          <w:lang w:eastAsia="en-AU"/>
        </w:rPr>
        <w:t>In particular, the</w:t>
      </w:r>
      <w:r>
        <w:rPr>
          <w:rFonts w:ascii="Arial" w:hAnsi="Arial" w:cs="Arial"/>
        </w:rPr>
        <w:t xml:space="preserve"> Directions provide for processes for administration of the ATM measure which remain consistent with the Act. </w:t>
      </w:r>
    </w:p>
    <w:p w:rsidR="00337DB5" w:rsidRDefault="00337DB5" w:rsidP="00337DB5">
      <w:pPr>
        <w:spacing w:after="0" w:line="240" w:lineRule="auto"/>
        <w:rPr>
          <w:rFonts w:eastAsia="Calibri" w:cs="Arial"/>
          <w:sz w:val="24"/>
          <w:szCs w:val="24"/>
          <w:lang w:eastAsia="en-AU"/>
        </w:rPr>
      </w:pPr>
    </w:p>
    <w:p w:rsidR="00337DB5" w:rsidRDefault="00713996" w:rsidP="00337DB5">
      <w:pPr>
        <w:spacing w:after="0" w:line="240" w:lineRule="auto"/>
        <w:rPr>
          <w:rFonts w:eastAsia="Calibri" w:cs="Arial"/>
          <w:sz w:val="24"/>
          <w:szCs w:val="24"/>
          <w:lang w:eastAsia="en-AU"/>
        </w:rPr>
      </w:pPr>
      <w:r>
        <w:rPr>
          <w:rFonts w:eastAsia="Calibri" w:cs="Arial"/>
          <w:sz w:val="24"/>
          <w:szCs w:val="24"/>
          <w:lang w:eastAsia="en-AU"/>
        </w:rPr>
        <w:t>Although the Act engages human rights, the Act contemplates that these functions or powers may only be exercised in furtherance of a legitimate</w:t>
      </w:r>
      <w:r w:rsidR="00364B5F">
        <w:rPr>
          <w:rFonts w:eastAsia="Calibri" w:cs="Arial"/>
          <w:sz w:val="24"/>
          <w:szCs w:val="24"/>
          <w:lang w:eastAsia="en-AU"/>
        </w:rPr>
        <w:t xml:space="preserve"> objective</w:t>
      </w:r>
      <w:r>
        <w:rPr>
          <w:rFonts w:eastAsia="Calibri" w:cs="Arial"/>
          <w:sz w:val="24"/>
          <w:szCs w:val="24"/>
          <w:lang w:eastAsia="en-AU"/>
        </w:rPr>
        <w:t>.</w:t>
      </w:r>
      <w:r w:rsidR="00364B5F">
        <w:rPr>
          <w:rFonts w:eastAsia="Calibri" w:cs="Arial"/>
          <w:sz w:val="24"/>
          <w:szCs w:val="24"/>
          <w:lang w:eastAsia="en-AU"/>
        </w:rPr>
        <w:t xml:space="preserve">  The Act also imposes a range of constraints to </w:t>
      </w:r>
      <w:r w:rsidRPr="00713996">
        <w:rPr>
          <w:rFonts w:eastAsia="Calibri" w:cs="Arial"/>
          <w:sz w:val="24"/>
          <w:szCs w:val="24"/>
          <w:lang w:eastAsia="en-AU"/>
        </w:rPr>
        <w:t>ensure</w:t>
      </w:r>
      <w:r w:rsidR="00364B5F">
        <w:rPr>
          <w:rFonts w:eastAsia="Calibri" w:cs="Arial"/>
          <w:sz w:val="24"/>
          <w:szCs w:val="24"/>
          <w:lang w:eastAsia="en-AU"/>
        </w:rPr>
        <w:t xml:space="preserve"> these</w:t>
      </w:r>
      <w:r w:rsidRPr="00713996">
        <w:rPr>
          <w:rFonts w:eastAsia="Calibri" w:cs="Arial"/>
          <w:sz w:val="24"/>
          <w:szCs w:val="24"/>
          <w:lang w:eastAsia="en-AU"/>
        </w:rPr>
        <w:t xml:space="preserve"> powers are reasonable, necessary and proportionate </w:t>
      </w:r>
      <w:r w:rsidR="009F1CD2">
        <w:rPr>
          <w:rFonts w:eastAsia="Calibri" w:cs="Arial"/>
          <w:sz w:val="24"/>
          <w:szCs w:val="24"/>
          <w:lang w:eastAsia="en-AU"/>
        </w:rPr>
        <w:t>to these</w:t>
      </w:r>
      <w:r w:rsidR="00364B5F">
        <w:rPr>
          <w:rFonts w:eastAsia="Calibri" w:cs="Arial"/>
          <w:sz w:val="24"/>
          <w:szCs w:val="24"/>
          <w:lang w:eastAsia="en-AU"/>
        </w:rPr>
        <w:t xml:space="preserve"> objective</w:t>
      </w:r>
      <w:r w:rsidR="009F1CD2">
        <w:rPr>
          <w:rFonts w:eastAsia="Calibri" w:cs="Arial"/>
          <w:sz w:val="24"/>
          <w:szCs w:val="24"/>
          <w:lang w:eastAsia="en-AU"/>
        </w:rPr>
        <w:t>s</w:t>
      </w:r>
      <w:r w:rsidR="00364B5F">
        <w:rPr>
          <w:rFonts w:eastAsia="Calibri" w:cs="Arial"/>
          <w:sz w:val="24"/>
          <w:szCs w:val="24"/>
          <w:lang w:eastAsia="en-AU"/>
        </w:rPr>
        <w:t>.  These rights are set out below.</w:t>
      </w:r>
    </w:p>
    <w:p w:rsidR="00337DB5" w:rsidRDefault="00337DB5" w:rsidP="00337DB5">
      <w:pPr>
        <w:spacing w:after="0" w:line="240" w:lineRule="auto"/>
        <w:rPr>
          <w:rFonts w:eastAsia="Calibri" w:cs="Arial"/>
          <w:sz w:val="24"/>
          <w:szCs w:val="24"/>
          <w:lang w:eastAsia="en-AU"/>
        </w:rPr>
      </w:pPr>
    </w:p>
    <w:p w:rsidR="00337DB5" w:rsidRDefault="00337DB5" w:rsidP="00337DB5">
      <w:pPr>
        <w:spacing w:after="0" w:line="240" w:lineRule="auto"/>
        <w:rPr>
          <w:rFonts w:eastAsia="Calibri" w:cs="Arial"/>
          <w:i/>
          <w:sz w:val="24"/>
          <w:szCs w:val="24"/>
          <w:lang w:eastAsia="en-AU"/>
        </w:rPr>
      </w:pPr>
      <w:r>
        <w:rPr>
          <w:rFonts w:eastAsia="Calibri" w:cs="Arial"/>
          <w:i/>
          <w:sz w:val="24"/>
          <w:szCs w:val="24"/>
          <w:lang w:eastAsia="en-AU"/>
        </w:rPr>
        <w:t>Right to Privacy and Reputation</w:t>
      </w:r>
    </w:p>
    <w:p w:rsidR="00337DB5" w:rsidRDefault="00337DB5" w:rsidP="00337DB5">
      <w:pPr>
        <w:spacing w:after="0" w:line="240" w:lineRule="auto"/>
        <w:rPr>
          <w:rFonts w:eastAsia="Calibri" w:cs="Arial"/>
          <w:i/>
          <w:sz w:val="24"/>
          <w:szCs w:val="24"/>
          <w:lang w:eastAsia="en-AU"/>
        </w:rPr>
      </w:pPr>
    </w:p>
    <w:p w:rsidR="00337DB5" w:rsidRDefault="00337DB5" w:rsidP="00337DB5">
      <w:pPr>
        <w:spacing w:after="0" w:line="240" w:lineRule="auto"/>
        <w:rPr>
          <w:rFonts w:eastAsia="Calibri" w:cs="Arial"/>
          <w:sz w:val="24"/>
          <w:szCs w:val="24"/>
          <w:lang w:eastAsia="en-AU"/>
        </w:rPr>
      </w:pPr>
      <w:r>
        <w:rPr>
          <w:rFonts w:eastAsia="Calibri" w:cs="Arial"/>
          <w:sz w:val="24"/>
          <w:szCs w:val="24"/>
          <w:lang w:eastAsia="en-AU"/>
        </w:rPr>
        <w:t xml:space="preserve">Article 17 of the International Covenant on Civil and Political Rights (ICCPR) prohibits arbitrary or unlawful interference with a person’s privacy and reputation. </w:t>
      </w:r>
    </w:p>
    <w:p w:rsidR="00337DB5" w:rsidRDefault="00337DB5" w:rsidP="00337DB5">
      <w:pPr>
        <w:spacing w:after="0" w:line="240" w:lineRule="auto"/>
        <w:rPr>
          <w:rFonts w:eastAsia="Calibri" w:cs="Arial"/>
          <w:sz w:val="24"/>
          <w:szCs w:val="24"/>
          <w:lang w:eastAsia="en-AU"/>
        </w:rPr>
      </w:pPr>
    </w:p>
    <w:p w:rsidR="00337DB5" w:rsidRDefault="00337DB5" w:rsidP="00337DB5">
      <w:pPr>
        <w:spacing w:after="0" w:line="240" w:lineRule="auto"/>
        <w:rPr>
          <w:rFonts w:eastAsia="Calibri" w:cs="Arial"/>
          <w:sz w:val="24"/>
          <w:szCs w:val="24"/>
          <w:lang w:eastAsia="en-AU"/>
        </w:rPr>
      </w:pPr>
      <w:r>
        <w:rPr>
          <w:rFonts w:eastAsia="Calibri" w:cs="Arial"/>
          <w:sz w:val="24"/>
          <w:szCs w:val="24"/>
          <w:lang w:eastAsia="en-AU"/>
        </w:rPr>
        <w:t xml:space="preserve">The Act involves the collection, storage, security, use and disclosure of personal information. </w:t>
      </w:r>
    </w:p>
    <w:p w:rsidR="00337DB5" w:rsidRDefault="00337DB5" w:rsidP="00337DB5">
      <w:pPr>
        <w:spacing w:after="0" w:line="240" w:lineRule="auto"/>
        <w:rPr>
          <w:rFonts w:eastAsia="Calibri" w:cs="Arial"/>
          <w:sz w:val="24"/>
          <w:szCs w:val="24"/>
          <w:lang w:eastAsia="en-AU"/>
        </w:rPr>
      </w:pPr>
    </w:p>
    <w:p w:rsidR="00337DB5" w:rsidRDefault="00337DB5" w:rsidP="00337DB5">
      <w:pPr>
        <w:spacing w:after="0" w:line="240" w:lineRule="auto"/>
        <w:rPr>
          <w:rFonts w:eastAsia="Calibri" w:cs="Arial"/>
          <w:sz w:val="24"/>
          <w:szCs w:val="24"/>
          <w:lang w:eastAsia="en-AU"/>
        </w:rPr>
      </w:pPr>
      <w:r>
        <w:rPr>
          <w:rFonts w:eastAsia="Calibri" w:cs="Arial"/>
          <w:sz w:val="24"/>
          <w:szCs w:val="24"/>
          <w:lang w:eastAsia="en-AU"/>
        </w:rPr>
        <w:t xml:space="preserve">The collection and use of personal information is necessary to achieve the objectives of the Act, including the ATM measure. The Act protects personal information by restricting what can be done with collected information and providing offences for unauthorised disclosure or use of protected information. </w:t>
      </w:r>
    </w:p>
    <w:p w:rsidR="00337DB5" w:rsidRDefault="00337DB5" w:rsidP="00337DB5">
      <w:pPr>
        <w:spacing w:after="0" w:line="240" w:lineRule="auto"/>
        <w:rPr>
          <w:rFonts w:eastAsia="Calibri" w:cs="Arial"/>
          <w:sz w:val="24"/>
          <w:szCs w:val="24"/>
          <w:lang w:eastAsia="en-AU"/>
        </w:rPr>
      </w:pPr>
    </w:p>
    <w:p w:rsidR="00337DB5" w:rsidRDefault="00337DB5" w:rsidP="00337DB5">
      <w:pPr>
        <w:spacing w:after="0" w:line="240" w:lineRule="auto"/>
        <w:rPr>
          <w:rFonts w:eastAsia="Calibri" w:cs="Arial"/>
          <w:sz w:val="24"/>
          <w:szCs w:val="24"/>
          <w:lang w:eastAsia="en-AU"/>
        </w:rPr>
      </w:pPr>
      <w:r>
        <w:rPr>
          <w:rFonts w:eastAsia="Calibri" w:cs="Arial"/>
          <w:sz w:val="24"/>
          <w:szCs w:val="24"/>
          <w:lang w:eastAsia="en-AU"/>
        </w:rPr>
        <w:t>The Directions set out processes which are consistent with the Act.</w:t>
      </w:r>
    </w:p>
    <w:p w:rsidR="00337DB5" w:rsidRDefault="00337DB5" w:rsidP="00337DB5">
      <w:pPr>
        <w:spacing w:after="0" w:line="240" w:lineRule="auto"/>
        <w:rPr>
          <w:rFonts w:eastAsia="Calibri" w:cs="Arial"/>
          <w:sz w:val="24"/>
          <w:szCs w:val="24"/>
          <w:lang w:eastAsia="en-AU"/>
        </w:rPr>
      </w:pPr>
    </w:p>
    <w:p w:rsidR="00337DB5" w:rsidRDefault="00337DB5" w:rsidP="00337DB5">
      <w:pPr>
        <w:spacing w:after="0" w:line="240" w:lineRule="auto"/>
        <w:rPr>
          <w:rFonts w:eastAsia="Calibri" w:cs="Arial"/>
          <w:i/>
          <w:sz w:val="24"/>
          <w:szCs w:val="24"/>
          <w:lang w:eastAsia="en-AU"/>
        </w:rPr>
      </w:pPr>
      <w:r>
        <w:rPr>
          <w:rFonts w:eastAsia="Calibri" w:cs="Arial"/>
          <w:i/>
          <w:sz w:val="24"/>
          <w:szCs w:val="24"/>
          <w:lang w:eastAsia="en-AU"/>
        </w:rPr>
        <w:t>Presumption of Innocence</w:t>
      </w:r>
    </w:p>
    <w:p w:rsidR="00337DB5" w:rsidRDefault="00337DB5" w:rsidP="00337DB5">
      <w:pPr>
        <w:spacing w:after="0" w:line="240" w:lineRule="auto"/>
        <w:rPr>
          <w:rFonts w:eastAsia="Calibri" w:cs="Arial"/>
          <w:i/>
          <w:sz w:val="24"/>
          <w:szCs w:val="24"/>
          <w:lang w:eastAsia="en-AU"/>
        </w:rPr>
      </w:pPr>
    </w:p>
    <w:p w:rsidR="00337DB5" w:rsidRDefault="00337DB5" w:rsidP="00337DB5">
      <w:pPr>
        <w:spacing w:after="0" w:line="240" w:lineRule="auto"/>
        <w:rPr>
          <w:rFonts w:eastAsia="Calibri" w:cs="Arial"/>
          <w:sz w:val="24"/>
          <w:szCs w:val="24"/>
          <w:lang w:eastAsia="en-AU"/>
        </w:rPr>
      </w:pPr>
      <w:r>
        <w:rPr>
          <w:rFonts w:eastAsia="Calibri" w:cs="Arial"/>
          <w:sz w:val="24"/>
          <w:szCs w:val="24"/>
          <w:lang w:eastAsia="en-AU"/>
        </w:rPr>
        <w:t xml:space="preserve">Article 14 of the ICCPR protects the right to be presumed innocent until proven guilty when charged with a criminal offence. The presumption of innocence is a fundamental principle of common law and imposes a burden on the prosecution of proving the charge. Accordingly, where the evidential burden is placed on a defendant the law may be considered to be inconsistent with human rights. </w:t>
      </w:r>
    </w:p>
    <w:p w:rsidR="00337DB5" w:rsidRDefault="00337DB5" w:rsidP="00337DB5">
      <w:pPr>
        <w:spacing w:after="0" w:line="240" w:lineRule="auto"/>
        <w:rPr>
          <w:rFonts w:eastAsia="Calibri" w:cs="Arial"/>
          <w:sz w:val="24"/>
          <w:szCs w:val="24"/>
          <w:lang w:eastAsia="en-AU"/>
        </w:rPr>
      </w:pPr>
    </w:p>
    <w:p w:rsidR="00337DB5" w:rsidRDefault="00337DB5" w:rsidP="00337DB5">
      <w:pPr>
        <w:spacing w:after="0" w:line="240" w:lineRule="auto"/>
        <w:rPr>
          <w:rFonts w:eastAsia="Calibri" w:cs="Arial"/>
          <w:sz w:val="24"/>
          <w:szCs w:val="24"/>
          <w:lang w:eastAsia="en-AU"/>
        </w:rPr>
      </w:pPr>
      <w:r>
        <w:rPr>
          <w:rFonts w:eastAsia="Calibri" w:cs="Arial"/>
          <w:sz w:val="24"/>
          <w:szCs w:val="24"/>
          <w:lang w:eastAsia="en-AU"/>
        </w:rPr>
        <w:t xml:space="preserve">The Act provides for a number of civil penalty and criminal offences. </w:t>
      </w:r>
      <w:r w:rsidR="00F70603">
        <w:rPr>
          <w:rFonts w:eastAsia="Calibri" w:cs="Arial"/>
          <w:sz w:val="24"/>
          <w:szCs w:val="24"/>
          <w:lang w:eastAsia="en-AU"/>
        </w:rPr>
        <w:t xml:space="preserve"> </w:t>
      </w:r>
      <w:r>
        <w:rPr>
          <w:rFonts w:eastAsia="Calibri" w:cs="Arial"/>
          <w:sz w:val="24"/>
          <w:szCs w:val="24"/>
          <w:lang w:eastAsia="en-AU"/>
        </w:rPr>
        <w:t>In a number of the provisions the evidential burden is reversed. The reversal of onus shifts the burden of proof to the respondent requiring the respondent to show that there is a reasonable likelihood that the matters on which they rely are true. Under international human rights law, a reverse onus provision does not necessarily violate the resumption of innocence, provided that the law is not unreasonable in the circumstances.</w:t>
      </w:r>
      <w:r w:rsidR="00F70603">
        <w:rPr>
          <w:rFonts w:eastAsia="Calibri" w:cs="Arial"/>
          <w:sz w:val="24"/>
          <w:szCs w:val="24"/>
          <w:lang w:eastAsia="en-AU"/>
        </w:rPr>
        <w:t xml:space="preserve">  </w:t>
      </w:r>
      <w:r>
        <w:rPr>
          <w:rFonts w:eastAsia="Calibri" w:cs="Arial"/>
          <w:sz w:val="24"/>
          <w:szCs w:val="24"/>
          <w:lang w:eastAsia="en-AU"/>
        </w:rPr>
        <w:t>Reverse onus provisions may be justified where the particular offence makes it very difficult for the prosecution to prove each element, or it is easier for the respondent to prove a fact than for the prosecution to disprove it.</w:t>
      </w:r>
    </w:p>
    <w:p w:rsidR="00337DB5" w:rsidRDefault="00337DB5" w:rsidP="00337DB5">
      <w:pPr>
        <w:spacing w:after="0" w:line="240" w:lineRule="auto"/>
        <w:rPr>
          <w:rFonts w:eastAsia="Calibri" w:cs="Arial"/>
          <w:sz w:val="24"/>
          <w:szCs w:val="24"/>
          <w:lang w:eastAsia="en-AU"/>
        </w:rPr>
      </w:pPr>
    </w:p>
    <w:p w:rsidR="00337DB5" w:rsidRDefault="00337DB5" w:rsidP="00337DB5">
      <w:pPr>
        <w:spacing w:after="0" w:line="240" w:lineRule="auto"/>
        <w:rPr>
          <w:rFonts w:eastAsia="Calibri" w:cs="Arial"/>
          <w:sz w:val="24"/>
          <w:szCs w:val="24"/>
          <w:lang w:eastAsia="en-AU"/>
        </w:rPr>
      </w:pPr>
      <w:r>
        <w:rPr>
          <w:rFonts w:eastAsia="Calibri" w:cs="Arial"/>
          <w:sz w:val="24"/>
          <w:szCs w:val="24"/>
          <w:lang w:eastAsia="en-AU"/>
        </w:rPr>
        <w:t xml:space="preserve">All of the provisions in the Act with a reverse burden of proof are civil penalty provisions. </w:t>
      </w:r>
      <w:r w:rsidR="00F70603">
        <w:rPr>
          <w:rFonts w:eastAsia="Calibri" w:cs="Arial"/>
          <w:sz w:val="24"/>
          <w:szCs w:val="24"/>
          <w:lang w:eastAsia="en-AU"/>
        </w:rPr>
        <w:t xml:space="preserve"> </w:t>
      </w:r>
      <w:r>
        <w:rPr>
          <w:rFonts w:eastAsia="Calibri" w:cs="Arial"/>
          <w:sz w:val="24"/>
          <w:szCs w:val="24"/>
          <w:lang w:eastAsia="en-AU"/>
        </w:rPr>
        <w:t>None of the criminal offence provisions in the Act involves a reversal of the evidential burden.</w:t>
      </w:r>
      <w:r w:rsidR="00F70603">
        <w:rPr>
          <w:rFonts w:eastAsia="Calibri" w:cs="Arial"/>
          <w:sz w:val="24"/>
          <w:szCs w:val="24"/>
          <w:lang w:eastAsia="en-AU"/>
        </w:rPr>
        <w:t xml:space="preserve"> </w:t>
      </w:r>
      <w:r>
        <w:rPr>
          <w:rFonts w:eastAsia="Calibri" w:cs="Arial"/>
          <w:sz w:val="24"/>
          <w:szCs w:val="24"/>
          <w:lang w:eastAsia="en-AU"/>
        </w:rPr>
        <w:t xml:space="preserve"> Each of the provisions that require a respondent to bear the evidential burden involves the respondent seeking to rely on a defence, the material facts of which are peculiarly within the knowledge of the respondent.</w:t>
      </w:r>
      <w:r w:rsidR="00F70603">
        <w:rPr>
          <w:rFonts w:eastAsia="Calibri" w:cs="Arial"/>
          <w:sz w:val="24"/>
          <w:szCs w:val="24"/>
          <w:lang w:eastAsia="en-AU"/>
        </w:rPr>
        <w:t xml:space="preserve"> </w:t>
      </w:r>
      <w:r>
        <w:rPr>
          <w:rFonts w:eastAsia="Calibri" w:cs="Arial"/>
          <w:sz w:val="24"/>
          <w:szCs w:val="24"/>
          <w:lang w:eastAsia="en-AU"/>
        </w:rPr>
        <w:t xml:space="preserve"> In each case it </w:t>
      </w:r>
      <w:r>
        <w:rPr>
          <w:rFonts w:eastAsia="Calibri" w:cs="Arial"/>
          <w:sz w:val="24"/>
          <w:szCs w:val="24"/>
          <w:lang w:eastAsia="en-AU"/>
        </w:rPr>
        <w:lastRenderedPageBreak/>
        <w:t xml:space="preserve">is clearly more practical for the respondent to prove the facts relied upon than for the prosecution to disprove those facts. </w:t>
      </w:r>
    </w:p>
    <w:p w:rsidR="00337DB5" w:rsidRDefault="00337DB5" w:rsidP="00337DB5">
      <w:pPr>
        <w:spacing w:after="0" w:line="240" w:lineRule="auto"/>
        <w:rPr>
          <w:rFonts w:eastAsia="Calibri" w:cs="Arial"/>
          <w:sz w:val="24"/>
          <w:szCs w:val="24"/>
          <w:lang w:eastAsia="en-AU"/>
        </w:rPr>
      </w:pPr>
    </w:p>
    <w:p w:rsidR="00337DB5" w:rsidRPr="00726D34" w:rsidRDefault="00337DB5" w:rsidP="00337DB5">
      <w:pPr>
        <w:spacing w:after="0" w:line="240" w:lineRule="auto"/>
        <w:rPr>
          <w:rFonts w:eastAsia="Calibri" w:cs="Arial"/>
          <w:sz w:val="24"/>
          <w:szCs w:val="24"/>
          <w:lang w:eastAsia="en-AU"/>
        </w:rPr>
      </w:pPr>
      <w:r>
        <w:rPr>
          <w:rFonts w:eastAsia="Calibri" w:cs="Arial"/>
          <w:sz w:val="24"/>
          <w:szCs w:val="24"/>
          <w:lang w:eastAsia="en-AU"/>
        </w:rPr>
        <w:t xml:space="preserve">The Directions set out processes which are consistent with the Act and which are to be implemented prior to any enforcement of applicable civil penalty provisions under the Act. </w:t>
      </w:r>
    </w:p>
    <w:p w:rsidR="00337DB5" w:rsidRPr="005F1F3E" w:rsidRDefault="00337DB5" w:rsidP="00337DB5">
      <w:pPr>
        <w:pStyle w:val="Default"/>
        <w:rPr>
          <w:rFonts w:ascii="Arial" w:hAnsi="Arial" w:cs="Arial"/>
          <w:b/>
          <w:bCs/>
        </w:rPr>
      </w:pPr>
    </w:p>
    <w:p w:rsidR="00337DB5" w:rsidRPr="005F1F3E" w:rsidRDefault="00337DB5" w:rsidP="00337DB5">
      <w:pPr>
        <w:pStyle w:val="Default"/>
        <w:rPr>
          <w:rFonts w:ascii="Arial" w:hAnsi="Arial" w:cs="Arial"/>
        </w:rPr>
      </w:pPr>
      <w:r w:rsidRPr="005F1F3E">
        <w:rPr>
          <w:rFonts w:ascii="Arial" w:hAnsi="Arial" w:cs="Arial"/>
          <w:b/>
          <w:bCs/>
        </w:rPr>
        <w:t xml:space="preserve">Conclusion </w:t>
      </w:r>
    </w:p>
    <w:p w:rsidR="00337DB5" w:rsidRPr="005F1F3E" w:rsidRDefault="00337DB5" w:rsidP="00337DB5">
      <w:pPr>
        <w:pStyle w:val="Default"/>
        <w:rPr>
          <w:rFonts w:ascii="Arial" w:hAnsi="Arial" w:cs="Arial"/>
        </w:rPr>
      </w:pPr>
      <w:r>
        <w:rPr>
          <w:rFonts w:ascii="Arial" w:hAnsi="Arial" w:cs="Arial"/>
        </w:rPr>
        <w:t xml:space="preserve">The Direction is </w:t>
      </w:r>
      <w:r w:rsidRPr="005F1F3E">
        <w:rPr>
          <w:rFonts w:ascii="Arial" w:hAnsi="Arial" w:cs="Arial"/>
        </w:rPr>
        <w:t xml:space="preserve">compatible with human rights </w:t>
      </w:r>
      <w:r>
        <w:rPr>
          <w:rFonts w:ascii="Arial" w:hAnsi="Arial" w:cs="Arial"/>
        </w:rPr>
        <w:t xml:space="preserve">because to the limited extent it may impact on human </w:t>
      </w:r>
      <w:proofErr w:type="gramStart"/>
      <w:r>
        <w:rPr>
          <w:rFonts w:ascii="Arial" w:hAnsi="Arial" w:cs="Arial"/>
        </w:rPr>
        <w:t>rights,</w:t>
      </w:r>
      <w:proofErr w:type="gramEnd"/>
      <w:r>
        <w:rPr>
          <w:rFonts w:ascii="Arial" w:hAnsi="Arial" w:cs="Arial"/>
        </w:rPr>
        <w:t xml:space="preserve"> those impacts are reasonable, necessary and proportionate.</w:t>
      </w:r>
      <w:r w:rsidRPr="005F1F3E">
        <w:rPr>
          <w:rFonts w:ascii="Arial" w:hAnsi="Arial" w:cs="Arial"/>
        </w:rPr>
        <w:t xml:space="preserve"> </w:t>
      </w:r>
    </w:p>
    <w:p w:rsidR="00337DB5" w:rsidRPr="005F1F3E" w:rsidRDefault="00337DB5" w:rsidP="00337DB5">
      <w:pPr>
        <w:spacing w:line="240" w:lineRule="auto"/>
        <w:rPr>
          <w:rFonts w:cs="Arial"/>
          <w:b/>
          <w:bCs/>
          <w:sz w:val="24"/>
          <w:szCs w:val="24"/>
        </w:rPr>
      </w:pPr>
    </w:p>
    <w:p w:rsidR="00337DB5" w:rsidRPr="005F1F3E" w:rsidRDefault="00337DB5" w:rsidP="00337DB5">
      <w:pPr>
        <w:spacing w:line="240" w:lineRule="auto"/>
        <w:rPr>
          <w:rStyle w:val="BookTitle"/>
          <w:rFonts w:cs="Arial"/>
          <w:i w:val="0"/>
          <w:iCs w:val="0"/>
          <w:smallCaps w:val="0"/>
          <w:spacing w:val="0"/>
          <w:sz w:val="24"/>
          <w:szCs w:val="24"/>
        </w:rPr>
      </w:pPr>
      <w:r>
        <w:rPr>
          <w:rFonts w:cs="Arial"/>
          <w:b/>
          <w:bCs/>
          <w:sz w:val="24"/>
          <w:szCs w:val="24"/>
        </w:rPr>
        <w:t>The Hon Kevin Andrews, Minister for Social Services</w:t>
      </w:r>
    </w:p>
    <w:p w:rsidR="0070617D" w:rsidRPr="00C94B98" w:rsidRDefault="0070617D" w:rsidP="00337DB5">
      <w:pPr>
        <w:spacing w:after="0" w:line="240" w:lineRule="auto"/>
        <w:rPr>
          <w:rStyle w:val="BookTitle"/>
          <w:rFonts w:cs="Arial"/>
          <w:b/>
          <w:i w:val="0"/>
          <w:iCs w:val="0"/>
          <w:smallCaps w:val="0"/>
          <w:spacing w:val="0"/>
          <w:sz w:val="24"/>
          <w:szCs w:val="24"/>
        </w:rPr>
      </w:pPr>
    </w:p>
    <w:sectPr w:rsidR="0070617D" w:rsidRPr="00C94B98" w:rsidSect="007150A4">
      <w:head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B2" w:rsidRDefault="009C19B2" w:rsidP="00307D47">
      <w:pPr>
        <w:spacing w:after="0" w:line="240" w:lineRule="auto"/>
      </w:pPr>
      <w:r>
        <w:separator/>
      </w:r>
    </w:p>
  </w:endnote>
  <w:endnote w:type="continuationSeparator" w:id="0">
    <w:p w:rsidR="009C19B2" w:rsidRDefault="009C19B2" w:rsidP="0030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B2" w:rsidRDefault="009C19B2" w:rsidP="00307D47">
      <w:pPr>
        <w:spacing w:after="0" w:line="240" w:lineRule="auto"/>
      </w:pPr>
      <w:r>
        <w:separator/>
      </w:r>
    </w:p>
  </w:footnote>
  <w:footnote w:type="continuationSeparator" w:id="0">
    <w:p w:rsidR="009C19B2" w:rsidRDefault="009C19B2" w:rsidP="00307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DB" w:rsidRDefault="00ED52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2E4"/>
    <w:multiLevelType w:val="hybridMultilevel"/>
    <w:tmpl w:val="9808E14E"/>
    <w:lvl w:ilvl="0" w:tplc="0C090005">
      <w:start w:val="1"/>
      <w:numFmt w:val="bullet"/>
      <w:lvlText w:val=""/>
      <w:lvlJc w:val="left"/>
      <w:pPr>
        <w:tabs>
          <w:tab w:val="num" w:pos="720"/>
        </w:tabs>
        <w:ind w:left="720" w:hanging="360"/>
      </w:pPr>
      <w:rPr>
        <w:rFonts w:ascii="Wingdings" w:hAnsi="Wingdings" w:hint="default"/>
      </w:rPr>
    </w:lvl>
    <w:lvl w:ilvl="1" w:tplc="0C090019">
      <w:start w:val="1"/>
      <w:numFmt w:val="lowerLetter"/>
      <w:lvlText w:val="%2."/>
      <w:lvlJc w:val="left"/>
      <w:pPr>
        <w:tabs>
          <w:tab w:val="num" w:pos="1440"/>
        </w:tabs>
        <w:ind w:left="1440" w:hanging="360"/>
      </w:pPr>
      <w:rPr>
        <w:rFont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3283E1F"/>
    <w:multiLevelType w:val="hybridMultilevel"/>
    <w:tmpl w:val="D930AAD4"/>
    <w:lvl w:ilvl="0" w:tplc="080C1B2C">
      <w:start w:val="1"/>
      <w:numFmt w:val="decimal"/>
      <w:lvlText w:val="(%1)"/>
      <w:lvlJc w:val="left"/>
      <w:pPr>
        <w:ind w:left="1080" w:hanging="360"/>
      </w:pPr>
      <w:rPr>
        <w:rFonts w:hint="default"/>
      </w:rPr>
    </w:lvl>
    <w:lvl w:ilvl="1" w:tplc="39FCEC3E">
      <w:start w:val="1"/>
      <w:numFmt w:val="lowerLetter"/>
      <w:lvlText w:val="(%2)"/>
      <w:lvlJc w:val="left"/>
      <w:pPr>
        <w:ind w:left="1800" w:hanging="360"/>
      </w:pPr>
      <w:rPr>
        <w:rFonts w:ascii="Arial" w:eastAsia="Times New Roman" w:hAnsi="Arial" w:cs="Arial"/>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4167925"/>
    <w:multiLevelType w:val="hybridMultilevel"/>
    <w:tmpl w:val="9DAEA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0A5777"/>
    <w:multiLevelType w:val="hybridMultilevel"/>
    <w:tmpl w:val="5A40DCB8"/>
    <w:lvl w:ilvl="0" w:tplc="DC5AE3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D70C53"/>
    <w:multiLevelType w:val="hybridMultilevel"/>
    <w:tmpl w:val="891A4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3E09B4"/>
    <w:multiLevelType w:val="hybridMultilevel"/>
    <w:tmpl w:val="D930AAD4"/>
    <w:lvl w:ilvl="0" w:tplc="080C1B2C">
      <w:start w:val="1"/>
      <w:numFmt w:val="decimal"/>
      <w:lvlText w:val="(%1)"/>
      <w:lvlJc w:val="left"/>
      <w:pPr>
        <w:ind w:left="1080" w:hanging="360"/>
      </w:pPr>
      <w:rPr>
        <w:rFonts w:hint="default"/>
      </w:rPr>
    </w:lvl>
    <w:lvl w:ilvl="1" w:tplc="39FCEC3E">
      <w:start w:val="1"/>
      <w:numFmt w:val="lowerLetter"/>
      <w:lvlText w:val="(%2)"/>
      <w:lvlJc w:val="left"/>
      <w:pPr>
        <w:ind w:left="1800" w:hanging="360"/>
      </w:pPr>
      <w:rPr>
        <w:rFonts w:ascii="Arial" w:eastAsia="Times New Roman" w:hAnsi="Arial" w:cs="Arial"/>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7D82A40"/>
    <w:multiLevelType w:val="hybridMultilevel"/>
    <w:tmpl w:val="71881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A434D6C"/>
    <w:multiLevelType w:val="hybridMultilevel"/>
    <w:tmpl w:val="F7AC0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1C6302"/>
    <w:multiLevelType w:val="hybridMultilevel"/>
    <w:tmpl w:val="4E8A979C"/>
    <w:lvl w:ilvl="0" w:tplc="CD70F0FA">
      <w:start w:val="1"/>
      <w:numFmt w:val="bullet"/>
      <w:pStyle w:val="Brief-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12DD686A"/>
    <w:multiLevelType w:val="hybridMultilevel"/>
    <w:tmpl w:val="F6DCEF1A"/>
    <w:lvl w:ilvl="0" w:tplc="14EAACD8">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3FD7B12"/>
    <w:multiLevelType w:val="hybridMultilevel"/>
    <w:tmpl w:val="82AA3FC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16707C52"/>
    <w:multiLevelType w:val="hybridMultilevel"/>
    <w:tmpl w:val="318EA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D77C98"/>
    <w:multiLevelType w:val="hybridMultilevel"/>
    <w:tmpl w:val="71AEBD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F763043"/>
    <w:multiLevelType w:val="hybridMultilevel"/>
    <w:tmpl w:val="527E3B2A"/>
    <w:lvl w:ilvl="0" w:tplc="0C090005">
      <w:start w:val="1"/>
      <w:numFmt w:val="bullet"/>
      <w:lvlText w:val=""/>
      <w:lvlJc w:val="left"/>
      <w:pPr>
        <w:tabs>
          <w:tab w:val="num" w:pos="360"/>
        </w:tabs>
        <w:ind w:left="360" w:hanging="360"/>
      </w:pPr>
      <w:rPr>
        <w:rFonts w:ascii="Wingdings" w:hAnsi="Wingdings" w:hint="default"/>
      </w:rPr>
    </w:lvl>
    <w:lvl w:ilvl="1" w:tplc="0C09000F">
      <w:start w:val="1"/>
      <w:numFmt w:val="decimal"/>
      <w:lvlText w:val="%2."/>
      <w:lvlJc w:val="left"/>
      <w:pPr>
        <w:tabs>
          <w:tab w:val="num" w:pos="1080"/>
        </w:tabs>
        <w:ind w:left="1080" w:hanging="360"/>
      </w:pPr>
      <w:rPr>
        <w:rFonts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240A4FCA"/>
    <w:multiLevelType w:val="hybridMultilevel"/>
    <w:tmpl w:val="86BEBE9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24382F2E"/>
    <w:multiLevelType w:val="hybridMultilevel"/>
    <w:tmpl w:val="8AEAD88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2CFF66C2"/>
    <w:multiLevelType w:val="hybridMultilevel"/>
    <w:tmpl w:val="D9C8568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30EC050B"/>
    <w:multiLevelType w:val="hybridMultilevel"/>
    <w:tmpl w:val="2D50C05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31AE173A"/>
    <w:multiLevelType w:val="hybridMultilevel"/>
    <w:tmpl w:val="3A4A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7F44CC2"/>
    <w:multiLevelType w:val="hybridMultilevel"/>
    <w:tmpl w:val="B8342F4C"/>
    <w:lvl w:ilvl="0" w:tplc="AFB2CD10">
      <w:start w:val="1"/>
      <w:numFmt w:val="bullet"/>
      <w:pStyle w:val="NSDS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671051"/>
    <w:multiLevelType w:val="multilevel"/>
    <w:tmpl w:val="4F4E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9162EEE"/>
    <w:multiLevelType w:val="hybridMultilevel"/>
    <w:tmpl w:val="6F940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A7B43C0"/>
    <w:multiLevelType w:val="hybridMultilevel"/>
    <w:tmpl w:val="9D7C4FA2"/>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40EA06AD"/>
    <w:multiLevelType w:val="multilevel"/>
    <w:tmpl w:val="B6F8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7C063C"/>
    <w:multiLevelType w:val="hybridMultilevel"/>
    <w:tmpl w:val="B2108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93F2F9A"/>
    <w:multiLevelType w:val="hybridMultilevel"/>
    <w:tmpl w:val="EA848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4471D2"/>
    <w:multiLevelType w:val="hybridMultilevel"/>
    <w:tmpl w:val="B8229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BCD379D"/>
    <w:multiLevelType w:val="hybridMultilevel"/>
    <w:tmpl w:val="9D5E8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4915FE"/>
    <w:multiLevelType w:val="hybridMultilevel"/>
    <w:tmpl w:val="03288832"/>
    <w:lvl w:ilvl="0" w:tplc="0C090005">
      <w:start w:val="1"/>
      <w:numFmt w:val="bullet"/>
      <w:lvlText w:val=""/>
      <w:lvlJc w:val="left"/>
      <w:pPr>
        <w:tabs>
          <w:tab w:val="num" w:pos="360"/>
        </w:tabs>
        <w:ind w:left="360" w:hanging="360"/>
      </w:pPr>
      <w:rPr>
        <w:rFonts w:ascii="Wingdings" w:hAnsi="Wingdings" w:hint="default"/>
      </w:rPr>
    </w:lvl>
    <w:lvl w:ilvl="1" w:tplc="0C09000F">
      <w:start w:val="1"/>
      <w:numFmt w:val="decimal"/>
      <w:lvlText w:val="%2."/>
      <w:lvlJc w:val="left"/>
      <w:pPr>
        <w:tabs>
          <w:tab w:val="num" w:pos="1080"/>
        </w:tabs>
        <w:ind w:left="1080" w:hanging="360"/>
      </w:pPr>
      <w:rPr>
        <w:rFonts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552F3483"/>
    <w:multiLevelType w:val="hybridMultilevel"/>
    <w:tmpl w:val="95ECE45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nsid w:val="57077BE0"/>
    <w:multiLevelType w:val="hybridMultilevel"/>
    <w:tmpl w:val="0D6C51BE"/>
    <w:lvl w:ilvl="0" w:tplc="0C090001">
      <w:start w:val="1"/>
      <w:numFmt w:val="bullet"/>
      <w:lvlText w:val=""/>
      <w:lvlJc w:val="left"/>
      <w:pPr>
        <w:ind w:left="1449" w:hanging="360"/>
      </w:pPr>
      <w:rPr>
        <w:rFonts w:ascii="Symbol" w:hAnsi="Symbol" w:hint="default"/>
      </w:rPr>
    </w:lvl>
    <w:lvl w:ilvl="1" w:tplc="0C090003" w:tentative="1">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1">
    <w:nsid w:val="59EA3494"/>
    <w:multiLevelType w:val="hybridMultilevel"/>
    <w:tmpl w:val="E2B4D8E8"/>
    <w:lvl w:ilvl="0" w:tplc="B6B0259E">
      <w:start w:val="1"/>
      <w:numFmt w:val="bullet"/>
      <w:pStyle w:val="SubSubBullet"/>
      <w:lvlText w:val=""/>
      <w:lvlJc w:val="left"/>
      <w:pPr>
        <w:tabs>
          <w:tab w:val="num" w:pos="1090"/>
        </w:tabs>
        <w:ind w:left="1090" w:hanging="360"/>
      </w:pPr>
      <w:rPr>
        <w:rFonts w:ascii="Symbol" w:hAnsi="Symbol" w:hint="default"/>
      </w:rPr>
    </w:lvl>
    <w:lvl w:ilvl="1" w:tplc="0C090003" w:tentative="1">
      <w:start w:val="1"/>
      <w:numFmt w:val="bullet"/>
      <w:lvlText w:val="o"/>
      <w:lvlJc w:val="left"/>
      <w:pPr>
        <w:tabs>
          <w:tab w:val="num" w:pos="1810"/>
        </w:tabs>
        <w:ind w:left="1810" w:hanging="360"/>
      </w:pPr>
      <w:rPr>
        <w:rFonts w:ascii="Courier New" w:hAnsi="Courier New" w:cs="Courier New" w:hint="default"/>
      </w:rPr>
    </w:lvl>
    <w:lvl w:ilvl="2" w:tplc="0C090005" w:tentative="1">
      <w:start w:val="1"/>
      <w:numFmt w:val="bullet"/>
      <w:lvlText w:val=""/>
      <w:lvlJc w:val="left"/>
      <w:pPr>
        <w:tabs>
          <w:tab w:val="num" w:pos="2530"/>
        </w:tabs>
        <w:ind w:left="2530" w:hanging="360"/>
      </w:pPr>
      <w:rPr>
        <w:rFonts w:ascii="Wingdings" w:hAnsi="Wingdings" w:hint="default"/>
      </w:rPr>
    </w:lvl>
    <w:lvl w:ilvl="3" w:tplc="0C090001" w:tentative="1">
      <w:start w:val="1"/>
      <w:numFmt w:val="bullet"/>
      <w:lvlText w:val=""/>
      <w:lvlJc w:val="left"/>
      <w:pPr>
        <w:tabs>
          <w:tab w:val="num" w:pos="3250"/>
        </w:tabs>
        <w:ind w:left="3250" w:hanging="360"/>
      </w:pPr>
      <w:rPr>
        <w:rFonts w:ascii="Symbol" w:hAnsi="Symbol" w:hint="default"/>
      </w:rPr>
    </w:lvl>
    <w:lvl w:ilvl="4" w:tplc="0C090003" w:tentative="1">
      <w:start w:val="1"/>
      <w:numFmt w:val="bullet"/>
      <w:lvlText w:val="o"/>
      <w:lvlJc w:val="left"/>
      <w:pPr>
        <w:tabs>
          <w:tab w:val="num" w:pos="3970"/>
        </w:tabs>
        <w:ind w:left="3970" w:hanging="360"/>
      </w:pPr>
      <w:rPr>
        <w:rFonts w:ascii="Courier New" w:hAnsi="Courier New" w:cs="Courier New" w:hint="default"/>
      </w:rPr>
    </w:lvl>
    <w:lvl w:ilvl="5" w:tplc="0C090005" w:tentative="1">
      <w:start w:val="1"/>
      <w:numFmt w:val="bullet"/>
      <w:lvlText w:val=""/>
      <w:lvlJc w:val="left"/>
      <w:pPr>
        <w:tabs>
          <w:tab w:val="num" w:pos="4690"/>
        </w:tabs>
        <w:ind w:left="4690" w:hanging="360"/>
      </w:pPr>
      <w:rPr>
        <w:rFonts w:ascii="Wingdings" w:hAnsi="Wingdings" w:hint="default"/>
      </w:rPr>
    </w:lvl>
    <w:lvl w:ilvl="6" w:tplc="0C090001" w:tentative="1">
      <w:start w:val="1"/>
      <w:numFmt w:val="bullet"/>
      <w:lvlText w:val=""/>
      <w:lvlJc w:val="left"/>
      <w:pPr>
        <w:tabs>
          <w:tab w:val="num" w:pos="5410"/>
        </w:tabs>
        <w:ind w:left="5410" w:hanging="360"/>
      </w:pPr>
      <w:rPr>
        <w:rFonts w:ascii="Symbol" w:hAnsi="Symbol" w:hint="default"/>
      </w:rPr>
    </w:lvl>
    <w:lvl w:ilvl="7" w:tplc="0C090003" w:tentative="1">
      <w:start w:val="1"/>
      <w:numFmt w:val="bullet"/>
      <w:lvlText w:val="o"/>
      <w:lvlJc w:val="left"/>
      <w:pPr>
        <w:tabs>
          <w:tab w:val="num" w:pos="6130"/>
        </w:tabs>
        <w:ind w:left="6130" w:hanging="360"/>
      </w:pPr>
      <w:rPr>
        <w:rFonts w:ascii="Courier New" w:hAnsi="Courier New" w:cs="Courier New" w:hint="default"/>
      </w:rPr>
    </w:lvl>
    <w:lvl w:ilvl="8" w:tplc="0C090005" w:tentative="1">
      <w:start w:val="1"/>
      <w:numFmt w:val="bullet"/>
      <w:lvlText w:val=""/>
      <w:lvlJc w:val="left"/>
      <w:pPr>
        <w:tabs>
          <w:tab w:val="num" w:pos="6850"/>
        </w:tabs>
        <w:ind w:left="6850" w:hanging="360"/>
      </w:pPr>
      <w:rPr>
        <w:rFonts w:ascii="Wingdings" w:hAnsi="Wingdings" w:hint="default"/>
      </w:rPr>
    </w:lvl>
  </w:abstractNum>
  <w:abstractNum w:abstractNumId="32">
    <w:nsid w:val="5BA92CD8"/>
    <w:multiLevelType w:val="hybridMultilevel"/>
    <w:tmpl w:val="B0764420"/>
    <w:lvl w:ilvl="0" w:tplc="E312B920">
      <w:start w:val="8"/>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5D416031"/>
    <w:multiLevelType w:val="hybridMultilevel"/>
    <w:tmpl w:val="99D614A8"/>
    <w:lvl w:ilvl="0" w:tplc="8F4CC2B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604E5525"/>
    <w:multiLevelType w:val="hybridMultilevel"/>
    <w:tmpl w:val="F056B008"/>
    <w:lvl w:ilvl="0" w:tplc="0C090005">
      <w:start w:val="1"/>
      <w:numFmt w:val="bullet"/>
      <w:lvlText w:val=""/>
      <w:lvlJc w:val="left"/>
      <w:pPr>
        <w:tabs>
          <w:tab w:val="num" w:pos="720"/>
        </w:tabs>
        <w:ind w:left="720" w:hanging="360"/>
      </w:pPr>
      <w:rPr>
        <w:rFonts w:ascii="Wingdings" w:hAnsi="Wingdings" w:hint="default"/>
      </w:rPr>
    </w:lvl>
    <w:lvl w:ilvl="1" w:tplc="0C090019">
      <w:start w:val="1"/>
      <w:numFmt w:val="lowerLetter"/>
      <w:lvlText w:val="%2."/>
      <w:lvlJc w:val="left"/>
      <w:pPr>
        <w:tabs>
          <w:tab w:val="num" w:pos="1440"/>
        </w:tabs>
        <w:ind w:left="1440" w:hanging="360"/>
      </w:pPr>
      <w:rPr>
        <w:rFont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0B72057"/>
    <w:multiLevelType w:val="hybridMultilevel"/>
    <w:tmpl w:val="D0B09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5B5EE3"/>
    <w:multiLevelType w:val="hybridMultilevel"/>
    <w:tmpl w:val="73026FDE"/>
    <w:lvl w:ilvl="0" w:tplc="0C090005">
      <w:start w:val="1"/>
      <w:numFmt w:val="bullet"/>
      <w:lvlText w:val=""/>
      <w:lvlJc w:val="left"/>
      <w:pPr>
        <w:tabs>
          <w:tab w:val="num" w:pos="360"/>
        </w:tabs>
        <w:ind w:left="360" w:hanging="360"/>
      </w:pPr>
      <w:rPr>
        <w:rFonts w:ascii="Wingdings" w:hAnsi="Wingdings" w:hint="default"/>
      </w:rPr>
    </w:lvl>
    <w:lvl w:ilvl="1" w:tplc="0C090019">
      <w:start w:val="1"/>
      <w:numFmt w:val="lowerLetter"/>
      <w:lvlText w:val="%2."/>
      <w:lvlJc w:val="left"/>
      <w:pPr>
        <w:tabs>
          <w:tab w:val="num" w:pos="1080"/>
        </w:tabs>
        <w:ind w:left="1080" w:hanging="360"/>
      </w:pPr>
      <w:rPr>
        <w:rFonts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nsid w:val="6BD92587"/>
    <w:multiLevelType w:val="hybridMultilevel"/>
    <w:tmpl w:val="EB5018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0524A6B"/>
    <w:multiLevelType w:val="hybridMultilevel"/>
    <w:tmpl w:val="7AF6A792"/>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alibri"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alibri"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alibri"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nsid w:val="71EC2ACA"/>
    <w:multiLevelType w:val="hybridMultilevel"/>
    <w:tmpl w:val="356609D6"/>
    <w:lvl w:ilvl="0" w:tplc="CE5C2DEA">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E1428B0"/>
    <w:multiLevelType w:val="hybridMultilevel"/>
    <w:tmpl w:val="63C03EA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31"/>
  </w:num>
  <w:num w:numId="3">
    <w:abstractNumId w:val="6"/>
  </w:num>
  <w:num w:numId="4">
    <w:abstractNumId w:val="12"/>
  </w:num>
  <w:num w:numId="5">
    <w:abstractNumId w:val="37"/>
  </w:num>
  <w:num w:numId="6">
    <w:abstractNumId w:val="15"/>
  </w:num>
  <w:num w:numId="7">
    <w:abstractNumId w:val="28"/>
  </w:num>
  <w:num w:numId="8">
    <w:abstractNumId w:val="22"/>
  </w:num>
  <w:num w:numId="9">
    <w:abstractNumId w:val="14"/>
  </w:num>
  <w:num w:numId="10">
    <w:abstractNumId w:val="36"/>
  </w:num>
  <w:num w:numId="11">
    <w:abstractNumId w:val="40"/>
  </w:num>
  <w:num w:numId="12">
    <w:abstractNumId w:val="13"/>
  </w:num>
  <w:num w:numId="13">
    <w:abstractNumId w:val="17"/>
  </w:num>
  <w:num w:numId="14">
    <w:abstractNumId w:val="34"/>
    <w:lvlOverride w:ilvl="0"/>
    <w:lvlOverride w:ilvl="1">
      <w:startOverride w:val="1"/>
    </w:lvlOverride>
    <w:lvlOverride w:ilvl="2"/>
    <w:lvlOverride w:ilvl="3"/>
    <w:lvlOverride w:ilvl="4"/>
    <w:lvlOverride w:ilvl="5"/>
    <w:lvlOverride w:ilvl="6"/>
    <w:lvlOverride w:ilvl="7"/>
    <w:lvlOverride w:ilvl="8"/>
  </w:num>
  <w:num w:numId="15">
    <w:abstractNumId w:val="16"/>
  </w:num>
  <w:num w:numId="16">
    <w:abstractNumId w:val="0"/>
    <w:lvlOverride w:ilvl="0"/>
    <w:lvlOverride w:ilvl="1">
      <w:startOverride w:val="1"/>
    </w:lvlOverride>
    <w:lvlOverride w:ilvl="2"/>
    <w:lvlOverride w:ilvl="3"/>
    <w:lvlOverride w:ilvl="4"/>
    <w:lvlOverride w:ilvl="5"/>
    <w:lvlOverride w:ilvl="6"/>
    <w:lvlOverride w:ilvl="7"/>
    <w:lvlOverride w:ilvl="8"/>
  </w:num>
  <w:num w:numId="17">
    <w:abstractNumId w:val="10"/>
  </w:num>
  <w:num w:numId="18">
    <w:abstractNumId w:val="29"/>
  </w:num>
  <w:num w:numId="19">
    <w:abstractNumId w:val="38"/>
  </w:num>
  <w:num w:numId="20">
    <w:abstractNumId w:val="19"/>
  </w:num>
  <w:num w:numId="21">
    <w:abstractNumId w:val="0"/>
  </w:num>
  <w:num w:numId="22">
    <w:abstractNumId w:val="24"/>
  </w:num>
  <w:num w:numId="23">
    <w:abstractNumId w:val="21"/>
  </w:num>
  <w:num w:numId="24">
    <w:abstractNumId w:val="18"/>
  </w:num>
  <w:num w:numId="25">
    <w:abstractNumId w:val="5"/>
  </w:num>
  <w:num w:numId="26">
    <w:abstractNumId w:val="9"/>
  </w:num>
  <w:num w:numId="27">
    <w:abstractNumId w:val="27"/>
  </w:num>
  <w:num w:numId="28">
    <w:abstractNumId w:val="23"/>
  </w:num>
  <w:num w:numId="29">
    <w:abstractNumId w:val="33"/>
  </w:num>
  <w:num w:numId="30">
    <w:abstractNumId w:val="25"/>
  </w:num>
  <w:num w:numId="31">
    <w:abstractNumId w:val="20"/>
  </w:num>
  <w:num w:numId="32">
    <w:abstractNumId w:val="8"/>
  </w:num>
  <w:num w:numId="33">
    <w:abstractNumId w:val="39"/>
  </w:num>
  <w:num w:numId="34">
    <w:abstractNumId w:val="19"/>
  </w:num>
  <w:num w:numId="35">
    <w:abstractNumId w:val="19"/>
  </w:num>
  <w:num w:numId="36">
    <w:abstractNumId w:val="4"/>
  </w:num>
  <w:num w:numId="37">
    <w:abstractNumId w:val="1"/>
  </w:num>
  <w:num w:numId="38">
    <w:abstractNumId w:val="3"/>
  </w:num>
  <w:num w:numId="39">
    <w:abstractNumId w:val="30"/>
  </w:num>
  <w:num w:numId="40">
    <w:abstractNumId w:val="35"/>
  </w:num>
  <w:num w:numId="41">
    <w:abstractNumId w:val="7"/>
  </w:num>
  <w:num w:numId="42">
    <w:abstractNumId w:val="32"/>
  </w:num>
  <w:num w:numId="43">
    <w:abstractNumId w:val="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A4"/>
    <w:rsid w:val="00002E68"/>
    <w:rsid w:val="000052FE"/>
    <w:rsid w:val="000125D1"/>
    <w:rsid w:val="00015017"/>
    <w:rsid w:val="00030BF0"/>
    <w:rsid w:val="00033446"/>
    <w:rsid w:val="00044F91"/>
    <w:rsid w:val="000534BE"/>
    <w:rsid w:val="000615C6"/>
    <w:rsid w:val="0006603D"/>
    <w:rsid w:val="00067A1A"/>
    <w:rsid w:val="0007034A"/>
    <w:rsid w:val="000751F4"/>
    <w:rsid w:val="00080AB9"/>
    <w:rsid w:val="00081E6E"/>
    <w:rsid w:val="000864AD"/>
    <w:rsid w:val="00087B53"/>
    <w:rsid w:val="000945D6"/>
    <w:rsid w:val="00096519"/>
    <w:rsid w:val="000A0A24"/>
    <w:rsid w:val="000A12B4"/>
    <w:rsid w:val="000A1C0F"/>
    <w:rsid w:val="000A53A8"/>
    <w:rsid w:val="000A592E"/>
    <w:rsid w:val="000B1D7C"/>
    <w:rsid w:val="000B2039"/>
    <w:rsid w:val="000C3311"/>
    <w:rsid w:val="000C5185"/>
    <w:rsid w:val="000D0358"/>
    <w:rsid w:val="000D7F17"/>
    <w:rsid w:val="000E3F0C"/>
    <w:rsid w:val="000E52DC"/>
    <w:rsid w:val="000E56AF"/>
    <w:rsid w:val="000F7D53"/>
    <w:rsid w:val="001048B0"/>
    <w:rsid w:val="00105F4E"/>
    <w:rsid w:val="001066E0"/>
    <w:rsid w:val="00110817"/>
    <w:rsid w:val="00120421"/>
    <w:rsid w:val="00120CCD"/>
    <w:rsid w:val="0012785D"/>
    <w:rsid w:val="0013131F"/>
    <w:rsid w:val="00136C2D"/>
    <w:rsid w:val="00143124"/>
    <w:rsid w:val="00146FC9"/>
    <w:rsid w:val="00151AFE"/>
    <w:rsid w:val="00157448"/>
    <w:rsid w:val="001576F4"/>
    <w:rsid w:val="00161BDF"/>
    <w:rsid w:val="00165373"/>
    <w:rsid w:val="00166AFB"/>
    <w:rsid w:val="00174BDD"/>
    <w:rsid w:val="0018292D"/>
    <w:rsid w:val="001964A5"/>
    <w:rsid w:val="00197358"/>
    <w:rsid w:val="00197403"/>
    <w:rsid w:val="001B5160"/>
    <w:rsid w:val="001C1B90"/>
    <w:rsid w:val="001C3A58"/>
    <w:rsid w:val="001C5976"/>
    <w:rsid w:val="001D05E0"/>
    <w:rsid w:val="001D1517"/>
    <w:rsid w:val="001D7BD2"/>
    <w:rsid w:val="001E1E56"/>
    <w:rsid w:val="001E5AB6"/>
    <w:rsid w:val="001E630D"/>
    <w:rsid w:val="001E6341"/>
    <w:rsid w:val="001F0749"/>
    <w:rsid w:val="001F17C6"/>
    <w:rsid w:val="001F204E"/>
    <w:rsid w:val="001F4C19"/>
    <w:rsid w:val="001F7DE4"/>
    <w:rsid w:val="00201082"/>
    <w:rsid w:val="002242E6"/>
    <w:rsid w:val="0022455E"/>
    <w:rsid w:val="002304AF"/>
    <w:rsid w:val="00233329"/>
    <w:rsid w:val="002350C2"/>
    <w:rsid w:val="00235379"/>
    <w:rsid w:val="00241B11"/>
    <w:rsid w:val="002445FD"/>
    <w:rsid w:val="00247A0E"/>
    <w:rsid w:val="002537E9"/>
    <w:rsid w:val="00255E27"/>
    <w:rsid w:val="00260C81"/>
    <w:rsid w:val="00267BE5"/>
    <w:rsid w:val="00276285"/>
    <w:rsid w:val="0027722A"/>
    <w:rsid w:val="00285511"/>
    <w:rsid w:val="002964F8"/>
    <w:rsid w:val="00296A48"/>
    <w:rsid w:val="002A4FC2"/>
    <w:rsid w:val="002A556D"/>
    <w:rsid w:val="002B7148"/>
    <w:rsid w:val="002C11D9"/>
    <w:rsid w:val="002C3531"/>
    <w:rsid w:val="002E0E1D"/>
    <w:rsid w:val="002F0ABA"/>
    <w:rsid w:val="002F28C3"/>
    <w:rsid w:val="002F65DE"/>
    <w:rsid w:val="002F75C9"/>
    <w:rsid w:val="00307D47"/>
    <w:rsid w:val="0031620C"/>
    <w:rsid w:val="0032444B"/>
    <w:rsid w:val="00332686"/>
    <w:rsid w:val="00334F31"/>
    <w:rsid w:val="00337DB5"/>
    <w:rsid w:val="00342C85"/>
    <w:rsid w:val="00347E58"/>
    <w:rsid w:val="003535B7"/>
    <w:rsid w:val="00364B5F"/>
    <w:rsid w:val="003652B4"/>
    <w:rsid w:val="00365F37"/>
    <w:rsid w:val="00371C77"/>
    <w:rsid w:val="003775EA"/>
    <w:rsid w:val="0038167C"/>
    <w:rsid w:val="003863D1"/>
    <w:rsid w:val="00386903"/>
    <w:rsid w:val="003B1C69"/>
    <w:rsid w:val="003B2BB8"/>
    <w:rsid w:val="003B2E87"/>
    <w:rsid w:val="003C3C44"/>
    <w:rsid w:val="003C65B1"/>
    <w:rsid w:val="003C6BA4"/>
    <w:rsid w:val="003C7431"/>
    <w:rsid w:val="003D0803"/>
    <w:rsid w:val="003D34FF"/>
    <w:rsid w:val="003E57BB"/>
    <w:rsid w:val="003E5A99"/>
    <w:rsid w:val="003E6F16"/>
    <w:rsid w:val="003F11F7"/>
    <w:rsid w:val="003F230F"/>
    <w:rsid w:val="00402B97"/>
    <w:rsid w:val="00405AB3"/>
    <w:rsid w:val="0041216E"/>
    <w:rsid w:val="0042056B"/>
    <w:rsid w:val="0046230A"/>
    <w:rsid w:val="0046623B"/>
    <w:rsid w:val="00481D82"/>
    <w:rsid w:val="00486CFE"/>
    <w:rsid w:val="00490EED"/>
    <w:rsid w:val="004973F6"/>
    <w:rsid w:val="004B54CA"/>
    <w:rsid w:val="004C4C8C"/>
    <w:rsid w:val="004D7165"/>
    <w:rsid w:val="004E5CBF"/>
    <w:rsid w:val="004F5F60"/>
    <w:rsid w:val="004F6201"/>
    <w:rsid w:val="004F700F"/>
    <w:rsid w:val="00503743"/>
    <w:rsid w:val="005039F6"/>
    <w:rsid w:val="00510EE2"/>
    <w:rsid w:val="00514B90"/>
    <w:rsid w:val="0051686F"/>
    <w:rsid w:val="0052626A"/>
    <w:rsid w:val="0055674A"/>
    <w:rsid w:val="00567174"/>
    <w:rsid w:val="00567FBF"/>
    <w:rsid w:val="00571E43"/>
    <w:rsid w:val="0057455F"/>
    <w:rsid w:val="00587160"/>
    <w:rsid w:val="005A06F4"/>
    <w:rsid w:val="005A0A14"/>
    <w:rsid w:val="005A1DB3"/>
    <w:rsid w:val="005A24E9"/>
    <w:rsid w:val="005B65C1"/>
    <w:rsid w:val="005C015D"/>
    <w:rsid w:val="005C3AA9"/>
    <w:rsid w:val="005C5587"/>
    <w:rsid w:val="005D3CF8"/>
    <w:rsid w:val="005D4D86"/>
    <w:rsid w:val="005D4F05"/>
    <w:rsid w:val="005D5AE5"/>
    <w:rsid w:val="005D69B4"/>
    <w:rsid w:val="005E20B7"/>
    <w:rsid w:val="005E29EE"/>
    <w:rsid w:val="005E5732"/>
    <w:rsid w:val="005E7DF0"/>
    <w:rsid w:val="005F1F3E"/>
    <w:rsid w:val="005F5B27"/>
    <w:rsid w:val="00603D97"/>
    <w:rsid w:val="00611553"/>
    <w:rsid w:val="00611DA5"/>
    <w:rsid w:val="0061697C"/>
    <w:rsid w:val="006317CB"/>
    <w:rsid w:val="006405F7"/>
    <w:rsid w:val="00644AB3"/>
    <w:rsid w:val="006510CA"/>
    <w:rsid w:val="006532C0"/>
    <w:rsid w:val="0065368A"/>
    <w:rsid w:val="00667C66"/>
    <w:rsid w:val="0067186E"/>
    <w:rsid w:val="00671ED1"/>
    <w:rsid w:val="00672ADE"/>
    <w:rsid w:val="00682430"/>
    <w:rsid w:val="00690DA0"/>
    <w:rsid w:val="00695759"/>
    <w:rsid w:val="006A3BCC"/>
    <w:rsid w:val="006A4CE7"/>
    <w:rsid w:val="006A5B73"/>
    <w:rsid w:val="006B0B26"/>
    <w:rsid w:val="006C66C2"/>
    <w:rsid w:val="006C7F9C"/>
    <w:rsid w:val="006D331C"/>
    <w:rsid w:val="006D7142"/>
    <w:rsid w:val="006E06D1"/>
    <w:rsid w:val="006E3BBD"/>
    <w:rsid w:val="006E758D"/>
    <w:rsid w:val="006F4B78"/>
    <w:rsid w:val="0070202E"/>
    <w:rsid w:val="00705E4A"/>
    <w:rsid w:val="0070617D"/>
    <w:rsid w:val="007073DC"/>
    <w:rsid w:val="00713996"/>
    <w:rsid w:val="007150A4"/>
    <w:rsid w:val="0071544D"/>
    <w:rsid w:val="00716312"/>
    <w:rsid w:val="00716B4E"/>
    <w:rsid w:val="00716DC3"/>
    <w:rsid w:val="00722BD8"/>
    <w:rsid w:val="007249C1"/>
    <w:rsid w:val="00727DA6"/>
    <w:rsid w:val="00731BE4"/>
    <w:rsid w:val="00734094"/>
    <w:rsid w:val="007428EA"/>
    <w:rsid w:val="00743769"/>
    <w:rsid w:val="0074385E"/>
    <w:rsid w:val="007474F9"/>
    <w:rsid w:val="00761A64"/>
    <w:rsid w:val="00762C8F"/>
    <w:rsid w:val="007638FF"/>
    <w:rsid w:val="00764131"/>
    <w:rsid w:val="00770E01"/>
    <w:rsid w:val="00771877"/>
    <w:rsid w:val="00785261"/>
    <w:rsid w:val="00792A1B"/>
    <w:rsid w:val="007A0C07"/>
    <w:rsid w:val="007A1534"/>
    <w:rsid w:val="007A7189"/>
    <w:rsid w:val="007B0256"/>
    <w:rsid w:val="007B3BF0"/>
    <w:rsid w:val="007B506C"/>
    <w:rsid w:val="007B6D09"/>
    <w:rsid w:val="007C0778"/>
    <w:rsid w:val="007C218C"/>
    <w:rsid w:val="007C597E"/>
    <w:rsid w:val="007C6482"/>
    <w:rsid w:val="007D2354"/>
    <w:rsid w:val="007D304D"/>
    <w:rsid w:val="007D58C5"/>
    <w:rsid w:val="007E332F"/>
    <w:rsid w:val="007E4F49"/>
    <w:rsid w:val="007E5664"/>
    <w:rsid w:val="007E75BB"/>
    <w:rsid w:val="007F65A0"/>
    <w:rsid w:val="007F6AF4"/>
    <w:rsid w:val="00802022"/>
    <w:rsid w:val="00803C31"/>
    <w:rsid w:val="0081033E"/>
    <w:rsid w:val="0081372F"/>
    <w:rsid w:val="00814017"/>
    <w:rsid w:val="008176CF"/>
    <w:rsid w:val="00827580"/>
    <w:rsid w:val="00832EF3"/>
    <w:rsid w:val="00840688"/>
    <w:rsid w:val="008430DA"/>
    <w:rsid w:val="00853AE8"/>
    <w:rsid w:val="00853B62"/>
    <w:rsid w:val="00856A31"/>
    <w:rsid w:val="00857868"/>
    <w:rsid w:val="00877763"/>
    <w:rsid w:val="00882605"/>
    <w:rsid w:val="00887F3C"/>
    <w:rsid w:val="008A3CB8"/>
    <w:rsid w:val="008A7230"/>
    <w:rsid w:val="008C022E"/>
    <w:rsid w:val="008C0612"/>
    <w:rsid w:val="008C3BA4"/>
    <w:rsid w:val="008C6514"/>
    <w:rsid w:val="008E2050"/>
    <w:rsid w:val="008E46BD"/>
    <w:rsid w:val="008E47FD"/>
    <w:rsid w:val="008E64C7"/>
    <w:rsid w:val="008E7708"/>
    <w:rsid w:val="008F4F7E"/>
    <w:rsid w:val="008F618B"/>
    <w:rsid w:val="0090425C"/>
    <w:rsid w:val="009202CA"/>
    <w:rsid w:val="009212B0"/>
    <w:rsid w:val="00921497"/>
    <w:rsid w:val="009225F0"/>
    <w:rsid w:val="009242A1"/>
    <w:rsid w:val="009360B4"/>
    <w:rsid w:val="009469F4"/>
    <w:rsid w:val="00954803"/>
    <w:rsid w:val="00967FFD"/>
    <w:rsid w:val="00973C7D"/>
    <w:rsid w:val="0098504A"/>
    <w:rsid w:val="00992A15"/>
    <w:rsid w:val="00992FBC"/>
    <w:rsid w:val="009A6664"/>
    <w:rsid w:val="009A7764"/>
    <w:rsid w:val="009B3E25"/>
    <w:rsid w:val="009B5ADA"/>
    <w:rsid w:val="009C0E54"/>
    <w:rsid w:val="009C19B2"/>
    <w:rsid w:val="009D2F3F"/>
    <w:rsid w:val="009E13AA"/>
    <w:rsid w:val="009E64C8"/>
    <w:rsid w:val="009F1CD2"/>
    <w:rsid w:val="00A13259"/>
    <w:rsid w:val="00A14B6D"/>
    <w:rsid w:val="00A16B48"/>
    <w:rsid w:val="00A17424"/>
    <w:rsid w:val="00A2179B"/>
    <w:rsid w:val="00A25F40"/>
    <w:rsid w:val="00A264DA"/>
    <w:rsid w:val="00A276F5"/>
    <w:rsid w:val="00A34A93"/>
    <w:rsid w:val="00A40F3A"/>
    <w:rsid w:val="00A5129E"/>
    <w:rsid w:val="00A60C09"/>
    <w:rsid w:val="00A61525"/>
    <w:rsid w:val="00A65AEF"/>
    <w:rsid w:val="00A67398"/>
    <w:rsid w:val="00A71C3B"/>
    <w:rsid w:val="00A761E5"/>
    <w:rsid w:val="00A826AB"/>
    <w:rsid w:val="00A91ACA"/>
    <w:rsid w:val="00A929AC"/>
    <w:rsid w:val="00A95524"/>
    <w:rsid w:val="00A955C7"/>
    <w:rsid w:val="00AA2C13"/>
    <w:rsid w:val="00AA2E9F"/>
    <w:rsid w:val="00AB07DB"/>
    <w:rsid w:val="00AB2AA1"/>
    <w:rsid w:val="00AB78E0"/>
    <w:rsid w:val="00AC45C8"/>
    <w:rsid w:val="00AC5F9D"/>
    <w:rsid w:val="00AD2B85"/>
    <w:rsid w:val="00AD4B4A"/>
    <w:rsid w:val="00AE2BC0"/>
    <w:rsid w:val="00AE2E50"/>
    <w:rsid w:val="00AF1807"/>
    <w:rsid w:val="00AF2019"/>
    <w:rsid w:val="00B06931"/>
    <w:rsid w:val="00B13829"/>
    <w:rsid w:val="00B149B3"/>
    <w:rsid w:val="00B14EB5"/>
    <w:rsid w:val="00B25B10"/>
    <w:rsid w:val="00B26CC5"/>
    <w:rsid w:val="00B27D86"/>
    <w:rsid w:val="00B402F8"/>
    <w:rsid w:val="00B46D27"/>
    <w:rsid w:val="00B475FB"/>
    <w:rsid w:val="00B50CF2"/>
    <w:rsid w:val="00B52921"/>
    <w:rsid w:val="00B6729C"/>
    <w:rsid w:val="00B86A96"/>
    <w:rsid w:val="00B95A87"/>
    <w:rsid w:val="00B97A00"/>
    <w:rsid w:val="00BA2DB9"/>
    <w:rsid w:val="00BB7DB3"/>
    <w:rsid w:val="00BD0B81"/>
    <w:rsid w:val="00BD2F76"/>
    <w:rsid w:val="00BE5ED4"/>
    <w:rsid w:val="00BE7148"/>
    <w:rsid w:val="00BF31DF"/>
    <w:rsid w:val="00BF37D7"/>
    <w:rsid w:val="00C00A5C"/>
    <w:rsid w:val="00C0169F"/>
    <w:rsid w:val="00C1366A"/>
    <w:rsid w:val="00C13D7A"/>
    <w:rsid w:val="00C13E7E"/>
    <w:rsid w:val="00C141EA"/>
    <w:rsid w:val="00C14F2D"/>
    <w:rsid w:val="00C210DD"/>
    <w:rsid w:val="00C25078"/>
    <w:rsid w:val="00C26965"/>
    <w:rsid w:val="00C26C7C"/>
    <w:rsid w:val="00C35997"/>
    <w:rsid w:val="00C3738E"/>
    <w:rsid w:val="00C47922"/>
    <w:rsid w:val="00C47F61"/>
    <w:rsid w:val="00C55941"/>
    <w:rsid w:val="00C6132C"/>
    <w:rsid w:val="00C623A1"/>
    <w:rsid w:val="00C77A58"/>
    <w:rsid w:val="00C800C9"/>
    <w:rsid w:val="00C84E64"/>
    <w:rsid w:val="00C94B98"/>
    <w:rsid w:val="00C97CED"/>
    <w:rsid w:val="00CA0830"/>
    <w:rsid w:val="00CA3532"/>
    <w:rsid w:val="00CA6E36"/>
    <w:rsid w:val="00CB47DA"/>
    <w:rsid w:val="00CC4BD3"/>
    <w:rsid w:val="00CC66B1"/>
    <w:rsid w:val="00CC77F1"/>
    <w:rsid w:val="00CD66AA"/>
    <w:rsid w:val="00CD75A0"/>
    <w:rsid w:val="00CE334A"/>
    <w:rsid w:val="00CE5165"/>
    <w:rsid w:val="00CF0A47"/>
    <w:rsid w:val="00CF595C"/>
    <w:rsid w:val="00D01FF4"/>
    <w:rsid w:val="00D020B6"/>
    <w:rsid w:val="00D045A6"/>
    <w:rsid w:val="00D05BDD"/>
    <w:rsid w:val="00D05FE7"/>
    <w:rsid w:val="00D07F37"/>
    <w:rsid w:val="00D13203"/>
    <w:rsid w:val="00D137BE"/>
    <w:rsid w:val="00D21908"/>
    <w:rsid w:val="00D260A0"/>
    <w:rsid w:val="00D31C01"/>
    <w:rsid w:val="00D37E1C"/>
    <w:rsid w:val="00D40AD4"/>
    <w:rsid w:val="00D46FD2"/>
    <w:rsid w:val="00D47A22"/>
    <w:rsid w:val="00D60827"/>
    <w:rsid w:val="00D60AC2"/>
    <w:rsid w:val="00D72093"/>
    <w:rsid w:val="00D7300D"/>
    <w:rsid w:val="00D732E2"/>
    <w:rsid w:val="00D8156B"/>
    <w:rsid w:val="00D91C66"/>
    <w:rsid w:val="00DA16F6"/>
    <w:rsid w:val="00DB2D1E"/>
    <w:rsid w:val="00DC7F79"/>
    <w:rsid w:val="00DD068E"/>
    <w:rsid w:val="00DE299E"/>
    <w:rsid w:val="00DF7972"/>
    <w:rsid w:val="00E007C6"/>
    <w:rsid w:val="00E03BB1"/>
    <w:rsid w:val="00E1792D"/>
    <w:rsid w:val="00E213CB"/>
    <w:rsid w:val="00E240DE"/>
    <w:rsid w:val="00E25854"/>
    <w:rsid w:val="00E3006C"/>
    <w:rsid w:val="00E3494C"/>
    <w:rsid w:val="00E351F9"/>
    <w:rsid w:val="00E40E6B"/>
    <w:rsid w:val="00E45100"/>
    <w:rsid w:val="00E47CA8"/>
    <w:rsid w:val="00E50B58"/>
    <w:rsid w:val="00E54DAD"/>
    <w:rsid w:val="00E56D96"/>
    <w:rsid w:val="00E60236"/>
    <w:rsid w:val="00E60C79"/>
    <w:rsid w:val="00E63E72"/>
    <w:rsid w:val="00E6527F"/>
    <w:rsid w:val="00E654DA"/>
    <w:rsid w:val="00E71AFF"/>
    <w:rsid w:val="00E867AC"/>
    <w:rsid w:val="00E86C82"/>
    <w:rsid w:val="00E8743D"/>
    <w:rsid w:val="00E966B8"/>
    <w:rsid w:val="00EA1E01"/>
    <w:rsid w:val="00EA43C0"/>
    <w:rsid w:val="00EB138A"/>
    <w:rsid w:val="00EB23AA"/>
    <w:rsid w:val="00ED38C4"/>
    <w:rsid w:val="00ED50BE"/>
    <w:rsid w:val="00ED52DB"/>
    <w:rsid w:val="00ED6E46"/>
    <w:rsid w:val="00EE095D"/>
    <w:rsid w:val="00EE4ED9"/>
    <w:rsid w:val="00EE5D67"/>
    <w:rsid w:val="00F15C3B"/>
    <w:rsid w:val="00F201B5"/>
    <w:rsid w:val="00F21507"/>
    <w:rsid w:val="00F26B3C"/>
    <w:rsid w:val="00F44AC6"/>
    <w:rsid w:val="00F47688"/>
    <w:rsid w:val="00F51CD3"/>
    <w:rsid w:val="00F61CD8"/>
    <w:rsid w:val="00F70603"/>
    <w:rsid w:val="00F77A3B"/>
    <w:rsid w:val="00F87C8F"/>
    <w:rsid w:val="00F904A5"/>
    <w:rsid w:val="00FA01F8"/>
    <w:rsid w:val="00FA0E1B"/>
    <w:rsid w:val="00FA2092"/>
    <w:rsid w:val="00FC363E"/>
    <w:rsid w:val="00FC5222"/>
    <w:rsid w:val="00FC57B9"/>
    <w:rsid w:val="00FC7F07"/>
    <w:rsid w:val="00FD1908"/>
    <w:rsid w:val="00FD269A"/>
    <w:rsid w:val="00FD2E78"/>
    <w:rsid w:val="00FD42CE"/>
    <w:rsid w:val="00FE717C"/>
    <w:rsid w:val="00FF57D1"/>
    <w:rsid w:val="00FF75E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3D"/>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SubBullet">
    <w:name w:val="Sub Sub Bullet"/>
    <w:basedOn w:val="Normal"/>
    <w:rsid w:val="003D0803"/>
    <w:pPr>
      <w:numPr>
        <w:numId w:val="2"/>
      </w:numPr>
      <w:tabs>
        <w:tab w:val="clear" w:pos="1090"/>
      </w:tabs>
      <w:autoSpaceDE w:val="0"/>
      <w:autoSpaceDN w:val="0"/>
      <w:adjustRightInd w:val="0"/>
      <w:spacing w:before="120" w:after="0" w:line="240" w:lineRule="auto"/>
      <w:ind w:left="1843"/>
      <w:jc w:val="both"/>
    </w:pPr>
    <w:rPr>
      <w:rFonts w:ascii="Verdana" w:eastAsia="Times New Roman" w:hAnsi="Verdana" w:cs="Verdana"/>
      <w:sz w:val="20"/>
      <w:szCs w:val="20"/>
    </w:rPr>
  </w:style>
  <w:style w:type="character" w:styleId="Hyperlink">
    <w:name w:val="Hyperlink"/>
    <w:basedOn w:val="DefaultParagraphFont"/>
    <w:rsid w:val="00B13829"/>
    <w:rPr>
      <w:color w:val="0000FF"/>
      <w:u w:val="single"/>
    </w:rPr>
  </w:style>
  <w:style w:type="paragraph" w:styleId="Header">
    <w:name w:val="header"/>
    <w:basedOn w:val="Normal"/>
    <w:link w:val="HeaderChar"/>
    <w:uiPriority w:val="99"/>
    <w:unhideWhenUsed/>
    <w:rsid w:val="00307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47"/>
    <w:rPr>
      <w:rFonts w:ascii="Arial" w:hAnsi="Arial"/>
    </w:rPr>
  </w:style>
  <w:style w:type="paragraph" w:styleId="Footer">
    <w:name w:val="footer"/>
    <w:basedOn w:val="Normal"/>
    <w:link w:val="FooterChar"/>
    <w:uiPriority w:val="99"/>
    <w:unhideWhenUsed/>
    <w:rsid w:val="00307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47"/>
    <w:rPr>
      <w:rFonts w:ascii="Arial" w:hAnsi="Arial"/>
    </w:rPr>
  </w:style>
  <w:style w:type="paragraph" w:customStyle="1" w:styleId="NSDSbodytext">
    <w:name w:val="NSDS body text"/>
    <w:basedOn w:val="Normal"/>
    <w:next w:val="Normal"/>
    <w:uiPriority w:val="99"/>
    <w:rsid w:val="00853B62"/>
    <w:pPr>
      <w:autoSpaceDE w:val="0"/>
      <w:autoSpaceDN w:val="0"/>
      <w:adjustRightInd w:val="0"/>
      <w:spacing w:after="120"/>
    </w:pPr>
    <w:rPr>
      <w:rFonts w:eastAsia="Calibri" w:cs="Calibri"/>
      <w:bCs/>
      <w:color w:val="262626"/>
      <w:sz w:val="24"/>
      <w:szCs w:val="24"/>
      <w:lang w:eastAsia="en-AU"/>
    </w:rPr>
  </w:style>
  <w:style w:type="paragraph" w:customStyle="1" w:styleId="NSDSSubheading">
    <w:name w:val="NSDS Sub heading"/>
    <w:basedOn w:val="Normal"/>
    <w:uiPriority w:val="99"/>
    <w:rsid w:val="00C26965"/>
    <w:pPr>
      <w:spacing w:before="600" w:after="120"/>
      <w:jc w:val="both"/>
    </w:pPr>
    <w:rPr>
      <w:rFonts w:eastAsia="Calibri" w:cs="Arial"/>
      <w:color w:val="262626"/>
      <w:sz w:val="36"/>
      <w:szCs w:val="36"/>
      <w:lang w:eastAsia="en-AU"/>
    </w:rPr>
  </w:style>
  <w:style w:type="paragraph" w:customStyle="1" w:styleId="NSDSSubheading3">
    <w:name w:val="NSDS Sub heading 3"/>
    <w:basedOn w:val="Normal"/>
    <w:uiPriority w:val="99"/>
    <w:rsid w:val="00C26965"/>
    <w:pPr>
      <w:autoSpaceDE w:val="0"/>
      <w:autoSpaceDN w:val="0"/>
      <w:adjustRightInd w:val="0"/>
      <w:spacing w:before="240" w:after="120" w:line="240" w:lineRule="auto"/>
      <w:jc w:val="both"/>
    </w:pPr>
    <w:rPr>
      <w:rFonts w:eastAsia="Calibri" w:cs="Arial"/>
      <w:b/>
      <w:bCs/>
      <w:color w:val="262626"/>
      <w:sz w:val="24"/>
      <w:szCs w:val="24"/>
      <w:lang w:eastAsia="en-AU"/>
    </w:rPr>
  </w:style>
  <w:style w:type="paragraph" w:customStyle="1" w:styleId="NSDSDotpoints">
    <w:name w:val="NSDS Dot points"/>
    <w:basedOn w:val="NSDSbodytext"/>
    <w:uiPriority w:val="99"/>
    <w:rsid w:val="00C26965"/>
    <w:pPr>
      <w:numPr>
        <w:numId w:val="20"/>
      </w:numPr>
      <w:spacing w:after="60" w:line="240" w:lineRule="auto"/>
    </w:pPr>
  </w:style>
  <w:style w:type="paragraph" w:styleId="BalloonText">
    <w:name w:val="Balloon Text"/>
    <w:basedOn w:val="Normal"/>
    <w:link w:val="BalloonTextChar"/>
    <w:uiPriority w:val="99"/>
    <w:semiHidden/>
    <w:unhideWhenUsed/>
    <w:rsid w:val="00C26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965"/>
    <w:rPr>
      <w:rFonts w:ascii="Tahoma" w:hAnsi="Tahoma" w:cs="Tahoma"/>
      <w:sz w:val="16"/>
      <w:szCs w:val="16"/>
    </w:rPr>
  </w:style>
  <w:style w:type="paragraph" w:customStyle="1" w:styleId="NSDSrightsoutcomestandard">
    <w:name w:val="NSDS rights outcome standard"/>
    <w:basedOn w:val="Normal"/>
    <w:uiPriority w:val="99"/>
    <w:rsid w:val="00C26965"/>
    <w:pPr>
      <w:autoSpaceDE w:val="0"/>
      <w:autoSpaceDN w:val="0"/>
      <w:adjustRightInd w:val="0"/>
      <w:spacing w:before="240" w:after="120" w:line="240" w:lineRule="auto"/>
      <w:ind w:left="1701"/>
      <w:jc w:val="both"/>
    </w:pPr>
    <w:rPr>
      <w:rFonts w:eastAsia="Calibri" w:cs="Arial"/>
      <w:b/>
      <w:bCs/>
      <w:color w:val="262626"/>
      <w:sz w:val="24"/>
      <w:szCs w:val="24"/>
      <w:lang w:eastAsia="en-AU"/>
    </w:rPr>
  </w:style>
  <w:style w:type="paragraph" w:customStyle="1" w:styleId="NSDSIndicatorsheading">
    <w:name w:val="NSDS Indicators heading"/>
    <w:basedOn w:val="Normal"/>
    <w:uiPriority w:val="99"/>
    <w:rsid w:val="00C26965"/>
    <w:pPr>
      <w:autoSpaceDE w:val="0"/>
      <w:autoSpaceDN w:val="0"/>
      <w:adjustRightInd w:val="0"/>
      <w:spacing w:before="360" w:after="120" w:line="240" w:lineRule="auto"/>
      <w:jc w:val="both"/>
    </w:pPr>
    <w:rPr>
      <w:rFonts w:eastAsia="Calibri" w:cs="Arial"/>
      <w:b/>
      <w:bCs/>
      <w:color w:val="7DCCBF"/>
      <w:sz w:val="24"/>
      <w:szCs w:val="24"/>
      <w:lang w:eastAsia="en-AU"/>
    </w:rPr>
  </w:style>
  <w:style w:type="character" w:styleId="CommentReference">
    <w:name w:val="annotation reference"/>
    <w:basedOn w:val="DefaultParagraphFont"/>
    <w:uiPriority w:val="99"/>
    <w:semiHidden/>
    <w:unhideWhenUsed/>
    <w:rsid w:val="007D58C5"/>
    <w:rPr>
      <w:sz w:val="16"/>
      <w:szCs w:val="16"/>
    </w:rPr>
  </w:style>
  <w:style w:type="paragraph" w:styleId="CommentText">
    <w:name w:val="annotation text"/>
    <w:basedOn w:val="Normal"/>
    <w:link w:val="CommentTextChar"/>
    <w:uiPriority w:val="99"/>
    <w:unhideWhenUsed/>
    <w:rsid w:val="007D58C5"/>
    <w:pPr>
      <w:spacing w:line="240" w:lineRule="auto"/>
    </w:pPr>
    <w:rPr>
      <w:sz w:val="20"/>
      <w:szCs w:val="20"/>
    </w:rPr>
  </w:style>
  <w:style w:type="character" w:customStyle="1" w:styleId="CommentTextChar">
    <w:name w:val="Comment Text Char"/>
    <w:basedOn w:val="DefaultParagraphFont"/>
    <w:link w:val="CommentText"/>
    <w:uiPriority w:val="99"/>
    <w:rsid w:val="007D58C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58C5"/>
    <w:rPr>
      <w:b/>
      <w:bCs/>
    </w:rPr>
  </w:style>
  <w:style w:type="character" w:customStyle="1" w:styleId="CommentSubjectChar">
    <w:name w:val="Comment Subject Char"/>
    <w:basedOn w:val="CommentTextChar"/>
    <w:link w:val="CommentSubject"/>
    <w:uiPriority w:val="99"/>
    <w:semiHidden/>
    <w:rsid w:val="007D58C5"/>
    <w:rPr>
      <w:rFonts w:ascii="Arial" w:hAnsi="Arial"/>
      <w:b/>
      <w:bCs/>
      <w:sz w:val="20"/>
      <w:szCs w:val="20"/>
    </w:rPr>
  </w:style>
  <w:style w:type="character" w:styleId="FollowedHyperlink">
    <w:name w:val="FollowedHyperlink"/>
    <w:basedOn w:val="DefaultParagraphFont"/>
    <w:uiPriority w:val="99"/>
    <w:semiHidden/>
    <w:unhideWhenUsed/>
    <w:rsid w:val="006A3BCC"/>
    <w:rPr>
      <w:color w:val="800080" w:themeColor="followedHyperlink"/>
      <w:u w:val="single"/>
    </w:rPr>
  </w:style>
  <w:style w:type="paragraph" w:styleId="NormalWeb">
    <w:name w:val="Normal (Web)"/>
    <w:basedOn w:val="Normal"/>
    <w:uiPriority w:val="99"/>
    <w:rsid w:val="00A65A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LineNumber">
    <w:name w:val="line number"/>
    <w:basedOn w:val="DefaultParagraphFont"/>
    <w:uiPriority w:val="99"/>
    <w:semiHidden/>
    <w:unhideWhenUsed/>
    <w:rsid w:val="00C210DD"/>
  </w:style>
  <w:style w:type="paragraph" w:styleId="Revision">
    <w:name w:val="Revision"/>
    <w:hidden/>
    <w:uiPriority w:val="99"/>
    <w:semiHidden/>
    <w:rsid w:val="00BD2F76"/>
    <w:pPr>
      <w:spacing w:after="0" w:line="240" w:lineRule="auto"/>
    </w:pPr>
    <w:rPr>
      <w:rFonts w:ascii="Arial" w:hAnsi="Arial"/>
    </w:rPr>
  </w:style>
  <w:style w:type="paragraph" w:styleId="BodyText2">
    <w:name w:val="Body Text 2"/>
    <w:basedOn w:val="Normal"/>
    <w:link w:val="BodyText2Char"/>
    <w:rsid w:val="00CA0830"/>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A0830"/>
    <w:rPr>
      <w:rFonts w:ascii="Times New Roman" w:eastAsia="Times New Roman" w:hAnsi="Times New Roman" w:cs="Times New Roman"/>
      <w:sz w:val="24"/>
      <w:szCs w:val="20"/>
    </w:rPr>
  </w:style>
  <w:style w:type="paragraph" w:customStyle="1" w:styleId="Legislationadministered">
    <w:name w:val="Legislation administered"/>
    <w:basedOn w:val="Normal"/>
    <w:link w:val="LegislationadministeredChar"/>
    <w:qFormat/>
    <w:rsid w:val="00146FC9"/>
    <w:pPr>
      <w:keepLines/>
      <w:tabs>
        <w:tab w:val="left" w:pos="1304"/>
      </w:tabs>
      <w:autoSpaceDE w:val="0"/>
      <w:autoSpaceDN w:val="0"/>
      <w:spacing w:after="0" w:line="240" w:lineRule="auto"/>
      <w:ind w:left="181" w:hanging="181"/>
    </w:pPr>
    <w:rPr>
      <w:rFonts w:ascii="Times New Roman" w:eastAsia="Times New Roman" w:hAnsi="Times New Roman" w:cs="Times New Roman"/>
      <w:i/>
      <w:iCs/>
      <w:sz w:val="26"/>
      <w:szCs w:val="26"/>
      <w:lang w:eastAsia="en-AU"/>
    </w:rPr>
  </w:style>
  <w:style w:type="character" w:customStyle="1" w:styleId="LegislationadministeredChar">
    <w:name w:val="Legislation administered Char"/>
    <w:basedOn w:val="DefaultParagraphFont"/>
    <w:link w:val="Legislationadministered"/>
    <w:locked/>
    <w:rsid w:val="00146FC9"/>
    <w:rPr>
      <w:rFonts w:ascii="Times New Roman" w:eastAsia="Times New Roman" w:hAnsi="Times New Roman" w:cs="Times New Roman"/>
      <w:i/>
      <w:iCs/>
      <w:sz w:val="26"/>
      <w:szCs w:val="26"/>
      <w:lang w:eastAsia="en-AU"/>
    </w:rPr>
  </w:style>
  <w:style w:type="character" w:customStyle="1" w:styleId="lexicon-term">
    <w:name w:val="lexicon-term"/>
    <w:basedOn w:val="DefaultParagraphFont"/>
    <w:rsid w:val="00157448"/>
    <w:rPr>
      <w:strike w:val="0"/>
      <w:dstrike w:val="0"/>
      <w:u w:val="none"/>
      <w:effect w:val="none"/>
    </w:rPr>
  </w:style>
  <w:style w:type="paragraph" w:customStyle="1" w:styleId="Brief-BULLET">
    <w:name w:val="Brief - BULLET"/>
    <w:basedOn w:val="Normal"/>
    <w:rsid w:val="006510CA"/>
    <w:pPr>
      <w:numPr>
        <w:numId w:val="32"/>
      </w:numPr>
      <w:spacing w:after="0" w:line="230" w:lineRule="exact"/>
    </w:pPr>
    <w:rPr>
      <w:rFonts w:ascii="Times New Roman" w:eastAsia="Times New Roman" w:hAnsi="Times New Roman" w:cs="Times New Roman"/>
      <w:szCs w:val="20"/>
    </w:rPr>
  </w:style>
  <w:style w:type="paragraph" w:styleId="BodyText">
    <w:name w:val="Body Text"/>
    <w:basedOn w:val="Normal"/>
    <w:link w:val="BodyTextChar"/>
    <w:uiPriority w:val="99"/>
    <w:unhideWhenUsed/>
    <w:rsid w:val="00853AE8"/>
    <w:pPr>
      <w:spacing w:after="120"/>
    </w:pPr>
  </w:style>
  <w:style w:type="character" w:customStyle="1" w:styleId="BodyTextChar">
    <w:name w:val="Body Text Char"/>
    <w:basedOn w:val="DefaultParagraphFont"/>
    <w:link w:val="BodyText"/>
    <w:uiPriority w:val="99"/>
    <w:rsid w:val="00853AE8"/>
    <w:rPr>
      <w:rFonts w:ascii="Arial" w:hAnsi="Arial"/>
    </w:rPr>
  </w:style>
  <w:style w:type="paragraph" w:styleId="EndnoteText">
    <w:name w:val="endnote text"/>
    <w:basedOn w:val="Normal"/>
    <w:link w:val="EndnoteTextChar"/>
    <w:uiPriority w:val="99"/>
    <w:semiHidden/>
    <w:unhideWhenUsed/>
    <w:rsid w:val="00967F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7FFD"/>
    <w:rPr>
      <w:rFonts w:ascii="Arial" w:hAnsi="Arial"/>
      <w:sz w:val="20"/>
      <w:szCs w:val="20"/>
    </w:rPr>
  </w:style>
  <w:style w:type="character" w:styleId="EndnoteReference">
    <w:name w:val="endnote reference"/>
    <w:basedOn w:val="DefaultParagraphFont"/>
    <w:uiPriority w:val="99"/>
    <w:semiHidden/>
    <w:unhideWhenUsed/>
    <w:rsid w:val="00967FFD"/>
    <w:rPr>
      <w:vertAlign w:val="superscript"/>
    </w:rPr>
  </w:style>
  <w:style w:type="character" w:customStyle="1" w:styleId="SectionTextChar">
    <w:name w:val="Section_Text Char"/>
    <w:link w:val="SectionText"/>
    <w:locked/>
    <w:rsid w:val="006E3BBD"/>
    <w:rPr>
      <w:rFonts w:ascii="Arial" w:hAnsi="Arial" w:cs="Arial"/>
      <w:bCs/>
      <w:sz w:val="24"/>
      <w:szCs w:val="26"/>
    </w:rPr>
  </w:style>
  <w:style w:type="paragraph" w:customStyle="1" w:styleId="SectionText">
    <w:name w:val="Section_Text"/>
    <w:basedOn w:val="Normal"/>
    <w:next w:val="Normal"/>
    <w:link w:val="SectionTextChar"/>
    <w:rsid w:val="006E3BBD"/>
    <w:pPr>
      <w:spacing w:after="140" w:line="240" w:lineRule="auto"/>
      <w:ind w:left="1418"/>
    </w:pPr>
    <w:rPr>
      <w:rFonts w:cs="Arial"/>
      <w:bCs/>
      <w:sz w:val="24"/>
      <w:szCs w:val="26"/>
    </w:rPr>
  </w:style>
  <w:style w:type="paragraph" w:customStyle="1" w:styleId="Default">
    <w:name w:val="Default"/>
    <w:rsid w:val="005F1F3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3D"/>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SubBullet">
    <w:name w:val="Sub Sub Bullet"/>
    <w:basedOn w:val="Normal"/>
    <w:rsid w:val="003D0803"/>
    <w:pPr>
      <w:numPr>
        <w:numId w:val="2"/>
      </w:numPr>
      <w:tabs>
        <w:tab w:val="clear" w:pos="1090"/>
      </w:tabs>
      <w:autoSpaceDE w:val="0"/>
      <w:autoSpaceDN w:val="0"/>
      <w:adjustRightInd w:val="0"/>
      <w:spacing w:before="120" w:after="0" w:line="240" w:lineRule="auto"/>
      <w:ind w:left="1843"/>
      <w:jc w:val="both"/>
    </w:pPr>
    <w:rPr>
      <w:rFonts w:ascii="Verdana" w:eastAsia="Times New Roman" w:hAnsi="Verdana" w:cs="Verdana"/>
      <w:sz w:val="20"/>
      <w:szCs w:val="20"/>
    </w:rPr>
  </w:style>
  <w:style w:type="character" w:styleId="Hyperlink">
    <w:name w:val="Hyperlink"/>
    <w:basedOn w:val="DefaultParagraphFont"/>
    <w:rsid w:val="00B13829"/>
    <w:rPr>
      <w:color w:val="0000FF"/>
      <w:u w:val="single"/>
    </w:rPr>
  </w:style>
  <w:style w:type="paragraph" w:styleId="Header">
    <w:name w:val="header"/>
    <w:basedOn w:val="Normal"/>
    <w:link w:val="HeaderChar"/>
    <w:uiPriority w:val="99"/>
    <w:unhideWhenUsed/>
    <w:rsid w:val="00307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47"/>
    <w:rPr>
      <w:rFonts w:ascii="Arial" w:hAnsi="Arial"/>
    </w:rPr>
  </w:style>
  <w:style w:type="paragraph" w:styleId="Footer">
    <w:name w:val="footer"/>
    <w:basedOn w:val="Normal"/>
    <w:link w:val="FooterChar"/>
    <w:uiPriority w:val="99"/>
    <w:unhideWhenUsed/>
    <w:rsid w:val="00307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47"/>
    <w:rPr>
      <w:rFonts w:ascii="Arial" w:hAnsi="Arial"/>
    </w:rPr>
  </w:style>
  <w:style w:type="paragraph" w:customStyle="1" w:styleId="NSDSbodytext">
    <w:name w:val="NSDS body text"/>
    <w:basedOn w:val="Normal"/>
    <w:next w:val="Normal"/>
    <w:uiPriority w:val="99"/>
    <w:rsid w:val="00853B62"/>
    <w:pPr>
      <w:autoSpaceDE w:val="0"/>
      <w:autoSpaceDN w:val="0"/>
      <w:adjustRightInd w:val="0"/>
      <w:spacing w:after="120"/>
    </w:pPr>
    <w:rPr>
      <w:rFonts w:eastAsia="Calibri" w:cs="Calibri"/>
      <w:bCs/>
      <w:color w:val="262626"/>
      <w:sz w:val="24"/>
      <w:szCs w:val="24"/>
      <w:lang w:eastAsia="en-AU"/>
    </w:rPr>
  </w:style>
  <w:style w:type="paragraph" w:customStyle="1" w:styleId="NSDSSubheading">
    <w:name w:val="NSDS Sub heading"/>
    <w:basedOn w:val="Normal"/>
    <w:uiPriority w:val="99"/>
    <w:rsid w:val="00C26965"/>
    <w:pPr>
      <w:spacing w:before="600" w:after="120"/>
      <w:jc w:val="both"/>
    </w:pPr>
    <w:rPr>
      <w:rFonts w:eastAsia="Calibri" w:cs="Arial"/>
      <w:color w:val="262626"/>
      <w:sz w:val="36"/>
      <w:szCs w:val="36"/>
      <w:lang w:eastAsia="en-AU"/>
    </w:rPr>
  </w:style>
  <w:style w:type="paragraph" w:customStyle="1" w:styleId="NSDSSubheading3">
    <w:name w:val="NSDS Sub heading 3"/>
    <w:basedOn w:val="Normal"/>
    <w:uiPriority w:val="99"/>
    <w:rsid w:val="00C26965"/>
    <w:pPr>
      <w:autoSpaceDE w:val="0"/>
      <w:autoSpaceDN w:val="0"/>
      <w:adjustRightInd w:val="0"/>
      <w:spacing w:before="240" w:after="120" w:line="240" w:lineRule="auto"/>
      <w:jc w:val="both"/>
    </w:pPr>
    <w:rPr>
      <w:rFonts w:eastAsia="Calibri" w:cs="Arial"/>
      <w:b/>
      <w:bCs/>
      <w:color w:val="262626"/>
      <w:sz w:val="24"/>
      <w:szCs w:val="24"/>
      <w:lang w:eastAsia="en-AU"/>
    </w:rPr>
  </w:style>
  <w:style w:type="paragraph" w:customStyle="1" w:styleId="NSDSDotpoints">
    <w:name w:val="NSDS Dot points"/>
    <w:basedOn w:val="NSDSbodytext"/>
    <w:uiPriority w:val="99"/>
    <w:rsid w:val="00C26965"/>
    <w:pPr>
      <w:numPr>
        <w:numId w:val="20"/>
      </w:numPr>
      <w:spacing w:after="60" w:line="240" w:lineRule="auto"/>
    </w:pPr>
  </w:style>
  <w:style w:type="paragraph" w:styleId="BalloonText">
    <w:name w:val="Balloon Text"/>
    <w:basedOn w:val="Normal"/>
    <w:link w:val="BalloonTextChar"/>
    <w:uiPriority w:val="99"/>
    <w:semiHidden/>
    <w:unhideWhenUsed/>
    <w:rsid w:val="00C26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965"/>
    <w:rPr>
      <w:rFonts w:ascii="Tahoma" w:hAnsi="Tahoma" w:cs="Tahoma"/>
      <w:sz w:val="16"/>
      <w:szCs w:val="16"/>
    </w:rPr>
  </w:style>
  <w:style w:type="paragraph" w:customStyle="1" w:styleId="NSDSrightsoutcomestandard">
    <w:name w:val="NSDS rights outcome standard"/>
    <w:basedOn w:val="Normal"/>
    <w:uiPriority w:val="99"/>
    <w:rsid w:val="00C26965"/>
    <w:pPr>
      <w:autoSpaceDE w:val="0"/>
      <w:autoSpaceDN w:val="0"/>
      <w:adjustRightInd w:val="0"/>
      <w:spacing w:before="240" w:after="120" w:line="240" w:lineRule="auto"/>
      <w:ind w:left="1701"/>
      <w:jc w:val="both"/>
    </w:pPr>
    <w:rPr>
      <w:rFonts w:eastAsia="Calibri" w:cs="Arial"/>
      <w:b/>
      <w:bCs/>
      <w:color w:val="262626"/>
      <w:sz w:val="24"/>
      <w:szCs w:val="24"/>
      <w:lang w:eastAsia="en-AU"/>
    </w:rPr>
  </w:style>
  <w:style w:type="paragraph" w:customStyle="1" w:styleId="NSDSIndicatorsheading">
    <w:name w:val="NSDS Indicators heading"/>
    <w:basedOn w:val="Normal"/>
    <w:uiPriority w:val="99"/>
    <w:rsid w:val="00C26965"/>
    <w:pPr>
      <w:autoSpaceDE w:val="0"/>
      <w:autoSpaceDN w:val="0"/>
      <w:adjustRightInd w:val="0"/>
      <w:spacing w:before="360" w:after="120" w:line="240" w:lineRule="auto"/>
      <w:jc w:val="both"/>
    </w:pPr>
    <w:rPr>
      <w:rFonts w:eastAsia="Calibri" w:cs="Arial"/>
      <w:b/>
      <w:bCs/>
      <w:color w:val="7DCCBF"/>
      <w:sz w:val="24"/>
      <w:szCs w:val="24"/>
      <w:lang w:eastAsia="en-AU"/>
    </w:rPr>
  </w:style>
  <w:style w:type="character" w:styleId="CommentReference">
    <w:name w:val="annotation reference"/>
    <w:basedOn w:val="DefaultParagraphFont"/>
    <w:uiPriority w:val="99"/>
    <w:semiHidden/>
    <w:unhideWhenUsed/>
    <w:rsid w:val="007D58C5"/>
    <w:rPr>
      <w:sz w:val="16"/>
      <w:szCs w:val="16"/>
    </w:rPr>
  </w:style>
  <w:style w:type="paragraph" w:styleId="CommentText">
    <w:name w:val="annotation text"/>
    <w:basedOn w:val="Normal"/>
    <w:link w:val="CommentTextChar"/>
    <w:uiPriority w:val="99"/>
    <w:unhideWhenUsed/>
    <w:rsid w:val="007D58C5"/>
    <w:pPr>
      <w:spacing w:line="240" w:lineRule="auto"/>
    </w:pPr>
    <w:rPr>
      <w:sz w:val="20"/>
      <w:szCs w:val="20"/>
    </w:rPr>
  </w:style>
  <w:style w:type="character" w:customStyle="1" w:styleId="CommentTextChar">
    <w:name w:val="Comment Text Char"/>
    <w:basedOn w:val="DefaultParagraphFont"/>
    <w:link w:val="CommentText"/>
    <w:uiPriority w:val="99"/>
    <w:rsid w:val="007D58C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58C5"/>
    <w:rPr>
      <w:b/>
      <w:bCs/>
    </w:rPr>
  </w:style>
  <w:style w:type="character" w:customStyle="1" w:styleId="CommentSubjectChar">
    <w:name w:val="Comment Subject Char"/>
    <w:basedOn w:val="CommentTextChar"/>
    <w:link w:val="CommentSubject"/>
    <w:uiPriority w:val="99"/>
    <w:semiHidden/>
    <w:rsid w:val="007D58C5"/>
    <w:rPr>
      <w:rFonts w:ascii="Arial" w:hAnsi="Arial"/>
      <w:b/>
      <w:bCs/>
      <w:sz w:val="20"/>
      <w:szCs w:val="20"/>
    </w:rPr>
  </w:style>
  <w:style w:type="character" w:styleId="FollowedHyperlink">
    <w:name w:val="FollowedHyperlink"/>
    <w:basedOn w:val="DefaultParagraphFont"/>
    <w:uiPriority w:val="99"/>
    <w:semiHidden/>
    <w:unhideWhenUsed/>
    <w:rsid w:val="006A3BCC"/>
    <w:rPr>
      <w:color w:val="800080" w:themeColor="followedHyperlink"/>
      <w:u w:val="single"/>
    </w:rPr>
  </w:style>
  <w:style w:type="paragraph" w:styleId="NormalWeb">
    <w:name w:val="Normal (Web)"/>
    <w:basedOn w:val="Normal"/>
    <w:uiPriority w:val="99"/>
    <w:rsid w:val="00A65A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LineNumber">
    <w:name w:val="line number"/>
    <w:basedOn w:val="DefaultParagraphFont"/>
    <w:uiPriority w:val="99"/>
    <w:semiHidden/>
    <w:unhideWhenUsed/>
    <w:rsid w:val="00C210DD"/>
  </w:style>
  <w:style w:type="paragraph" w:styleId="Revision">
    <w:name w:val="Revision"/>
    <w:hidden/>
    <w:uiPriority w:val="99"/>
    <w:semiHidden/>
    <w:rsid w:val="00BD2F76"/>
    <w:pPr>
      <w:spacing w:after="0" w:line="240" w:lineRule="auto"/>
    </w:pPr>
    <w:rPr>
      <w:rFonts w:ascii="Arial" w:hAnsi="Arial"/>
    </w:rPr>
  </w:style>
  <w:style w:type="paragraph" w:styleId="BodyText2">
    <w:name w:val="Body Text 2"/>
    <w:basedOn w:val="Normal"/>
    <w:link w:val="BodyText2Char"/>
    <w:rsid w:val="00CA0830"/>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A0830"/>
    <w:rPr>
      <w:rFonts w:ascii="Times New Roman" w:eastAsia="Times New Roman" w:hAnsi="Times New Roman" w:cs="Times New Roman"/>
      <w:sz w:val="24"/>
      <w:szCs w:val="20"/>
    </w:rPr>
  </w:style>
  <w:style w:type="paragraph" w:customStyle="1" w:styleId="Legislationadministered">
    <w:name w:val="Legislation administered"/>
    <w:basedOn w:val="Normal"/>
    <w:link w:val="LegislationadministeredChar"/>
    <w:qFormat/>
    <w:rsid w:val="00146FC9"/>
    <w:pPr>
      <w:keepLines/>
      <w:tabs>
        <w:tab w:val="left" w:pos="1304"/>
      </w:tabs>
      <w:autoSpaceDE w:val="0"/>
      <w:autoSpaceDN w:val="0"/>
      <w:spacing w:after="0" w:line="240" w:lineRule="auto"/>
      <w:ind w:left="181" w:hanging="181"/>
    </w:pPr>
    <w:rPr>
      <w:rFonts w:ascii="Times New Roman" w:eastAsia="Times New Roman" w:hAnsi="Times New Roman" w:cs="Times New Roman"/>
      <w:i/>
      <w:iCs/>
      <w:sz w:val="26"/>
      <w:szCs w:val="26"/>
      <w:lang w:eastAsia="en-AU"/>
    </w:rPr>
  </w:style>
  <w:style w:type="character" w:customStyle="1" w:styleId="LegislationadministeredChar">
    <w:name w:val="Legislation administered Char"/>
    <w:basedOn w:val="DefaultParagraphFont"/>
    <w:link w:val="Legislationadministered"/>
    <w:locked/>
    <w:rsid w:val="00146FC9"/>
    <w:rPr>
      <w:rFonts w:ascii="Times New Roman" w:eastAsia="Times New Roman" w:hAnsi="Times New Roman" w:cs="Times New Roman"/>
      <w:i/>
      <w:iCs/>
      <w:sz w:val="26"/>
      <w:szCs w:val="26"/>
      <w:lang w:eastAsia="en-AU"/>
    </w:rPr>
  </w:style>
  <w:style w:type="character" w:customStyle="1" w:styleId="lexicon-term">
    <w:name w:val="lexicon-term"/>
    <w:basedOn w:val="DefaultParagraphFont"/>
    <w:rsid w:val="00157448"/>
    <w:rPr>
      <w:strike w:val="0"/>
      <w:dstrike w:val="0"/>
      <w:u w:val="none"/>
      <w:effect w:val="none"/>
    </w:rPr>
  </w:style>
  <w:style w:type="paragraph" w:customStyle="1" w:styleId="Brief-BULLET">
    <w:name w:val="Brief - BULLET"/>
    <w:basedOn w:val="Normal"/>
    <w:rsid w:val="006510CA"/>
    <w:pPr>
      <w:numPr>
        <w:numId w:val="32"/>
      </w:numPr>
      <w:spacing w:after="0" w:line="230" w:lineRule="exact"/>
    </w:pPr>
    <w:rPr>
      <w:rFonts w:ascii="Times New Roman" w:eastAsia="Times New Roman" w:hAnsi="Times New Roman" w:cs="Times New Roman"/>
      <w:szCs w:val="20"/>
    </w:rPr>
  </w:style>
  <w:style w:type="paragraph" w:styleId="BodyText">
    <w:name w:val="Body Text"/>
    <w:basedOn w:val="Normal"/>
    <w:link w:val="BodyTextChar"/>
    <w:uiPriority w:val="99"/>
    <w:unhideWhenUsed/>
    <w:rsid w:val="00853AE8"/>
    <w:pPr>
      <w:spacing w:after="120"/>
    </w:pPr>
  </w:style>
  <w:style w:type="character" w:customStyle="1" w:styleId="BodyTextChar">
    <w:name w:val="Body Text Char"/>
    <w:basedOn w:val="DefaultParagraphFont"/>
    <w:link w:val="BodyText"/>
    <w:uiPriority w:val="99"/>
    <w:rsid w:val="00853AE8"/>
    <w:rPr>
      <w:rFonts w:ascii="Arial" w:hAnsi="Arial"/>
    </w:rPr>
  </w:style>
  <w:style w:type="paragraph" w:styleId="EndnoteText">
    <w:name w:val="endnote text"/>
    <w:basedOn w:val="Normal"/>
    <w:link w:val="EndnoteTextChar"/>
    <w:uiPriority w:val="99"/>
    <w:semiHidden/>
    <w:unhideWhenUsed/>
    <w:rsid w:val="00967F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7FFD"/>
    <w:rPr>
      <w:rFonts w:ascii="Arial" w:hAnsi="Arial"/>
      <w:sz w:val="20"/>
      <w:szCs w:val="20"/>
    </w:rPr>
  </w:style>
  <w:style w:type="character" w:styleId="EndnoteReference">
    <w:name w:val="endnote reference"/>
    <w:basedOn w:val="DefaultParagraphFont"/>
    <w:uiPriority w:val="99"/>
    <w:semiHidden/>
    <w:unhideWhenUsed/>
    <w:rsid w:val="00967FFD"/>
    <w:rPr>
      <w:vertAlign w:val="superscript"/>
    </w:rPr>
  </w:style>
  <w:style w:type="character" w:customStyle="1" w:styleId="SectionTextChar">
    <w:name w:val="Section_Text Char"/>
    <w:link w:val="SectionText"/>
    <w:locked/>
    <w:rsid w:val="006E3BBD"/>
    <w:rPr>
      <w:rFonts w:ascii="Arial" w:hAnsi="Arial" w:cs="Arial"/>
      <w:bCs/>
      <w:sz w:val="24"/>
      <w:szCs w:val="26"/>
    </w:rPr>
  </w:style>
  <w:style w:type="paragraph" w:customStyle="1" w:styleId="SectionText">
    <w:name w:val="Section_Text"/>
    <w:basedOn w:val="Normal"/>
    <w:next w:val="Normal"/>
    <w:link w:val="SectionTextChar"/>
    <w:rsid w:val="006E3BBD"/>
    <w:pPr>
      <w:spacing w:after="140" w:line="240" w:lineRule="auto"/>
      <w:ind w:left="1418"/>
    </w:pPr>
    <w:rPr>
      <w:rFonts w:cs="Arial"/>
      <w:bCs/>
      <w:sz w:val="24"/>
      <w:szCs w:val="26"/>
    </w:rPr>
  </w:style>
  <w:style w:type="paragraph" w:customStyle="1" w:styleId="Default">
    <w:name w:val="Default"/>
    <w:rsid w:val="005F1F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391">
      <w:bodyDiv w:val="1"/>
      <w:marLeft w:val="0"/>
      <w:marRight w:val="0"/>
      <w:marTop w:val="0"/>
      <w:marBottom w:val="0"/>
      <w:divBdr>
        <w:top w:val="none" w:sz="0" w:space="0" w:color="auto"/>
        <w:left w:val="none" w:sz="0" w:space="0" w:color="auto"/>
        <w:bottom w:val="none" w:sz="0" w:space="0" w:color="auto"/>
        <w:right w:val="none" w:sz="0" w:space="0" w:color="auto"/>
      </w:divBdr>
      <w:divsChild>
        <w:div w:id="567307605">
          <w:marLeft w:val="0"/>
          <w:marRight w:val="0"/>
          <w:marTop w:val="0"/>
          <w:marBottom w:val="0"/>
          <w:divBdr>
            <w:top w:val="none" w:sz="0" w:space="0" w:color="auto"/>
            <w:left w:val="none" w:sz="0" w:space="0" w:color="auto"/>
            <w:bottom w:val="none" w:sz="0" w:space="0" w:color="auto"/>
            <w:right w:val="none" w:sz="0" w:space="0" w:color="auto"/>
          </w:divBdr>
          <w:divsChild>
            <w:div w:id="659043156">
              <w:marLeft w:val="0"/>
              <w:marRight w:val="0"/>
              <w:marTop w:val="0"/>
              <w:marBottom w:val="0"/>
              <w:divBdr>
                <w:top w:val="none" w:sz="0" w:space="0" w:color="auto"/>
                <w:left w:val="none" w:sz="0" w:space="0" w:color="auto"/>
                <w:bottom w:val="none" w:sz="0" w:space="0" w:color="auto"/>
                <w:right w:val="none" w:sz="0" w:space="0" w:color="auto"/>
              </w:divBdr>
              <w:divsChild>
                <w:div w:id="1209874937">
                  <w:marLeft w:val="0"/>
                  <w:marRight w:val="0"/>
                  <w:marTop w:val="0"/>
                  <w:marBottom w:val="0"/>
                  <w:divBdr>
                    <w:top w:val="none" w:sz="0" w:space="0" w:color="auto"/>
                    <w:left w:val="none" w:sz="0" w:space="0" w:color="auto"/>
                    <w:bottom w:val="none" w:sz="0" w:space="0" w:color="auto"/>
                    <w:right w:val="none" w:sz="0" w:space="0" w:color="auto"/>
                  </w:divBdr>
                  <w:divsChild>
                    <w:div w:id="1803111935">
                      <w:marLeft w:val="0"/>
                      <w:marRight w:val="0"/>
                      <w:marTop w:val="0"/>
                      <w:marBottom w:val="0"/>
                      <w:divBdr>
                        <w:top w:val="none" w:sz="0" w:space="0" w:color="auto"/>
                        <w:left w:val="none" w:sz="0" w:space="0" w:color="auto"/>
                        <w:bottom w:val="none" w:sz="0" w:space="0" w:color="auto"/>
                        <w:right w:val="none" w:sz="0" w:space="0" w:color="auto"/>
                      </w:divBdr>
                      <w:divsChild>
                        <w:div w:id="929194190">
                          <w:marLeft w:val="0"/>
                          <w:marRight w:val="0"/>
                          <w:marTop w:val="0"/>
                          <w:marBottom w:val="0"/>
                          <w:divBdr>
                            <w:top w:val="none" w:sz="0" w:space="0" w:color="auto"/>
                            <w:left w:val="none" w:sz="0" w:space="0" w:color="auto"/>
                            <w:bottom w:val="none" w:sz="0" w:space="0" w:color="auto"/>
                            <w:right w:val="none" w:sz="0" w:space="0" w:color="auto"/>
                          </w:divBdr>
                          <w:divsChild>
                            <w:div w:id="997416544">
                              <w:marLeft w:val="0"/>
                              <w:marRight w:val="0"/>
                              <w:marTop w:val="0"/>
                              <w:marBottom w:val="0"/>
                              <w:divBdr>
                                <w:top w:val="none" w:sz="0" w:space="0" w:color="auto"/>
                                <w:left w:val="none" w:sz="0" w:space="0" w:color="auto"/>
                                <w:bottom w:val="none" w:sz="0" w:space="0" w:color="auto"/>
                                <w:right w:val="none" w:sz="0" w:space="0" w:color="auto"/>
                              </w:divBdr>
                              <w:divsChild>
                                <w:div w:id="712657743">
                                  <w:marLeft w:val="0"/>
                                  <w:marRight w:val="0"/>
                                  <w:marTop w:val="0"/>
                                  <w:marBottom w:val="0"/>
                                  <w:divBdr>
                                    <w:top w:val="none" w:sz="0" w:space="0" w:color="auto"/>
                                    <w:left w:val="none" w:sz="0" w:space="0" w:color="auto"/>
                                    <w:bottom w:val="none" w:sz="0" w:space="0" w:color="auto"/>
                                    <w:right w:val="none" w:sz="0" w:space="0" w:color="auto"/>
                                  </w:divBdr>
                                  <w:divsChild>
                                    <w:div w:id="91708170">
                                      <w:marLeft w:val="0"/>
                                      <w:marRight w:val="0"/>
                                      <w:marTop w:val="0"/>
                                      <w:marBottom w:val="0"/>
                                      <w:divBdr>
                                        <w:top w:val="none" w:sz="0" w:space="0" w:color="auto"/>
                                        <w:left w:val="none" w:sz="0" w:space="0" w:color="auto"/>
                                        <w:bottom w:val="none" w:sz="0" w:space="0" w:color="auto"/>
                                        <w:right w:val="none" w:sz="0" w:space="0" w:color="auto"/>
                                      </w:divBdr>
                                      <w:divsChild>
                                        <w:div w:id="1440758655">
                                          <w:marLeft w:val="0"/>
                                          <w:marRight w:val="0"/>
                                          <w:marTop w:val="0"/>
                                          <w:marBottom w:val="0"/>
                                          <w:divBdr>
                                            <w:top w:val="none" w:sz="0" w:space="0" w:color="auto"/>
                                            <w:left w:val="none" w:sz="0" w:space="0" w:color="auto"/>
                                            <w:bottom w:val="none" w:sz="0" w:space="0" w:color="auto"/>
                                            <w:right w:val="none" w:sz="0" w:space="0" w:color="auto"/>
                                          </w:divBdr>
                                          <w:divsChild>
                                            <w:div w:id="19331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430067">
      <w:bodyDiv w:val="1"/>
      <w:marLeft w:val="0"/>
      <w:marRight w:val="0"/>
      <w:marTop w:val="0"/>
      <w:marBottom w:val="0"/>
      <w:divBdr>
        <w:top w:val="none" w:sz="0" w:space="0" w:color="auto"/>
        <w:left w:val="none" w:sz="0" w:space="0" w:color="auto"/>
        <w:bottom w:val="none" w:sz="0" w:space="0" w:color="auto"/>
        <w:right w:val="none" w:sz="0" w:space="0" w:color="auto"/>
      </w:divBdr>
    </w:div>
    <w:div w:id="783958817">
      <w:bodyDiv w:val="1"/>
      <w:marLeft w:val="0"/>
      <w:marRight w:val="0"/>
      <w:marTop w:val="0"/>
      <w:marBottom w:val="0"/>
      <w:divBdr>
        <w:top w:val="none" w:sz="0" w:space="0" w:color="auto"/>
        <w:left w:val="none" w:sz="0" w:space="0" w:color="auto"/>
        <w:bottom w:val="none" w:sz="0" w:space="0" w:color="auto"/>
        <w:right w:val="none" w:sz="0" w:space="0" w:color="auto"/>
      </w:divBdr>
      <w:divsChild>
        <w:div w:id="1608006187">
          <w:marLeft w:val="0"/>
          <w:marRight w:val="0"/>
          <w:marTop w:val="0"/>
          <w:marBottom w:val="0"/>
          <w:divBdr>
            <w:top w:val="none" w:sz="0" w:space="0" w:color="auto"/>
            <w:left w:val="none" w:sz="0" w:space="0" w:color="auto"/>
            <w:bottom w:val="none" w:sz="0" w:space="0" w:color="auto"/>
            <w:right w:val="none" w:sz="0" w:space="0" w:color="auto"/>
          </w:divBdr>
          <w:divsChild>
            <w:div w:id="984167130">
              <w:marLeft w:val="0"/>
              <w:marRight w:val="0"/>
              <w:marTop w:val="0"/>
              <w:marBottom w:val="0"/>
              <w:divBdr>
                <w:top w:val="none" w:sz="0" w:space="0" w:color="auto"/>
                <w:left w:val="none" w:sz="0" w:space="0" w:color="auto"/>
                <w:bottom w:val="none" w:sz="0" w:space="0" w:color="auto"/>
                <w:right w:val="none" w:sz="0" w:space="0" w:color="auto"/>
              </w:divBdr>
              <w:divsChild>
                <w:div w:id="439184683">
                  <w:marLeft w:val="0"/>
                  <w:marRight w:val="0"/>
                  <w:marTop w:val="0"/>
                  <w:marBottom w:val="0"/>
                  <w:divBdr>
                    <w:top w:val="none" w:sz="0" w:space="0" w:color="auto"/>
                    <w:left w:val="none" w:sz="0" w:space="0" w:color="auto"/>
                    <w:bottom w:val="none" w:sz="0" w:space="0" w:color="auto"/>
                    <w:right w:val="none" w:sz="0" w:space="0" w:color="auto"/>
                  </w:divBdr>
                  <w:divsChild>
                    <w:div w:id="2102213810">
                      <w:marLeft w:val="0"/>
                      <w:marRight w:val="0"/>
                      <w:marTop w:val="0"/>
                      <w:marBottom w:val="0"/>
                      <w:divBdr>
                        <w:top w:val="none" w:sz="0" w:space="0" w:color="auto"/>
                        <w:left w:val="none" w:sz="0" w:space="0" w:color="auto"/>
                        <w:bottom w:val="none" w:sz="0" w:space="0" w:color="auto"/>
                        <w:right w:val="none" w:sz="0" w:space="0" w:color="auto"/>
                      </w:divBdr>
                      <w:divsChild>
                        <w:div w:id="1738434901">
                          <w:marLeft w:val="0"/>
                          <w:marRight w:val="0"/>
                          <w:marTop w:val="0"/>
                          <w:marBottom w:val="0"/>
                          <w:divBdr>
                            <w:top w:val="single" w:sz="6" w:space="0" w:color="828282"/>
                            <w:left w:val="single" w:sz="6" w:space="0" w:color="828282"/>
                            <w:bottom w:val="single" w:sz="6" w:space="0" w:color="828282"/>
                            <w:right w:val="single" w:sz="6" w:space="0" w:color="828282"/>
                          </w:divBdr>
                          <w:divsChild>
                            <w:div w:id="1821605716">
                              <w:marLeft w:val="0"/>
                              <w:marRight w:val="0"/>
                              <w:marTop w:val="0"/>
                              <w:marBottom w:val="0"/>
                              <w:divBdr>
                                <w:top w:val="none" w:sz="0" w:space="0" w:color="auto"/>
                                <w:left w:val="none" w:sz="0" w:space="0" w:color="auto"/>
                                <w:bottom w:val="none" w:sz="0" w:space="0" w:color="auto"/>
                                <w:right w:val="none" w:sz="0" w:space="0" w:color="auto"/>
                              </w:divBdr>
                              <w:divsChild>
                                <w:div w:id="91048237">
                                  <w:marLeft w:val="0"/>
                                  <w:marRight w:val="0"/>
                                  <w:marTop w:val="0"/>
                                  <w:marBottom w:val="0"/>
                                  <w:divBdr>
                                    <w:top w:val="none" w:sz="0" w:space="0" w:color="auto"/>
                                    <w:left w:val="none" w:sz="0" w:space="0" w:color="auto"/>
                                    <w:bottom w:val="none" w:sz="0" w:space="0" w:color="auto"/>
                                    <w:right w:val="none" w:sz="0" w:space="0" w:color="auto"/>
                                  </w:divBdr>
                                  <w:divsChild>
                                    <w:div w:id="409667023">
                                      <w:marLeft w:val="0"/>
                                      <w:marRight w:val="0"/>
                                      <w:marTop w:val="0"/>
                                      <w:marBottom w:val="0"/>
                                      <w:divBdr>
                                        <w:top w:val="none" w:sz="0" w:space="0" w:color="auto"/>
                                        <w:left w:val="none" w:sz="0" w:space="0" w:color="auto"/>
                                        <w:bottom w:val="none" w:sz="0" w:space="0" w:color="auto"/>
                                        <w:right w:val="none" w:sz="0" w:space="0" w:color="auto"/>
                                      </w:divBdr>
                                      <w:divsChild>
                                        <w:div w:id="990794031">
                                          <w:marLeft w:val="0"/>
                                          <w:marRight w:val="0"/>
                                          <w:marTop w:val="0"/>
                                          <w:marBottom w:val="0"/>
                                          <w:divBdr>
                                            <w:top w:val="none" w:sz="0" w:space="0" w:color="auto"/>
                                            <w:left w:val="none" w:sz="0" w:space="0" w:color="auto"/>
                                            <w:bottom w:val="none" w:sz="0" w:space="0" w:color="auto"/>
                                            <w:right w:val="none" w:sz="0" w:space="0" w:color="auto"/>
                                          </w:divBdr>
                                          <w:divsChild>
                                            <w:div w:id="894197484">
                                              <w:marLeft w:val="0"/>
                                              <w:marRight w:val="0"/>
                                              <w:marTop w:val="0"/>
                                              <w:marBottom w:val="0"/>
                                              <w:divBdr>
                                                <w:top w:val="none" w:sz="0" w:space="0" w:color="auto"/>
                                                <w:left w:val="none" w:sz="0" w:space="0" w:color="auto"/>
                                                <w:bottom w:val="none" w:sz="0" w:space="0" w:color="auto"/>
                                                <w:right w:val="none" w:sz="0" w:space="0" w:color="auto"/>
                                              </w:divBdr>
                                              <w:divsChild>
                                                <w:div w:id="8137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771724">
      <w:bodyDiv w:val="1"/>
      <w:marLeft w:val="0"/>
      <w:marRight w:val="0"/>
      <w:marTop w:val="0"/>
      <w:marBottom w:val="0"/>
      <w:divBdr>
        <w:top w:val="none" w:sz="0" w:space="0" w:color="auto"/>
        <w:left w:val="none" w:sz="0" w:space="0" w:color="auto"/>
        <w:bottom w:val="none" w:sz="0" w:space="0" w:color="auto"/>
        <w:right w:val="none" w:sz="0" w:space="0" w:color="auto"/>
      </w:divBdr>
      <w:divsChild>
        <w:div w:id="1318072933">
          <w:marLeft w:val="0"/>
          <w:marRight w:val="0"/>
          <w:marTop w:val="0"/>
          <w:marBottom w:val="0"/>
          <w:divBdr>
            <w:top w:val="none" w:sz="0" w:space="0" w:color="auto"/>
            <w:left w:val="none" w:sz="0" w:space="0" w:color="auto"/>
            <w:bottom w:val="none" w:sz="0" w:space="0" w:color="auto"/>
            <w:right w:val="none" w:sz="0" w:space="0" w:color="auto"/>
          </w:divBdr>
          <w:divsChild>
            <w:div w:id="329411490">
              <w:marLeft w:val="0"/>
              <w:marRight w:val="0"/>
              <w:marTop w:val="0"/>
              <w:marBottom w:val="0"/>
              <w:divBdr>
                <w:top w:val="none" w:sz="0" w:space="0" w:color="auto"/>
                <w:left w:val="none" w:sz="0" w:space="0" w:color="auto"/>
                <w:bottom w:val="none" w:sz="0" w:space="0" w:color="auto"/>
                <w:right w:val="none" w:sz="0" w:space="0" w:color="auto"/>
              </w:divBdr>
              <w:divsChild>
                <w:div w:id="865367092">
                  <w:marLeft w:val="0"/>
                  <w:marRight w:val="0"/>
                  <w:marTop w:val="0"/>
                  <w:marBottom w:val="0"/>
                  <w:divBdr>
                    <w:top w:val="none" w:sz="0" w:space="0" w:color="auto"/>
                    <w:left w:val="none" w:sz="0" w:space="0" w:color="auto"/>
                    <w:bottom w:val="none" w:sz="0" w:space="0" w:color="auto"/>
                    <w:right w:val="none" w:sz="0" w:space="0" w:color="auto"/>
                  </w:divBdr>
                  <w:divsChild>
                    <w:div w:id="981346118">
                      <w:marLeft w:val="0"/>
                      <w:marRight w:val="0"/>
                      <w:marTop w:val="0"/>
                      <w:marBottom w:val="0"/>
                      <w:divBdr>
                        <w:top w:val="none" w:sz="0" w:space="0" w:color="auto"/>
                        <w:left w:val="none" w:sz="0" w:space="0" w:color="auto"/>
                        <w:bottom w:val="none" w:sz="0" w:space="0" w:color="auto"/>
                        <w:right w:val="none" w:sz="0" w:space="0" w:color="auto"/>
                      </w:divBdr>
                      <w:divsChild>
                        <w:div w:id="1915049514">
                          <w:marLeft w:val="0"/>
                          <w:marRight w:val="0"/>
                          <w:marTop w:val="0"/>
                          <w:marBottom w:val="0"/>
                          <w:divBdr>
                            <w:top w:val="none" w:sz="0" w:space="0" w:color="auto"/>
                            <w:left w:val="none" w:sz="0" w:space="0" w:color="auto"/>
                            <w:bottom w:val="none" w:sz="0" w:space="0" w:color="auto"/>
                            <w:right w:val="none" w:sz="0" w:space="0" w:color="auto"/>
                          </w:divBdr>
                          <w:divsChild>
                            <w:div w:id="945426833">
                              <w:marLeft w:val="0"/>
                              <w:marRight w:val="0"/>
                              <w:marTop w:val="0"/>
                              <w:marBottom w:val="0"/>
                              <w:divBdr>
                                <w:top w:val="none" w:sz="0" w:space="0" w:color="auto"/>
                                <w:left w:val="none" w:sz="0" w:space="0" w:color="auto"/>
                                <w:bottom w:val="none" w:sz="0" w:space="0" w:color="auto"/>
                                <w:right w:val="none" w:sz="0" w:space="0" w:color="auto"/>
                              </w:divBdr>
                              <w:divsChild>
                                <w:div w:id="18750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653061">
      <w:bodyDiv w:val="1"/>
      <w:marLeft w:val="0"/>
      <w:marRight w:val="0"/>
      <w:marTop w:val="0"/>
      <w:marBottom w:val="0"/>
      <w:divBdr>
        <w:top w:val="none" w:sz="0" w:space="0" w:color="auto"/>
        <w:left w:val="none" w:sz="0" w:space="0" w:color="auto"/>
        <w:bottom w:val="none" w:sz="0" w:space="0" w:color="auto"/>
        <w:right w:val="none" w:sz="0" w:space="0" w:color="auto"/>
      </w:divBdr>
    </w:div>
    <w:div w:id="1513908100">
      <w:bodyDiv w:val="1"/>
      <w:marLeft w:val="0"/>
      <w:marRight w:val="0"/>
      <w:marTop w:val="0"/>
      <w:marBottom w:val="0"/>
      <w:divBdr>
        <w:top w:val="none" w:sz="0" w:space="0" w:color="auto"/>
        <w:left w:val="none" w:sz="0" w:space="0" w:color="auto"/>
        <w:bottom w:val="none" w:sz="0" w:space="0" w:color="auto"/>
        <w:right w:val="none" w:sz="0" w:space="0" w:color="auto"/>
      </w:divBdr>
    </w:div>
    <w:div w:id="1622109659">
      <w:bodyDiv w:val="1"/>
      <w:marLeft w:val="0"/>
      <w:marRight w:val="0"/>
      <w:marTop w:val="0"/>
      <w:marBottom w:val="0"/>
      <w:divBdr>
        <w:top w:val="none" w:sz="0" w:space="0" w:color="auto"/>
        <w:left w:val="none" w:sz="0" w:space="0" w:color="auto"/>
        <w:bottom w:val="none" w:sz="0" w:space="0" w:color="auto"/>
        <w:right w:val="none" w:sz="0" w:space="0" w:color="auto"/>
      </w:divBdr>
      <w:divsChild>
        <w:div w:id="884486580">
          <w:marLeft w:val="0"/>
          <w:marRight w:val="0"/>
          <w:marTop w:val="0"/>
          <w:marBottom w:val="0"/>
          <w:divBdr>
            <w:top w:val="none" w:sz="0" w:space="0" w:color="auto"/>
            <w:left w:val="none" w:sz="0" w:space="0" w:color="auto"/>
            <w:bottom w:val="none" w:sz="0" w:space="0" w:color="auto"/>
            <w:right w:val="none" w:sz="0" w:space="0" w:color="auto"/>
          </w:divBdr>
          <w:divsChild>
            <w:div w:id="782506157">
              <w:marLeft w:val="0"/>
              <w:marRight w:val="0"/>
              <w:marTop w:val="0"/>
              <w:marBottom w:val="0"/>
              <w:divBdr>
                <w:top w:val="none" w:sz="0" w:space="0" w:color="auto"/>
                <w:left w:val="none" w:sz="0" w:space="0" w:color="auto"/>
                <w:bottom w:val="none" w:sz="0" w:space="0" w:color="auto"/>
                <w:right w:val="none" w:sz="0" w:space="0" w:color="auto"/>
              </w:divBdr>
              <w:divsChild>
                <w:div w:id="2111965422">
                  <w:marLeft w:val="0"/>
                  <w:marRight w:val="0"/>
                  <w:marTop w:val="0"/>
                  <w:marBottom w:val="0"/>
                  <w:divBdr>
                    <w:top w:val="none" w:sz="0" w:space="0" w:color="auto"/>
                    <w:left w:val="none" w:sz="0" w:space="0" w:color="auto"/>
                    <w:bottom w:val="none" w:sz="0" w:space="0" w:color="auto"/>
                    <w:right w:val="none" w:sz="0" w:space="0" w:color="auto"/>
                  </w:divBdr>
                  <w:divsChild>
                    <w:div w:id="1467966294">
                      <w:marLeft w:val="0"/>
                      <w:marRight w:val="0"/>
                      <w:marTop w:val="0"/>
                      <w:marBottom w:val="0"/>
                      <w:divBdr>
                        <w:top w:val="none" w:sz="0" w:space="0" w:color="auto"/>
                        <w:left w:val="none" w:sz="0" w:space="0" w:color="auto"/>
                        <w:bottom w:val="none" w:sz="0" w:space="0" w:color="auto"/>
                        <w:right w:val="none" w:sz="0" w:space="0" w:color="auto"/>
                      </w:divBdr>
                      <w:divsChild>
                        <w:div w:id="1189373558">
                          <w:marLeft w:val="0"/>
                          <w:marRight w:val="0"/>
                          <w:marTop w:val="0"/>
                          <w:marBottom w:val="0"/>
                          <w:divBdr>
                            <w:top w:val="single" w:sz="6" w:space="0" w:color="828282"/>
                            <w:left w:val="single" w:sz="6" w:space="0" w:color="828282"/>
                            <w:bottom w:val="single" w:sz="6" w:space="0" w:color="828282"/>
                            <w:right w:val="single" w:sz="6" w:space="0" w:color="828282"/>
                          </w:divBdr>
                          <w:divsChild>
                            <w:div w:id="1149904820">
                              <w:marLeft w:val="0"/>
                              <w:marRight w:val="0"/>
                              <w:marTop w:val="0"/>
                              <w:marBottom w:val="0"/>
                              <w:divBdr>
                                <w:top w:val="none" w:sz="0" w:space="0" w:color="auto"/>
                                <w:left w:val="none" w:sz="0" w:space="0" w:color="auto"/>
                                <w:bottom w:val="none" w:sz="0" w:space="0" w:color="auto"/>
                                <w:right w:val="none" w:sz="0" w:space="0" w:color="auto"/>
                              </w:divBdr>
                              <w:divsChild>
                                <w:div w:id="316570157">
                                  <w:marLeft w:val="0"/>
                                  <w:marRight w:val="0"/>
                                  <w:marTop w:val="0"/>
                                  <w:marBottom w:val="0"/>
                                  <w:divBdr>
                                    <w:top w:val="none" w:sz="0" w:space="0" w:color="auto"/>
                                    <w:left w:val="none" w:sz="0" w:space="0" w:color="auto"/>
                                    <w:bottom w:val="none" w:sz="0" w:space="0" w:color="auto"/>
                                    <w:right w:val="none" w:sz="0" w:space="0" w:color="auto"/>
                                  </w:divBdr>
                                  <w:divsChild>
                                    <w:div w:id="622005832">
                                      <w:marLeft w:val="0"/>
                                      <w:marRight w:val="0"/>
                                      <w:marTop w:val="0"/>
                                      <w:marBottom w:val="0"/>
                                      <w:divBdr>
                                        <w:top w:val="none" w:sz="0" w:space="0" w:color="auto"/>
                                        <w:left w:val="none" w:sz="0" w:space="0" w:color="auto"/>
                                        <w:bottom w:val="none" w:sz="0" w:space="0" w:color="auto"/>
                                        <w:right w:val="none" w:sz="0" w:space="0" w:color="auto"/>
                                      </w:divBdr>
                                      <w:divsChild>
                                        <w:div w:id="2075229601">
                                          <w:marLeft w:val="0"/>
                                          <w:marRight w:val="0"/>
                                          <w:marTop w:val="0"/>
                                          <w:marBottom w:val="0"/>
                                          <w:divBdr>
                                            <w:top w:val="none" w:sz="0" w:space="0" w:color="auto"/>
                                            <w:left w:val="none" w:sz="0" w:space="0" w:color="auto"/>
                                            <w:bottom w:val="none" w:sz="0" w:space="0" w:color="auto"/>
                                            <w:right w:val="none" w:sz="0" w:space="0" w:color="auto"/>
                                          </w:divBdr>
                                          <w:divsChild>
                                            <w:div w:id="1674718117">
                                              <w:marLeft w:val="0"/>
                                              <w:marRight w:val="0"/>
                                              <w:marTop w:val="0"/>
                                              <w:marBottom w:val="0"/>
                                              <w:divBdr>
                                                <w:top w:val="none" w:sz="0" w:space="0" w:color="auto"/>
                                                <w:left w:val="none" w:sz="0" w:space="0" w:color="auto"/>
                                                <w:bottom w:val="none" w:sz="0" w:space="0" w:color="auto"/>
                                                <w:right w:val="none" w:sz="0" w:space="0" w:color="auto"/>
                                              </w:divBdr>
                                              <w:divsChild>
                                                <w:div w:id="9939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602779">
      <w:bodyDiv w:val="1"/>
      <w:marLeft w:val="0"/>
      <w:marRight w:val="0"/>
      <w:marTop w:val="0"/>
      <w:marBottom w:val="0"/>
      <w:divBdr>
        <w:top w:val="none" w:sz="0" w:space="0" w:color="auto"/>
        <w:left w:val="none" w:sz="0" w:space="0" w:color="auto"/>
        <w:bottom w:val="none" w:sz="0" w:space="0" w:color="auto"/>
        <w:right w:val="none" w:sz="0" w:space="0" w:color="auto"/>
      </w:divBdr>
    </w:div>
    <w:div w:id="1717310718">
      <w:bodyDiv w:val="1"/>
      <w:marLeft w:val="0"/>
      <w:marRight w:val="0"/>
      <w:marTop w:val="0"/>
      <w:marBottom w:val="0"/>
      <w:divBdr>
        <w:top w:val="none" w:sz="0" w:space="0" w:color="auto"/>
        <w:left w:val="none" w:sz="0" w:space="0" w:color="auto"/>
        <w:bottom w:val="none" w:sz="0" w:space="0" w:color="auto"/>
        <w:right w:val="none" w:sz="0" w:space="0" w:color="auto"/>
      </w:divBdr>
    </w:div>
    <w:div w:id="1752697494">
      <w:bodyDiv w:val="1"/>
      <w:marLeft w:val="0"/>
      <w:marRight w:val="0"/>
      <w:marTop w:val="0"/>
      <w:marBottom w:val="0"/>
      <w:divBdr>
        <w:top w:val="none" w:sz="0" w:space="0" w:color="auto"/>
        <w:left w:val="none" w:sz="0" w:space="0" w:color="auto"/>
        <w:bottom w:val="none" w:sz="0" w:space="0" w:color="auto"/>
        <w:right w:val="none" w:sz="0" w:space="0" w:color="auto"/>
      </w:divBdr>
      <w:divsChild>
        <w:div w:id="1705517845">
          <w:marLeft w:val="0"/>
          <w:marRight w:val="0"/>
          <w:marTop w:val="0"/>
          <w:marBottom w:val="0"/>
          <w:divBdr>
            <w:top w:val="none" w:sz="0" w:space="0" w:color="auto"/>
            <w:left w:val="none" w:sz="0" w:space="0" w:color="auto"/>
            <w:bottom w:val="none" w:sz="0" w:space="0" w:color="auto"/>
            <w:right w:val="none" w:sz="0" w:space="0" w:color="auto"/>
          </w:divBdr>
          <w:divsChild>
            <w:div w:id="475495021">
              <w:marLeft w:val="0"/>
              <w:marRight w:val="0"/>
              <w:marTop w:val="0"/>
              <w:marBottom w:val="0"/>
              <w:divBdr>
                <w:top w:val="none" w:sz="0" w:space="0" w:color="auto"/>
                <w:left w:val="none" w:sz="0" w:space="0" w:color="auto"/>
                <w:bottom w:val="none" w:sz="0" w:space="0" w:color="auto"/>
                <w:right w:val="none" w:sz="0" w:space="0" w:color="auto"/>
              </w:divBdr>
              <w:divsChild>
                <w:div w:id="788670597">
                  <w:marLeft w:val="0"/>
                  <w:marRight w:val="0"/>
                  <w:marTop w:val="0"/>
                  <w:marBottom w:val="0"/>
                  <w:divBdr>
                    <w:top w:val="none" w:sz="0" w:space="0" w:color="auto"/>
                    <w:left w:val="none" w:sz="0" w:space="0" w:color="auto"/>
                    <w:bottom w:val="none" w:sz="0" w:space="0" w:color="auto"/>
                    <w:right w:val="none" w:sz="0" w:space="0" w:color="auto"/>
                  </w:divBdr>
                  <w:divsChild>
                    <w:div w:id="1854608069">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646200627">
                              <w:marLeft w:val="0"/>
                              <w:marRight w:val="0"/>
                              <w:marTop w:val="0"/>
                              <w:marBottom w:val="0"/>
                              <w:divBdr>
                                <w:top w:val="none" w:sz="0" w:space="0" w:color="auto"/>
                                <w:left w:val="none" w:sz="0" w:space="0" w:color="auto"/>
                                <w:bottom w:val="none" w:sz="0" w:space="0" w:color="auto"/>
                                <w:right w:val="none" w:sz="0" w:space="0" w:color="auto"/>
                              </w:divBdr>
                              <w:divsChild>
                                <w:div w:id="741680505">
                                  <w:marLeft w:val="0"/>
                                  <w:marRight w:val="0"/>
                                  <w:marTop w:val="0"/>
                                  <w:marBottom w:val="0"/>
                                  <w:divBdr>
                                    <w:top w:val="none" w:sz="0" w:space="0" w:color="auto"/>
                                    <w:left w:val="none" w:sz="0" w:space="0" w:color="auto"/>
                                    <w:bottom w:val="none" w:sz="0" w:space="0" w:color="auto"/>
                                    <w:right w:val="none" w:sz="0" w:space="0" w:color="auto"/>
                                  </w:divBdr>
                                  <w:divsChild>
                                    <w:div w:id="1004288158">
                                      <w:marLeft w:val="0"/>
                                      <w:marRight w:val="0"/>
                                      <w:marTop w:val="0"/>
                                      <w:marBottom w:val="0"/>
                                      <w:divBdr>
                                        <w:top w:val="none" w:sz="0" w:space="0" w:color="auto"/>
                                        <w:left w:val="none" w:sz="0" w:space="0" w:color="auto"/>
                                        <w:bottom w:val="none" w:sz="0" w:space="0" w:color="auto"/>
                                        <w:right w:val="none" w:sz="0" w:space="0" w:color="auto"/>
                                      </w:divBdr>
                                      <w:divsChild>
                                        <w:div w:id="593167949">
                                          <w:marLeft w:val="0"/>
                                          <w:marRight w:val="0"/>
                                          <w:marTop w:val="0"/>
                                          <w:marBottom w:val="0"/>
                                          <w:divBdr>
                                            <w:top w:val="none" w:sz="0" w:space="0" w:color="auto"/>
                                            <w:left w:val="none" w:sz="0" w:space="0" w:color="auto"/>
                                            <w:bottom w:val="none" w:sz="0" w:space="0" w:color="auto"/>
                                            <w:right w:val="none" w:sz="0" w:space="0" w:color="auto"/>
                                          </w:divBdr>
                                          <w:divsChild>
                                            <w:div w:id="1847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499891">
      <w:bodyDiv w:val="1"/>
      <w:marLeft w:val="0"/>
      <w:marRight w:val="0"/>
      <w:marTop w:val="0"/>
      <w:marBottom w:val="0"/>
      <w:divBdr>
        <w:top w:val="none" w:sz="0" w:space="0" w:color="auto"/>
        <w:left w:val="none" w:sz="0" w:space="0" w:color="auto"/>
        <w:bottom w:val="none" w:sz="0" w:space="0" w:color="auto"/>
        <w:right w:val="none" w:sz="0" w:space="0" w:color="auto"/>
      </w:divBdr>
      <w:divsChild>
        <w:div w:id="1947422295">
          <w:marLeft w:val="0"/>
          <w:marRight w:val="0"/>
          <w:marTop w:val="0"/>
          <w:marBottom w:val="0"/>
          <w:divBdr>
            <w:top w:val="none" w:sz="0" w:space="0" w:color="auto"/>
            <w:left w:val="none" w:sz="0" w:space="0" w:color="auto"/>
            <w:bottom w:val="none" w:sz="0" w:space="0" w:color="auto"/>
            <w:right w:val="none" w:sz="0" w:space="0" w:color="auto"/>
          </w:divBdr>
          <w:divsChild>
            <w:div w:id="868495877">
              <w:marLeft w:val="0"/>
              <w:marRight w:val="0"/>
              <w:marTop w:val="0"/>
              <w:marBottom w:val="0"/>
              <w:divBdr>
                <w:top w:val="none" w:sz="0" w:space="0" w:color="auto"/>
                <w:left w:val="none" w:sz="0" w:space="0" w:color="auto"/>
                <w:bottom w:val="none" w:sz="0" w:space="0" w:color="auto"/>
                <w:right w:val="none" w:sz="0" w:space="0" w:color="auto"/>
              </w:divBdr>
              <w:divsChild>
                <w:div w:id="1871187006">
                  <w:marLeft w:val="0"/>
                  <w:marRight w:val="0"/>
                  <w:marTop w:val="0"/>
                  <w:marBottom w:val="0"/>
                  <w:divBdr>
                    <w:top w:val="none" w:sz="0" w:space="0" w:color="auto"/>
                    <w:left w:val="none" w:sz="0" w:space="0" w:color="auto"/>
                    <w:bottom w:val="none" w:sz="0" w:space="0" w:color="auto"/>
                    <w:right w:val="none" w:sz="0" w:space="0" w:color="auto"/>
                  </w:divBdr>
                  <w:divsChild>
                    <w:div w:id="844634557">
                      <w:marLeft w:val="0"/>
                      <w:marRight w:val="0"/>
                      <w:marTop w:val="0"/>
                      <w:marBottom w:val="0"/>
                      <w:divBdr>
                        <w:top w:val="none" w:sz="0" w:space="0" w:color="auto"/>
                        <w:left w:val="none" w:sz="0" w:space="0" w:color="auto"/>
                        <w:bottom w:val="none" w:sz="0" w:space="0" w:color="auto"/>
                        <w:right w:val="none" w:sz="0" w:space="0" w:color="auto"/>
                      </w:divBdr>
                      <w:divsChild>
                        <w:div w:id="1885799022">
                          <w:marLeft w:val="0"/>
                          <w:marRight w:val="0"/>
                          <w:marTop w:val="0"/>
                          <w:marBottom w:val="0"/>
                          <w:divBdr>
                            <w:top w:val="single" w:sz="6" w:space="0" w:color="828282"/>
                            <w:left w:val="single" w:sz="6" w:space="0" w:color="828282"/>
                            <w:bottom w:val="single" w:sz="6" w:space="0" w:color="828282"/>
                            <w:right w:val="single" w:sz="6" w:space="0" w:color="828282"/>
                          </w:divBdr>
                          <w:divsChild>
                            <w:div w:id="215052095">
                              <w:marLeft w:val="0"/>
                              <w:marRight w:val="0"/>
                              <w:marTop w:val="0"/>
                              <w:marBottom w:val="0"/>
                              <w:divBdr>
                                <w:top w:val="none" w:sz="0" w:space="0" w:color="auto"/>
                                <w:left w:val="none" w:sz="0" w:space="0" w:color="auto"/>
                                <w:bottom w:val="none" w:sz="0" w:space="0" w:color="auto"/>
                                <w:right w:val="none" w:sz="0" w:space="0" w:color="auto"/>
                              </w:divBdr>
                              <w:divsChild>
                                <w:div w:id="1431462626">
                                  <w:marLeft w:val="0"/>
                                  <w:marRight w:val="0"/>
                                  <w:marTop w:val="0"/>
                                  <w:marBottom w:val="0"/>
                                  <w:divBdr>
                                    <w:top w:val="none" w:sz="0" w:space="0" w:color="auto"/>
                                    <w:left w:val="none" w:sz="0" w:space="0" w:color="auto"/>
                                    <w:bottom w:val="none" w:sz="0" w:space="0" w:color="auto"/>
                                    <w:right w:val="none" w:sz="0" w:space="0" w:color="auto"/>
                                  </w:divBdr>
                                  <w:divsChild>
                                    <w:div w:id="1892501454">
                                      <w:marLeft w:val="0"/>
                                      <w:marRight w:val="0"/>
                                      <w:marTop w:val="0"/>
                                      <w:marBottom w:val="0"/>
                                      <w:divBdr>
                                        <w:top w:val="none" w:sz="0" w:space="0" w:color="auto"/>
                                        <w:left w:val="none" w:sz="0" w:space="0" w:color="auto"/>
                                        <w:bottom w:val="none" w:sz="0" w:space="0" w:color="auto"/>
                                        <w:right w:val="none" w:sz="0" w:space="0" w:color="auto"/>
                                      </w:divBdr>
                                      <w:divsChild>
                                        <w:div w:id="1946839460">
                                          <w:marLeft w:val="0"/>
                                          <w:marRight w:val="0"/>
                                          <w:marTop w:val="0"/>
                                          <w:marBottom w:val="0"/>
                                          <w:divBdr>
                                            <w:top w:val="none" w:sz="0" w:space="0" w:color="auto"/>
                                            <w:left w:val="none" w:sz="0" w:space="0" w:color="auto"/>
                                            <w:bottom w:val="none" w:sz="0" w:space="0" w:color="auto"/>
                                            <w:right w:val="none" w:sz="0" w:space="0" w:color="auto"/>
                                          </w:divBdr>
                                          <w:divsChild>
                                            <w:div w:id="111176161">
                                              <w:marLeft w:val="0"/>
                                              <w:marRight w:val="0"/>
                                              <w:marTop w:val="0"/>
                                              <w:marBottom w:val="0"/>
                                              <w:divBdr>
                                                <w:top w:val="none" w:sz="0" w:space="0" w:color="auto"/>
                                                <w:left w:val="none" w:sz="0" w:space="0" w:color="auto"/>
                                                <w:bottom w:val="none" w:sz="0" w:space="0" w:color="auto"/>
                                                <w:right w:val="none" w:sz="0" w:space="0" w:color="auto"/>
                                              </w:divBdr>
                                              <w:divsChild>
                                                <w:div w:id="12779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944364">
      <w:bodyDiv w:val="1"/>
      <w:marLeft w:val="0"/>
      <w:marRight w:val="0"/>
      <w:marTop w:val="0"/>
      <w:marBottom w:val="0"/>
      <w:divBdr>
        <w:top w:val="none" w:sz="0" w:space="0" w:color="auto"/>
        <w:left w:val="none" w:sz="0" w:space="0" w:color="auto"/>
        <w:bottom w:val="none" w:sz="0" w:space="0" w:color="auto"/>
        <w:right w:val="none" w:sz="0" w:space="0" w:color="auto"/>
      </w:divBdr>
      <w:divsChild>
        <w:div w:id="739181551">
          <w:marLeft w:val="0"/>
          <w:marRight w:val="0"/>
          <w:marTop w:val="0"/>
          <w:marBottom w:val="0"/>
          <w:divBdr>
            <w:top w:val="none" w:sz="0" w:space="0" w:color="auto"/>
            <w:left w:val="none" w:sz="0" w:space="0" w:color="auto"/>
            <w:bottom w:val="none" w:sz="0" w:space="0" w:color="auto"/>
            <w:right w:val="none" w:sz="0" w:space="0" w:color="auto"/>
          </w:divBdr>
          <w:divsChild>
            <w:div w:id="813763996">
              <w:marLeft w:val="0"/>
              <w:marRight w:val="0"/>
              <w:marTop w:val="0"/>
              <w:marBottom w:val="0"/>
              <w:divBdr>
                <w:top w:val="none" w:sz="0" w:space="0" w:color="auto"/>
                <w:left w:val="none" w:sz="0" w:space="0" w:color="auto"/>
                <w:bottom w:val="none" w:sz="0" w:space="0" w:color="auto"/>
                <w:right w:val="none" w:sz="0" w:space="0" w:color="auto"/>
              </w:divBdr>
              <w:divsChild>
                <w:div w:id="668488908">
                  <w:marLeft w:val="0"/>
                  <w:marRight w:val="0"/>
                  <w:marTop w:val="0"/>
                  <w:marBottom w:val="0"/>
                  <w:divBdr>
                    <w:top w:val="none" w:sz="0" w:space="0" w:color="auto"/>
                    <w:left w:val="none" w:sz="0" w:space="0" w:color="auto"/>
                    <w:bottom w:val="none" w:sz="0" w:space="0" w:color="auto"/>
                    <w:right w:val="none" w:sz="0" w:space="0" w:color="auto"/>
                  </w:divBdr>
                  <w:divsChild>
                    <w:div w:id="2027900928">
                      <w:marLeft w:val="0"/>
                      <w:marRight w:val="0"/>
                      <w:marTop w:val="0"/>
                      <w:marBottom w:val="0"/>
                      <w:divBdr>
                        <w:top w:val="none" w:sz="0" w:space="0" w:color="auto"/>
                        <w:left w:val="none" w:sz="0" w:space="0" w:color="auto"/>
                        <w:bottom w:val="none" w:sz="0" w:space="0" w:color="auto"/>
                        <w:right w:val="none" w:sz="0" w:space="0" w:color="auto"/>
                      </w:divBdr>
                      <w:divsChild>
                        <w:div w:id="1181819766">
                          <w:marLeft w:val="0"/>
                          <w:marRight w:val="0"/>
                          <w:marTop w:val="0"/>
                          <w:marBottom w:val="0"/>
                          <w:divBdr>
                            <w:top w:val="none" w:sz="0" w:space="0" w:color="auto"/>
                            <w:left w:val="none" w:sz="0" w:space="0" w:color="auto"/>
                            <w:bottom w:val="none" w:sz="0" w:space="0" w:color="auto"/>
                            <w:right w:val="none" w:sz="0" w:space="0" w:color="auto"/>
                          </w:divBdr>
                          <w:divsChild>
                            <w:div w:id="1040007598">
                              <w:marLeft w:val="0"/>
                              <w:marRight w:val="0"/>
                              <w:marTop w:val="0"/>
                              <w:marBottom w:val="0"/>
                              <w:divBdr>
                                <w:top w:val="none" w:sz="0" w:space="0" w:color="auto"/>
                                <w:left w:val="none" w:sz="0" w:space="0" w:color="auto"/>
                                <w:bottom w:val="none" w:sz="0" w:space="0" w:color="auto"/>
                                <w:right w:val="none" w:sz="0" w:space="0" w:color="auto"/>
                              </w:divBdr>
                              <w:divsChild>
                                <w:div w:id="42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7863-62A0-45A1-A5EE-7733B0EC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2195</Words>
  <Characters>12514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RAMSEY, Jyoti</dc:creator>
  <cp:lastModifiedBy>Burrowes, Megan</cp:lastModifiedBy>
  <cp:revision>2</cp:revision>
  <cp:lastPrinted>2014-01-28T07:47:00Z</cp:lastPrinted>
  <dcterms:created xsi:type="dcterms:W3CDTF">2014-01-29T04:43:00Z</dcterms:created>
  <dcterms:modified xsi:type="dcterms:W3CDTF">2014-01-29T04:43:00Z</dcterms:modified>
</cp:coreProperties>
</file>