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F6" w:rsidRDefault="00C117F6">
      <w:pPr>
        <w:pStyle w:val="BodyText"/>
        <w:jc w:val="center"/>
        <w:rPr>
          <w:b/>
          <w:bCs/>
        </w:rPr>
      </w:pPr>
      <w:r>
        <w:rPr>
          <w:b/>
          <w:bCs/>
        </w:rPr>
        <w:t>Australian Securities and Investments Commission</w:t>
      </w:r>
      <w:r>
        <w:rPr>
          <w:b/>
          <w:bCs/>
        </w:rPr>
        <w:br/>
        <w:t xml:space="preserve">Corporations Act 2001 — </w:t>
      </w:r>
      <w:r w:rsidR="00B77A28">
        <w:rPr>
          <w:b/>
          <w:bCs/>
        </w:rPr>
        <w:t xml:space="preserve">Subsection 341(1) </w:t>
      </w:r>
      <w:r>
        <w:rPr>
          <w:b/>
          <w:bCs/>
        </w:rPr>
        <w:t xml:space="preserve">— </w:t>
      </w:r>
      <w:r w:rsidR="00CE1851">
        <w:rPr>
          <w:b/>
          <w:bCs/>
        </w:rPr>
        <w:t>Amendment</w:t>
      </w:r>
    </w:p>
    <w:p w:rsidR="00C117F6" w:rsidRDefault="00C117F6">
      <w:pPr>
        <w:pStyle w:val="BodyText"/>
        <w:rPr>
          <w:b/>
          <w:bCs/>
        </w:rPr>
      </w:pPr>
      <w:r>
        <w:rPr>
          <w:b/>
          <w:bCs/>
        </w:rPr>
        <w:t>Enabling legislation</w:t>
      </w:r>
    </w:p>
    <w:p w:rsidR="00C117F6" w:rsidRDefault="00C117F6">
      <w:pPr>
        <w:pStyle w:val="BodyText"/>
        <w:ind w:left="709" w:hanging="709"/>
      </w:pPr>
      <w:r>
        <w:t>1.</w:t>
      </w:r>
      <w:r>
        <w:tab/>
        <w:t xml:space="preserve">The Australian Securities and Investments Commission makes this instrument under </w:t>
      </w:r>
      <w:r w:rsidR="00B77A28">
        <w:t xml:space="preserve">subsection 341(1) </w:t>
      </w:r>
      <w:r>
        <w:t xml:space="preserve">of the </w:t>
      </w:r>
      <w:r>
        <w:rPr>
          <w:i/>
          <w:iCs/>
        </w:rPr>
        <w:t>Corporations Act 2001</w:t>
      </w:r>
      <w:r w:rsidR="00220CA0">
        <w:rPr>
          <w:iCs/>
        </w:rPr>
        <w:t xml:space="preserve"> (the </w:t>
      </w:r>
      <w:r w:rsidR="00220CA0" w:rsidRPr="00220CA0">
        <w:rPr>
          <w:b/>
          <w:i/>
          <w:iCs/>
        </w:rPr>
        <w:t>Act</w:t>
      </w:r>
      <w:r w:rsidR="00220CA0">
        <w:rPr>
          <w:iCs/>
        </w:rPr>
        <w:t>)</w:t>
      </w:r>
      <w:r>
        <w:t>.</w:t>
      </w:r>
    </w:p>
    <w:p w:rsidR="00C117F6" w:rsidRDefault="00C117F6">
      <w:pPr>
        <w:pStyle w:val="BodyText"/>
        <w:ind w:left="709" w:hanging="709"/>
        <w:rPr>
          <w:b/>
          <w:bCs/>
        </w:rPr>
      </w:pPr>
      <w:r>
        <w:rPr>
          <w:b/>
          <w:bCs/>
        </w:rPr>
        <w:t>Title</w:t>
      </w:r>
    </w:p>
    <w:p w:rsidR="00C117F6" w:rsidRDefault="00C117F6">
      <w:pPr>
        <w:pStyle w:val="BodyText"/>
        <w:ind w:left="709" w:hanging="709"/>
      </w:pPr>
      <w:r>
        <w:t>2.</w:t>
      </w:r>
      <w:r>
        <w:tab/>
        <w:t>This instr</w:t>
      </w:r>
      <w:r w:rsidR="00B77A28">
        <w:t>ument is ASIC Class Order [CO 13</w:t>
      </w:r>
      <w:r>
        <w:t>/</w:t>
      </w:r>
      <w:r w:rsidR="00645516">
        <w:t>1644</w:t>
      </w:r>
      <w:r>
        <w:t>].</w:t>
      </w:r>
    </w:p>
    <w:p w:rsidR="00C117F6" w:rsidRDefault="00C117F6">
      <w:pPr>
        <w:pStyle w:val="BodyText"/>
        <w:ind w:left="709" w:hanging="709"/>
        <w:rPr>
          <w:b/>
          <w:bCs/>
        </w:rPr>
      </w:pPr>
      <w:r>
        <w:rPr>
          <w:b/>
          <w:bCs/>
        </w:rPr>
        <w:t>Commencement</w:t>
      </w:r>
    </w:p>
    <w:p w:rsidR="00C117F6" w:rsidRDefault="00C117F6">
      <w:pPr>
        <w:pStyle w:val="BodyText"/>
        <w:ind w:left="709" w:hanging="709"/>
      </w:pPr>
      <w:r>
        <w:t>3.</w:t>
      </w:r>
      <w:r>
        <w:tab/>
        <w:t xml:space="preserve">This instrument commences on the date it is registered under the </w:t>
      </w:r>
      <w:r>
        <w:rPr>
          <w:i/>
          <w:iCs/>
        </w:rPr>
        <w:t>Legislative Instruments Act 2003</w:t>
      </w:r>
      <w:r>
        <w:t>.</w:t>
      </w:r>
    </w:p>
    <w:p w:rsidR="00C117F6" w:rsidRDefault="00C117F6">
      <w:pPr>
        <w:pStyle w:val="BodyTextIndent"/>
        <w:ind w:left="1560" w:hanging="851"/>
        <w:rPr>
          <w:sz w:val="18"/>
        </w:rPr>
      </w:pPr>
      <w:r>
        <w:rPr>
          <w:sz w:val="18"/>
        </w:rPr>
        <w:t>Note:</w:t>
      </w:r>
      <w:r>
        <w:rPr>
          <w:sz w:val="18"/>
        </w:rPr>
        <w:tab/>
        <w:t>An instrument is registered when it is recorded on the Federal Register of Legislative Instruments (</w:t>
      </w:r>
      <w:r>
        <w:rPr>
          <w:b/>
          <w:bCs/>
          <w:i/>
          <w:iCs/>
          <w:sz w:val="18"/>
        </w:rPr>
        <w:t>FRLI</w:t>
      </w:r>
      <w:r>
        <w:rPr>
          <w:sz w:val="18"/>
        </w:rPr>
        <w:t xml:space="preserve">) in electronic form: see </w:t>
      </w:r>
      <w:r>
        <w:rPr>
          <w:i/>
          <w:iCs/>
          <w:sz w:val="18"/>
        </w:rPr>
        <w:t>Legislative Instruments Act 2003</w:t>
      </w:r>
      <w:r>
        <w:rPr>
          <w:sz w:val="18"/>
        </w:rPr>
        <w:t xml:space="preserve">, s 4 (definition of </w:t>
      </w:r>
      <w:r>
        <w:rPr>
          <w:b/>
          <w:bCs/>
          <w:i/>
          <w:iCs/>
          <w:sz w:val="18"/>
        </w:rPr>
        <w:t>register</w:t>
      </w:r>
      <w:r>
        <w:rPr>
          <w:sz w:val="18"/>
        </w:rPr>
        <w:t xml:space="preserve">).  The FRLI may be accessed at </w:t>
      </w:r>
      <w:hyperlink r:id="rId7" w:history="1">
        <w:r>
          <w:rPr>
            <w:rStyle w:val="Hyperlink"/>
            <w:color w:val="000000"/>
            <w:sz w:val="18"/>
          </w:rPr>
          <w:t>http://www.frli.gov.au/</w:t>
        </w:r>
      </w:hyperlink>
      <w:r>
        <w:rPr>
          <w:sz w:val="18"/>
        </w:rPr>
        <w:t>.</w:t>
      </w:r>
    </w:p>
    <w:p w:rsidR="00B63EDD" w:rsidRDefault="00B63EDD">
      <w:pPr>
        <w:pStyle w:val="BodyTextIndent"/>
        <w:ind w:left="1560" w:hanging="851"/>
        <w:rPr>
          <w:sz w:val="18"/>
        </w:rPr>
      </w:pPr>
    </w:p>
    <w:p w:rsidR="00295CF8" w:rsidRPr="009930B5" w:rsidRDefault="00CE1851" w:rsidP="009930B5">
      <w:pPr>
        <w:pStyle w:val="BodyText"/>
        <w:spacing w:before="0" w:after="0"/>
        <w:ind w:left="709" w:hanging="709"/>
        <w:rPr>
          <w:b/>
          <w:bCs/>
        </w:rPr>
      </w:pPr>
      <w:r>
        <w:rPr>
          <w:b/>
          <w:bCs/>
        </w:rPr>
        <w:t>Amendment</w:t>
      </w:r>
    </w:p>
    <w:p w:rsidR="00295CF8" w:rsidRDefault="00295CF8" w:rsidP="00B63EDD">
      <w:pPr>
        <w:pStyle w:val="BodyText"/>
        <w:spacing w:before="0" w:after="0"/>
        <w:ind w:left="709" w:hanging="709"/>
        <w:rPr>
          <w:b/>
          <w:bCs/>
        </w:rPr>
      </w:pPr>
    </w:p>
    <w:p w:rsidR="00CE1851" w:rsidRDefault="00C117F6" w:rsidP="004A1E61">
      <w:pPr>
        <w:overflowPunct/>
        <w:autoSpaceDE/>
        <w:autoSpaceDN/>
        <w:adjustRightInd/>
        <w:spacing w:after="200"/>
        <w:ind w:left="709" w:hanging="709"/>
        <w:textAlignment w:val="auto"/>
      </w:pPr>
      <w:r>
        <w:t>4.</w:t>
      </w:r>
      <w:r>
        <w:tab/>
      </w:r>
      <w:r w:rsidR="00CE1851">
        <w:t>ASIC Class Order [CO 13/1050] is amended as follows:</w:t>
      </w:r>
    </w:p>
    <w:p w:rsidR="00CE1851" w:rsidRDefault="00CE1851" w:rsidP="003B0D05">
      <w:pPr>
        <w:pStyle w:val="Style1"/>
      </w:pPr>
      <w:r>
        <w:t>(a)</w:t>
      </w:r>
      <w:r>
        <w:tab/>
      </w:r>
      <w:proofErr w:type="gramStart"/>
      <w:r>
        <w:t>omit</w:t>
      </w:r>
      <w:proofErr w:type="gramEnd"/>
      <w:r>
        <w:t xml:space="preserve"> subparagraphs 4(a) and (b), substitute:</w:t>
      </w:r>
    </w:p>
    <w:p w:rsidR="00CE1851" w:rsidRDefault="00CE1851" w:rsidP="003B0D05">
      <w:pPr>
        <w:pStyle w:val="Style2"/>
      </w:pPr>
      <w:r>
        <w:t>“(a)</w:t>
      </w:r>
      <w:r>
        <w:tab/>
      </w:r>
      <w:r w:rsidRPr="00CE1851">
        <w:t xml:space="preserve">subsection 292(1) and subsection 314(1) of the Act in relation to a financial year (the </w:t>
      </w:r>
      <w:r w:rsidRPr="00CE1851">
        <w:rPr>
          <w:b/>
          <w:i/>
        </w:rPr>
        <w:t>relevant year</w:t>
      </w:r>
      <w:r w:rsidRPr="00CE1851">
        <w:t>); and</w:t>
      </w:r>
    </w:p>
    <w:p w:rsidR="00CE1851" w:rsidRDefault="00CE1851" w:rsidP="003B0D05">
      <w:pPr>
        <w:pStyle w:val="Style2"/>
      </w:pPr>
      <w:r>
        <w:t>(b)</w:t>
      </w:r>
      <w:r>
        <w:tab/>
      </w:r>
      <w:proofErr w:type="gramStart"/>
      <w:r w:rsidRPr="00CE1851">
        <w:t>section</w:t>
      </w:r>
      <w:proofErr w:type="gramEnd"/>
      <w:r w:rsidRPr="00CE1851">
        <w:t xml:space="preserve"> 302 of the Act in relation to a half-year (the </w:t>
      </w:r>
      <w:r w:rsidRPr="00CE1851">
        <w:rPr>
          <w:b/>
          <w:i/>
        </w:rPr>
        <w:t>relevant half-year</w:t>
      </w:r>
      <w:r w:rsidRPr="00CE1851">
        <w:t>),</w:t>
      </w:r>
      <w:r>
        <w:t>”;</w:t>
      </w:r>
    </w:p>
    <w:p w:rsidR="00263555" w:rsidRDefault="00CE1851" w:rsidP="003B0D05">
      <w:pPr>
        <w:pStyle w:val="Style1"/>
      </w:pPr>
      <w:r>
        <w:t>(b)</w:t>
      </w:r>
      <w:r>
        <w:tab/>
      </w:r>
      <w:proofErr w:type="gramStart"/>
      <w:r w:rsidR="00263555">
        <w:t>omit</w:t>
      </w:r>
      <w:proofErr w:type="gramEnd"/>
      <w:r w:rsidR="00263555">
        <w:t xml:space="preserve"> subparagraph 5(a), substitute:</w:t>
      </w:r>
    </w:p>
    <w:p w:rsidR="003B0D05" w:rsidRDefault="009930B5" w:rsidP="003B0D05">
      <w:pPr>
        <w:pStyle w:val="Style2"/>
        <w:rPr>
          <w:lang w:val="en-US"/>
        </w:rPr>
      </w:pPr>
      <w:r>
        <w:rPr>
          <w:lang w:val="en-US"/>
        </w:rPr>
        <w:t>“(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)</w:t>
      </w:r>
      <w:r>
        <w:rPr>
          <w:lang w:val="en-US"/>
        </w:rPr>
        <w:tab/>
      </w:r>
      <w:r w:rsidR="007041DF">
        <w:rPr>
          <w:lang w:val="en-US"/>
        </w:rPr>
        <w:t>one of the following applies:</w:t>
      </w:r>
    </w:p>
    <w:p w:rsidR="00263555" w:rsidRPr="007041DF" w:rsidRDefault="00263555" w:rsidP="003B0D05">
      <w:pPr>
        <w:pStyle w:val="Style3"/>
      </w:pPr>
      <w:r w:rsidRPr="007041DF">
        <w:t>(</w:t>
      </w:r>
      <w:proofErr w:type="spellStart"/>
      <w:r w:rsidRPr="007041DF">
        <w:t>i</w:t>
      </w:r>
      <w:proofErr w:type="spellEnd"/>
      <w:r w:rsidRPr="007041DF">
        <w:t>)</w:t>
      </w:r>
      <w:r w:rsidRPr="007041DF">
        <w:tab/>
        <w:t>the relevant entity prepared a financial report under Chapter 2M of the Act for the previous reporting period that contained consolidated financial statements or combined financial statements that included the other group members;</w:t>
      </w:r>
    </w:p>
    <w:p w:rsidR="00263555" w:rsidRPr="00263555" w:rsidRDefault="009930B5" w:rsidP="003B0D05">
      <w:pPr>
        <w:pStyle w:val="Style3"/>
      </w:pPr>
      <w:r>
        <w:t xml:space="preserve">(ii) </w:t>
      </w:r>
      <w:r w:rsidR="003B0D05">
        <w:tab/>
      </w:r>
      <w:proofErr w:type="gramStart"/>
      <w:r w:rsidR="00263555" w:rsidRPr="00263555">
        <w:t>since</w:t>
      </w:r>
      <w:proofErr w:type="gramEnd"/>
      <w:r w:rsidR="00263555" w:rsidRPr="00263555">
        <w:t xml:space="preserve"> the time that the stapled group in</w:t>
      </w:r>
      <w:r>
        <w:t>cluded the</w:t>
      </w:r>
      <w:r w:rsidR="00203FA2">
        <w:t xml:space="preserve"> relevant entity and the</w:t>
      </w:r>
      <w:r>
        <w:t xml:space="preserve"> other group members,</w:t>
      </w:r>
      <w:r w:rsidR="00263555" w:rsidRPr="00263555">
        <w:t xml:space="preserve"> the relevant entity has not prepared a financial repo</w:t>
      </w:r>
      <w:r w:rsidR="00263555">
        <w:t>rt under Chapter 2M of the Act</w:t>
      </w:r>
      <w:r w:rsidR="00203FA2">
        <w:t xml:space="preserve"> other than the relevant entity report</w:t>
      </w:r>
      <w:r w:rsidR="00263555">
        <w:t>;”</w:t>
      </w:r>
      <w:r>
        <w:t>;</w:t>
      </w:r>
    </w:p>
    <w:p w:rsidR="00263555" w:rsidRDefault="00263555" w:rsidP="003B0D05">
      <w:pPr>
        <w:pStyle w:val="Style1"/>
        <w:rPr>
          <w:lang w:val="en-US"/>
        </w:rPr>
      </w:pPr>
      <w:r>
        <w:rPr>
          <w:lang w:val="en-US"/>
        </w:rPr>
        <w:t>(c)</w:t>
      </w:r>
      <w:r>
        <w:rPr>
          <w:lang w:val="en-US"/>
        </w:rPr>
        <w:tab/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subparagraph 5(b):</w:t>
      </w:r>
    </w:p>
    <w:p w:rsidR="00263555" w:rsidRDefault="00263555" w:rsidP="003B0D05">
      <w:pPr>
        <w:pStyle w:val="Style2"/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omit “whichever was presented for the reporting period ended 31 December 2012”, substitute “</w:t>
      </w:r>
      <w:r w:rsidRPr="00263555">
        <w:rPr>
          <w:lang w:val="en-US"/>
        </w:rPr>
        <w:t>whichever was presented for the previous reporting period if sub-subparagraph 5(a)(</w:t>
      </w:r>
      <w:proofErr w:type="spellStart"/>
      <w:r w:rsidRPr="00263555">
        <w:rPr>
          <w:lang w:val="en-US"/>
        </w:rPr>
        <w:t>i</w:t>
      </w:r>
      <w:proofErr w:type="spellEnd"/>
      <w:r w:rsidRPr="00263555">
        <w:rPr>
          <w:lang w:val="en-US"/>
        </w:rPr>
        <w:t xml:space="preserve">) applies </w:t>
      </w:r>
      <w:r w:rsidR="009E5B38">
        <w:rPr>
          <w:lang w:val="en-US"/>
        </w:rPr>
        <w:t>or</w:t>
      </w:r>
      <w:r w:rsidRPr="00263555">
        <w:rPr>
          <w:lang w:val="en-US"/>
        </w:rPr>
        <w:t xml:space="preserve"> </w:t>
      </w:r>
      <w:r w:rsidR="009F716B">
        <w:rPr>
          <w:lang w:val="en-US"/>
        </w:rPr>
        <w:t>co</w:t>
      </w:r>
      <w:r w:rsidR="00A83122">
        <w:rPr>
          <w:lang w:val="en-US"/>
        </w:rPr>
        <w:t>nsolidat</w:t>
      </w:r>
      <w:r w:rsidR="009F716B">
        <w:rPr>
          <w:lang w:val="en-US"/>
        </w:rPr>
        <w:t>ed financial statements if sub-subparagraph 5(a)(ii) applies</w:t>
      </w:r>
      <w:r>
        <w:rPr>
          <w:lang w:val="en-US"/>
        </w:rPr>
        <w:t>”;</w:t>
      </w:r>
      <w:r w:rsidR="00203FA2">
        <w:rPr>
          <w:lang w:val="en-US"/>
        </w:rPr>
        <w:t xml:space="preserve"> and</w:t>
      </w:r>
    </w:p>
    <w:p w:rsidR="00263555" w:rsidRDefault="00263555" w:rsidP="003B0D05">
      <w:pPr>
        <w:pStyle w:val="Style2"/>
        <w:rPr>
          <w:lang w:val="en-US"/>
        </w:rPr>
      </w:pPr>
      <w:r>
        <w:rPr>
          <w:lang w:val="en-US"/>
        </w:rPr>
        <w:lastRenderedPageBreak/>
        <w:t>(ii)</w:t>
      </w:r>
      <w:r>
        <w:rPr>
          <w:lang w:val="en-US"/>
        </w:rPr>
        <w:tab/>
      </w:r>
      <w:proofErr w:type="gramStart"/>
      <w:r>
        <w:rPr>
          <w:lang w:val="en-US"/>
        </w:rPr>
        <w:t>omit</w:t>
      </w:r>
      <w:proofErr w:type="gramEnd"/>
      <w:r>
        <w:rPr>
          <w:lang w:val="en-US"/>
        </w:rPr>
        <w:t xml:space="preserve"> “</w:t>
      </w:r>
      <w:r w:rsidRPr="00263555">
        <w:t xml:space="preserve">were included </w:t>
      </w:r>
      <w:r w:rsidRPr="00263555">
        <w:rPr>
          <w:lang w:val="en-US"/>
        </w:rPr>
        <w:t>in the financial report for the reporting period ended 31 December 2012</w:t>
      </w:r>
      <w:r>
        <w:rPr>
          <w:lang w:val="en-US"/>
        </w:rPr>
        <w:t xml:space="preserve">” (wherever occurring), substitute “are </w:t>
      </w:r>
      <w:r w:rsidR="00203FA2">
        <w:rPr>
          <w:lang w:val="en-US"/>
        </w:rPr>
        <w:t>included</w:t>
      </w:r>
      <w:r>
        <w:rPr>
          <w:lang w:val="en-US"/>
        </w:rPr>
        <w:t>”</w:t>
      </w:r>
      <w:r w:rsidR="00993DC1">
        <w:rPr>
          <w:lang w:val="en-US"/>
        </w:rPr>
        <w:t>;</w:t>
      </w:r>
    </w:p>
    <w:p w:rsidR="00CE1851" w:rsidRDefault="00263555" w:rsidP="003B0D05">
      <w:pPr>
        <w:pStyle w:val="Style1"/>
        <w:rPr>
          <w:lang w:val="en-US"/>
        </w:rPr>
      </w:pPr>
      <w:r>
        <w:rPr>
          <w:lang w:val="en-US"/>
        </w:rPr>
        <w:t>(d)</w:t>
      </w:r>
      <w:r>
        <w:rPr>
          <w:lang w:val="en-US"/>
        </w:rPr>
        <w:tab/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subparagraph (5)(d), omit “Act.”, substitute “Act;”</w:t>
      </w:r>
      <w:r w:rsidR="00993DC1">
        <w:rPr>
          <w:lang w:val="en-US"/>
        </w:rPr>
        <w:t>;</w:t>
      </w:r>
    </w:p>
    <w:p w:rsidR="00993DC1" w:rsidRDefault="00993DC1" w:rsidP="003B0D05">
      <w:pPr>
        <w:pStyle w:val="Style1"/>
        <w:rPr>
          <w:lang w:val="en-US"/>
        </w:rPr>
      </w:pPr>
      <w:r>
        <w:rPr>
          <w:lang w:val="en-US"/>
        </w:rPr>
        <w:t>(e)</w:t>
      </w:r>
      <w:r>
        <w:rPr>
          <w:lang w:val="en-US"/>
        </w:rPr>
        <w:tab/>
      </w:r>
      <w:proofErr w:type="gramStart"/>
      <w:r>
        <w:rPr>
          <w:lang w:val="en-US"/>
        </w:rPr>
        <w:t>after</w:t>
      </w:r>
      <w:proofErr w:type="gramEnd"/>
      <w:r>
        <w:rPr>
          <w:lang w:val="en-US"/>
        </w:rPr>
        <w:t xml:space="preserve"> subparagraph (5)(d), insert:</w:t>
      </w:r>
    </w:p>
    <w:p w:rsidR="00993DC1" w:rsidRPr="00993DC1" w:rsidRDefault="00993DC1" w:rsidP="003B0D05">
      <w:pPr>
        <w:pStyle w:val="Style2"/>
        <w:rPr>
          <w:lang w:val="en-US"/>
        </w:rPr>
      </w:pPr>
      <w:r>
        <w:rPr>
          <w:lang w:val="en-US"/>
        </w:rPr>
        <w:t>“(e)</w:t>
      </w:r>
      <w:r w:rsidRPr="00993DC1">
        <w:rPr>
          <w:lang w:val="en-US"/>
        </w:rPr>
        <w:t xml:space="preserve"> </w:t>
      </w:r>
      <w:r w:rsidR="003B0D05">
        <w:rPr>
          <w:lang w:val="en-US"/>
        </w:rPr>
        <w:tab/>
      </w:r>
      <w:proofErr w:type="gramStart"/>
      <w:r w:rsidRPr="00993DC1">
        <w:rPr>
          <w:lang w:val="en-US"/>
        </w:rPr>
        <w:t>the</w:t>
      </w:r>
      <w:proofErr w:type="gramEnd"/>
      <w:r w:rsidRPr="00993DC1">
        <w:rPr>
          <w:lang w:val="en-US"/>
        </w:rPr>
        <w:t xml:space="preserve"> relevant entity report discloses </w:t>
      </w:r>
      <w:r w:rsidR="00C35761">
        <w:rPr>
          <w:lang w:val="en-US"/>
        </w:rPr>
        <w:t xml:space="preserve">whether </w:t>
      </w:r>
      <w:r w:rsidR="00A83122">
        <w:rPr>
          <w:lang w:val="en-US"/>
        </w:rPr>
        <w:t xml:space="preserve">the financial statements </w:t>
      </w:r>
      <w:r w:rsidRPr="00993DC1">
        <w:rPr>
          <w:lang w:val="en-US"/>
        </w:rPr>
        <w:t>presented in accordance with this instrument</w:t>
      </w:r>
      <w:r w:rsidR="00A83122">
        <w:rPr>
          <w:lang w:val="en-US"/>
        </w:rPr>
        <w:t xml:space="preserve"> are </w:t>
      </w:r>
      <w:r w:rsidR="00A83122" w:rsidRPr="00A83122">
        <w:rPr>
          <w:lang w:val="en-US"/>
        </w:rPr>
        <w:t>consolidated financial statements or combined financial statements</w:t>
      </w:r>
      <w:r w:rsidRPr="00993DC1">
        <w:rPr>
          <w:lang w:val="en-US"/>
        </w:rPr>
        <w:t xml:space="preserve">; </w:t>
      </w:r>
    </w:p>
    <w:p w:rsidR="00993DC1" w:rsidRDefault="00993DC1" w:rsidP="003B0D05">
      <w:pPr>
        <w:pStyle w:val="Style2"/>
        <w:rPr>
          <w:lang w:val="en-US"/>
        </w:rPr>
      </w:pPr>
      <w:r>
        <w:rPr>
          <w:lang w:val="en-US"/>
        </w:rPr>
        <w:t>(f)</w:t>
      </w:r>
      <w:r>
        <w:rPr>
          <w:lang w:val="en-US"/>
        </w:rPr>
        <w:tab/>
      </w:r>
      <w:proofErr w:type="gramStart"/>
      <w:r w:rsidRPr="00993DC1">
        <w:rPr>
          <w:lang w:val="en-US"/>
        </w:rPr>
        <w:t>the</w:t>
      </w:r>
      <w:proofErr w:type="gramEnd"/>
      <w:r w:rsidRPr="00993DC1">
        <w:rPr>
          <w:lang w:val="en-US"/>
        </w:rPr>
        <w:t xml:space="preserve"> relevant entity report discloses the amounts attributed to non-controlling interests which are attributable to the holders of stapled securities.</w:t>
      </w:r>
      <w:r>
        <w:rPr>
          <w:lang w:val="en-US"/>
        </w:rPr>
        <w:t>”</w:t>
      </w:r>
      <w:r w:rsidR="007041DF">
        <w:rPr>
          <w:lang w:val="en-US"/>
        </w:rPr>
        <w:t>;</w:t>
      </w:r>
    </w:p>
    <w:p w:rsidR="00263555" w:rsidRDefault="00B63D6B" w:rsidP="003B0D05">
      <w:pPr>
        <w:pStyle w:val="Style1"/>
      </w:pPr>
      <w:r>
        <w:t>(f)</w:t>
      </w:r>
      <w:r>
        <w:tab/>
      </w:r>
      <w:proofErr w:type="gramStart"/>
      <w:r>
        <w:t>in</w:t>
      </w:r>
      <w:proofErr w:type="gramEnd"/>
      <w:r>
        <w:t xml:space="preserve"> paragraph 8, insert the following</w:t>
      </w:r>
      <w:r w:rsidR="005109AA">
        <w:t xml:space="preserve"> definitions in alphabetical order</w:t>
      </w:r>
      <w:r>
        <w:t>:</w:t>
      </w:r>
    </w:p>
    <w:p w:rsidR="005109AA" w:rsidRDefault="005109AA" w:rsidP="005109AA">
      <w:pPr>
        <w:overflowPunct/>
        <w:autoSpaceDE/>
        <w:autoSpaceDN/>
        <w:adjustRightInd/>
        <w:spacing w:after="200"/>
        <w:ind w:left="1418"/>
        <w:textAlignment w:val="auto"/>
        <w:rPr>
          <w:b/>
          <w:i/>
        </w:rPr>
      </w:pPr>
      <w:r w:rsidRPr="005109AA">
        <w:t>“</w:t>
      </w:r>
      <w:proofErr w:type="gramStart"/>
      <w:r w:rsidRPr="005109AA">
        <w:rPr>
          <w:b/>
          <w:i/>
        </w:rPr>
        <w:t>non-controlling</w:t>
      </w:r>
      <w:proofErr w:type="gramEnd"/>
      <w:r w:rsidRPr="005109AA">
        <w:rPr>
          <w:b/>
          <w:i/>
        </w:rPr>
        <w:t xml:space="preserve"> interest </w:t>
      </w:r>
      <w:r w:rsidRPr="005109AA">
        <w:t xml:space="preserve">has the same meaning as in </w:t>
      </w:r>
      <w:r>
        <w:t>accounting s</w:t>
      </w:r>
      <w:r w:rsidRPr="005109AA">
        <w:t xml:space="preserve">tandard AASB 10 </w:t>
      </w:r>
      <w:r w:rsidRPr="009E5B38">
        <w:rPr>
          <w:i/>
        </w:rPr>
        <w:t>Consolidated Financial Statements</w:t>
      </w:r>
      <w:r w:rsidRPr="005109AA">
        <w:t>.</w:t>
      </w:r>
    </w:p>
    <w:p w:rsidR="00B63D6B" w:rsidRPr="00B63D6B" w:rsidRDefault="00B63D6B" w:rsidP="003B0D05">
      <w:pPr>
        <w:overflowPunct/>
        <w:autoSpaceDE/>
        <w:autoSpaceDN/>
        <w:adjustRightInd/>
        <w:spacing w:after="200"/>
        <w:ind w:left="2127" w:hanging="709"/>
        <w:textAlignment w:val="auto"/>
      </w:pPr>
      <w:proofErr w:type="gramStart"/>
      <w:r w:rsidRPr="00B63D6B">
        <w:rPr>
          <w:b/>
          <w:i/>
        </w:rPr>
        <w:t>previous</w:t>
      </w:r>
      <w:proofErr w:type="gramEnd"/>
      <w:r w:rsidRPr="00B63D6B">
        <w:rPr>
          <w:b/>
          <w:i/>
        </w:rPr>
        <w:t xml:space="preserve"> reporting period</w:t>
      </w:r>
      <w:r w:rsidRPr="00B63D6B">
        <w:t xml:space="preserve"> means:</w:t>
      </w:r>
    </w:p>
    <w:p w:rsidR="00B63D6B" w:rsidRPr="00B63D6B" w:rsidRDefault="00B63D6B" w:rsidP="003B0D05">
      <w:pPr>
        <w:numPr>
          <w:ilvl w:val="0"/>
          <w:numId w:val="13"/>
        </w:numPr>
        <w:overflowPunct/>
        <w:autoSpaceDE/>
        <w:autoSpaceDN/>
        <w:adjustRightInd/>
        <w:spacing w:after="200"/>
        <w:ind w:left="2127" w:hanging="709"/>
        <w:textAlignment w:val="auto"/>
      </w:pPr>
      <w:r w:rsidRPr="00B63D6B">
        <w:t>in relation to a relevant year, the half-year forming part of the relevant year; and</w:t>
      </w:r>
    </w:p>
    <w:p w:rsidR="00B63D6B" w:rsidRPr="00B63D6B" w:rsidRDefault="00B63D6B" w:rsidP="003B0D05">
      <w:pPr>
        <w:numPr>
          <w:ilvl w:val="0"/>
          <w:numId w:val="13"/>
        </w:numPr>
        <w:overflowPunct/>
        <w:autoSpaceDE/>
        <w:autoSpaceDN/>
        <w:adjustRightInd/>
        <w:spacing w:after="200"/>
        <w:ind w:left="2127" w:hanging="709"/>
        <w:textAlignment w:val="auto"/>
      </w:pPr>
      <w:r w:rsidRPr="00B63D6B">
        <w:t>in relation to a relevant half-year, the financial year ending immediately before the relevant half-year.</w:t>
      </w:r>
    </w:p>
    <w:p w:rsidR="00B63D6B" w:rsidRPr="00B63D6B" w:rsidRDefault="00B63D6B" w:rsidP="003B0D05">
      <w:pPr>
        <w:overflowPunct/>
        <w:autoSpaceDE/>
        <w:autoSpaceDN/>
        <w:adjustRightInd/>
        <w:spacing w:after="200"/>
        <w:ind w:left="1418"/>
        <w:textAlignment w:val="auto"/>
      </w:pPr>
      <w:proofErr w:type="gramStart"/>
      <w:r w:rsidRPr="00B63D6B">
        <w:rPr>
          <w:b/>
          <w:i/>
        </w:rPr>
        <w:t>stapled</w:t>
      </w:r>
      <w:proofErr w:type="gramEnd"/>
      <w:r w:rsidRPr="00B63D6B">
        <w:rPr>
          <w:b/>
          <w:i/>
        </w:rPr>
        <w:t xml:space="preserve"> security </w:t>
      </w:r>
      <w:r w:rsidRPr="00B63D6B">
        <w:t>means a security of a stapled issuer which under the terms on which it is traded on a prescribed financial market, must be transferred together with a security of one or more other entities.</w:t>
      </w:r>
      <w:r>
        <w:t>”</w:t>
      </w:r>
      <w:r w:rsidR="007041DF">
        <w:t>.</w:t>
      </w:r>
    </w:p>
    <w:p w:rsidR="00C117F6" w:rsidRDefault="00C117F6" w:rsidP="00295CF8">
      <w:pPr>
        <w:ind w:left="765" w:hanging="765"/>
      </w:pPr>
    </w:p>
    <w:p w:rsidR="00C117F6" w:rsidRDefault="00C117F6" w:rsidP="00295CF8">
      <w:r>
        <w:t>Dated this</w:t>
      </w:r>
      <w:r w:rsidR="009930B5">
        <w:t xml:space="preserve"> </w:t>
      </w:r>
      <w:r w:rsidR="009F716B">
        <w:t>20</w:t>
      </w:r>
      <w:r w:rsidR="009F716B" w:rsidRPr="009F716B">
        <w:rPr>
          <w:vertAlign w:val="superscript"/>
        </w:rPr>
        <w:t>th</w:t>
      </w:r>
      <w:r w:rsidR="009930B5">
        <w:t xml:space="preserve"> </w:t>
      </w:r>
      <w:r>
        <w:t xml:space="preserve">day of </w:t>
      </w:r>
      <w:r w:rsidR="000B1938">
        <w:t xml:space="preserve">December </w:t>
      </w:r>
      <w:r w:rsidR="00B77A28">
        <w:t>2013</w:t>
      </w:r>
    </w:p>
    <w:p w:rsidR="00C117F6" w:rsidRDefault="00C117F6" w:rsidP="00295CF8"/>
    <w:p w:rsidR="00C117F6" w:rsidRDefault="00C117F6" w:rsidP="00295CF8"/>
    <w:p w:rsidR="00C117F6" w:rsidRDefault="00C117F6" w:rsidP="00295CF8"/>
    <w:p w:rsidR="00C117F6" w:rsidRDefault="00C117F6" w:rsidP="00295CF8"/>
    <w:p w:rsidR="00C117F6" w:rsidRDefault="00C117F6" w:rsidP="00295CF8">
      <w:r>
        <w:t xml:space="preserve">Signed by </w:t>
      </w:r>
      <w:r w:rsidR="00B77A28">
        <w:t>Stephen Yen</w:t>
      </w:r>
      <w:r w:rsidR="00C5569D">
        <w:t xml:space="preserve"> PSM</w:t>
      </w:r>
      <w:r>
        <w:br/>
        <w:t>as a delegate of the Australian Securities and Investments Commission</w:t>
      </w:r>
    </w:p>
    <w:sectPr w:rsidR="00C117F6" w:rsidSect="00C6761F">
      <w:headerReference w:type="even" r:id="rId8"/>
      <w:headerReference w:type="default" r:id="rId9"/>
      <w:pgSz w:w="11907" w:h="16840" w:code="9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541" w:rsidRDefault="00305541">
      <w:r>
        <w:separator/>
      </w:r>
    </w:p>
  </w:endnote>
  <w:endnote w:type="continuationSeparator" w:id="0">
    <w:p w:rsidR="00305541" w:rsidRDefault="00305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541" w:rsidRDefault="00305541">
      <w:r>
        <w:separator/>
      </w:r>
    </w:p>
  </w:footnote>
  <w:footnote w:type="continuationSeparator" w:id="0">
    <w:p w:rsidR="00305541" w:rsidRDefault="00305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AF" w:rsidRDefault="008D66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13A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13AF">
      <w:rPr>
        <w:rStyle w:val="PageNumber"/>
        <w:noProof/>
      </w:rPr>
      <w:t>5</w:t>
    </w:r>
    <w:r>
      <w:rPr>
        <w:rStyle w:val="PageNumber"/>
      </w:rPr>
      <w:fldChar w:fldCharType="end"/>
    </w:r>
  </w:p>
  <w:p w:rsidR="00D813AF" w:rsidRDefault="00D813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AF" w:rsidRDefault="008D66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13A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65AD">
      <w:rPr>
        <w:rStyle w:val="PageNumber"/>
        <w:noProof/>
      </w:rPr>
      <w:t>2</w:t>
    </w:r>
    <w:r>
      <w:rPr>
        <w:rStyle w:val="PageNumber"/>
      </w:rPr>
      <w:fldChar w:fldCharType="end"/>
    </w:r>
  </w:p>
  <w:p w:rsidR="00D813AF" w:rsidRDefault="00D813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E3CC9"/>
    <w:multiLevelType w:val="hybridMultilevel"/>
    <w:tmpl w:val="082A87CE"/>
    <w:lvl w:ilvl="0" w:tplc="FC0CF81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3089F"/>
    <w:multiLevelType w:val="hybridMultilevel"/>
    <w:tmpl w:val="F9EA3824"/>
    <w:lvl w:ilvl="0" w:tplc="FC0CF81C">
      <w:start w:val="2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F80628"/>
    <w:multiLevelType w:val="hybridMultilevel"/>
    <w:tmpl w:val="A22CE77E"/>
    <w:lvl w:ilvl="0" w:tplc="04090017">
      <w:start w:val="1"/>
      <w:numFmt w:val="lowerLetter"/>
      <w:lvlText w:val="%1)"/>
      <w:lvlJc w:val="left"/>
      <w:pPr>
        <w:tabs>
          <w:tab w:val="num" w:pos="1339"/>
        </w:tabs>
        <w:ind w:left="133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59"/>
        </w:tabs>
        <w:ind w:left="20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9"/>
        </w:tabs>
        <w:ind w:left="27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9"/>
        </w:tabs>
        <w:ind w:left="34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9"/>
        </w:tabs>
        <w:ind w:left="42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9"/>
        </w:tabs>
        <w:ind w:left="49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9"/>
        </w:tabs>
        <w:ind w:left="56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9"/>
        </w:tabs>
        <w:ind w:left="63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9"/>
        </w:tabs>
        <w:ind w:left="7099" w:hanging="180"/>
      </w:pPr>
    </w:lvl>
  </w:abstractNum>
  <w:abstractNum w:abstractNumId="4">
    <w:nsid w:val="336E436B"/>
    <w:multiLevelType w:val="hybridMultilevel"/>
    <w:tmpl w:val="5EAAF286"/>
    <w:lvl w:ilvl="0" w:tplc="78C0F37A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6B52D2"/>
    <w:multiLevelType w:val="hybridMultilevel"/>
    <w:tmpl w:val="F4FE4112"/>
    <w:lvl w:ilvl="0" w:tplc="0409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EB0201E"/>
    <w:multiLevelType w:val="hybridMultilevel"/>
    <w:tmpl w:val="16E483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A3FC5"/>
    <w:multiLevelType w:val="hybridMultilevel"/>
    <w:tmpl w:val="50AAE2AE"/>
    <w:lvl w:ilvl="0" w:tplc="4C3AB54A">
      <w:start w:val="6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45AFC"/>
    <w:multiLevelType w:val="hybridMultilevel"/>
    <w:tmpl w:val="7D30FE3E"/>
    <w:lvl w:ilvl="0" w:tplc="78C0F37A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509D6381"/>
    <w:multiLevelType w:val="hybridMultilevel"/>
    <w:tmpl w:val="0ECE6AF2"/>
    <w:lvl w:ilvl="0" w:tplc="78C0F37A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30A4974"/>
    <w:multiLevelType w:val="hybridMultilevel"/>
    <w:tmpl w:val="05FE339C"/>
    <w:lvl w:ilvl="0" w:tplc="DB527132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">
    <w:nsid w:val="6B7125B8"/>
    <w:multiLevelType w:val="hybridMultilevel"/>
    <w:tmpl w:val="46827B32"/>
    <w:lvl w:ilvl="0" w:tplc="60DAE25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C16946"/>
    <w:multiLevelType w:val="hybridMultilevel"/>
    <w:tmpl w:val="BC6E50EA"/>
    <w:lvl w:ilvl="0" w:tplc="78C0F37A">
      <w:start w:val="1"/>
      <w:numFmt w:val="lowerLetter"/>
      <w:lvlText w:val="(%1)"/>
      <w:lvlJc w:val="left"/>
      <w:pPr>
        <w:ind w:left="14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6D9F3AC1"/>
    <w:multiLevelType w:val="hybridMultilevel"/>
    <w:tmpl w:val="CBDC38A6"/>
    <w:lvl w:ilvl="0" w:tplc="A4DC0FB4">
      <w:start w:val="1"/>
      <w:numFmt w:val="lowerLetter"/>
      <w:lvlText w:val="(%1)"/>
      <w:lvlJc w:val="left"/>
      <w:pPr>
        <w:ind w:left="142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9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14745"/>
    <w:rsid w:val="000559FC"/>
    <w:rsid w:val="000B1938"/>
    <w:rsid w:val="000D3DEA"/>
    <w:rsid w:val="000F694F"/>
    <w:rsid w:val="00111908"/>
    <w:rsid w:val="00154780"/>
    <w:rsid w:val="001B00E5"/>
    <w:rsid w:val="001B0579"/>
    <w:rsid w:val="001D54F1"/>
    <w:rsid w:val="00203FA2"/>
    <w:rsid w:val="00220CA0"/>
    <w:rsid w:val="002337E5"/>
    <w:rsid w:val="002348CC"/>
    <w:rsid w:val="00263555"/>
    <w:rsid w:val="00290437"/>
    <w:rsid w:val="00294118"/>
    <w:rsid w:val="00295CF8"/>
    <w:rsid w:val="00301369"/>
    <w:rsid w:val="00305541"/>
    <w:rsid w:val="003146B7"/>
    <w:rsid w:val="003254C1"/>
    <w:rsid w:val="0037211C"/>
    <w:rsid w:val="00395702"/>
    <w:rsid w:val="00396D39"/>
    <w:rsid w:val="003B0D05"/>
    <w:rsid w:val="003F1C4D"/>
    <w:rsid w:val="00425425"/>
    <w:rsid w:val="004A1E61"/>
    <w:rsid w:val="004A6F65"/>
    <w:rsid w:val="004D1853"/>
    <w:rsid w:val="004D1B28"/>
    <w:rsid w:val="004F3DE4"/>
    <w:rsid w:val="005109AA"/>
    <w:rsid w:val="00516FB4"/>
    <w:rsid w:val="005226C9"/>
    <w:rsid w:val="005A7266"/>
    <w:rsid w:val="005B6C85"/>
    <w:rsid w:val="005C6775"/>
    <w:rsid w:val="005E038B"/>
    <w:rsid w:val="00610723"/>
    <w:rsid w:val="0061257E"/>
    <w:rsid w:val="00613CAA"/>
    <w:rsid w:val="00645516"/>
    <w:rsid w:val="00662232"/>
    <w:rsid w:val="00671260"/>
    <w:rsid w:val="00682964"/>
    <w:rsid w:val="00686969"/>
    <w:rsid w:val="006A5ED9"/>
    <w:rsid w:val="006B60D7"/>
    <w:rsid w:val="006E7934"/>
    <w:rsid w:val="006F16F7"/>
    <w:rsid w:val="007041DF"/>
    <w:rsid w:val="00704461"/>
    <w:rsid w:val="00714745"/>
    <w:rsid w:val="007438AD"/>
    <w:rsid w:val="00775025"/>
    <w:rsid w:val="007765AD"/>
    <w:rsid w:val="007B5940"/>
    <w:rsid w:val="007B6D21"/>
    <w:rsid w:val="00854ABD"/>
    <w:rsid w:val="008C6A94"/>
    <w:rsid w:val="008D66AB"/>
    <w:rsid w:val="008E3AE9"/>
    <w:rsid w:val="0090501E"/>
    <w:rsid w:val="0092323F"/>
    <w:rsid w:val="00946622"/>
    <w:rsid w:val="00967123"/>
    <w:rsid w:val="009930B5"/>
    <w:rsid w:val="00993DC1"/>
    <w:rsid w:val="009D1685"/>
    <w:rsid w:val="009E5B38"/>
    <w:rsid w:val="009F716B"/>
    <w:rsid w:val="00A24C4E"/>
    <w:rsid w:val="00A26570"/>
    <w:rsid w:val="00A532BA"/>
    <w:rsid w:val="00A65D42"/>
    <w:rsid w:val="00A83122"/>
    <w:rsid w:val="00A90C0C"/>
    <w:rsid w:val="00AB5185"/>
    <w:rsid w:val="00B04383"/>
    <w:rsid w:val="00B11F7B"/>
    <w:rsid w:val="00B22A14"/>
    <w:rsid w:val="00B22F59"/>
    <w:rsid w:val="00B32BD6"/>
    <w:rsid w:val="00B348C2"/>
    <w:rsid w:val="00B463F5"/>
    <w:rsid w:val="00B63D6B"/>
    <w:rsid w:val="00B63EDD"/>
    <w:rsid w:val="00B77A28"/>
    <w:rsid w:val="00B80B8E"/>
    <w:rsid w:val="00B84622"/>
    <w:rsid w:val="00BC0485"/>
    <w:rsid w:val="00BC6DC9"/>
    <w:rsid w:val="00BD59B8"/>
    <w:rsid w:val="00BE0529"/>
    <w:rsid w:val="00BF254F"/>
    <w:rsid w:val="00C04BB1"/>
    <w:rsid w:val="00C117F6"/>
    <w:rsid w:val="00C20C32"/>
    <w:rsid w:val="00C35761"/>
    <w:rsid w:val="00C5569D"/>
    <w:rsid w:val="00C5779F"/>
    <w:rsid w:val="00C6761F"/>
    <w:rsid w:val="00CE1851"/>
    <w:rsid w:val="00CE67FA"/>
    <w:rsid w:val="00CF02BA"/>
    <w:rsid w:val="00D326C4"/>
    <w:rsid w:val="00D813AF"/>
    <w:rsid w:val="00D82BE4"/>
    <w:rsid w:val="00D84C18"/>
    <w:rsid w:val="00DB7CA4"/>
    <w:rsid w:val="00E15980"/>
    <w:rsid w:val="00E56D69"/>
    <w:rsid w:val="00E90DA6"/>
    <w:rsid w:val="00EA2838"/>
    <w:rsid w:val="00ED1B6A"/>
    <w:rsid w:val="00EF6717"/>
    <w:rsid w:val="00F35E9E"/>
    <w:rsid w:val="00F37991"/>
    <w:rsid w:val="00F47C0F"/>
    <w:rsid w:val="00FA55E1"/>
    <w:rsid w:val="00FB15CB"/>
    <w:rsid w:val="00FC1497"/>
    <w:rsid w:val="00FC6344"/>
    <w:rsid w:val="00FF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61F"/>
    <w:pPr>
      <w:overflowPunct w:val="0"/>
      <w:autoSpaceDE w:val="0"/>
      <w:autoSpaceDN w:val="0"/>
      <w:adjustRightInd w:val="0"/>
      <w:textAlignment w:val="baseline"/>
    </w:pPr>
    <w:rPr>
      <w:rFonts w:cs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54F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54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semiHidden/>
    <w:rsid w:val="00C6761F"/>
    <w:pPr>
      <w:overflowPunct w:val="0"/>
      <w:autoSpaceDE w:val="0"/>
      <w:autoSpaceDN w:val="0"/>
      <w:adjustRightInd w:val="0"/>
      <w:spacing w:before="40" w:after="160" w:line="300" w:lineRule="atLeast"/>
    </w:pPr>
    <w:rPr>
      <w:color w:val="000000"/>
      <w:sz w:val="24"/>
      <w:lang w:eastAsia="en-US"/>
    </w:rPr>
  </w:style>
  <w:style w:type="paragraph" w:customStyle="1" w:styleId="ListA">
    <w:name w:val="ListA"/>
    <w:rsid w:val="00C6761F"/>
    <w:pPr>
      <w:overflowPunct w:val="0"/>
      <w:autoSpaceDE w:val="0"/>
      <w:autoSpaceDN w:val="0"/>
      <w:adjustRightInd w:val="0"/>
      <w:spacing w:before="120" w:after="120"/>
      <w:ind w:left="567" w:hanging="567"/>
      <w:textAlignment w:val="baseline"/>
    </w:pPr>
    <w:rPr>
      <w:sz w:val="24"/>
      <w:lang w:eastAsia="en-US"/>
    </w:rPr>
  </w:style>
  <w:style w:type="paragraph" w:styleId="Header">
    <w:name w:val="header"/>
    <w:basedOn w:val="Normal"/>
    <w:semiHidden/>
    <w:rsid w:val="00C676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6761F"/>
    <w:pPr>
      <w:tabs>
        <w:tab w:val="center" w:pos="4153"/>
        <w:tab w:val="right" w:pos="8306"/>
      </w:tabs>
    </w:pPr>
  </w:style>
  <w:style w:type="paragraph" w:customStyle="1" w:styleId="ListB">
    <w:name w:val="ListB"/>
    <w:rsid w:val="00C6761F"/>
    <w:pPr>
      <w:widowControl w:val="0"/>
      <w:autoSpaceDE w:val="0"/>
      <w:autoSpaceDN w:val="0"/>
      <w:adjustRightInd w:val="0"/>
      <w:ind w:left="1440" w:hanging="720"/>
    </w:pPr>
    <w:rPr>
      <w:sz w:val="24"/>
      <w:szCs w:val="24"/>
      <w:lang w:val="en-US" w:eastAsia="en-US"/>
    </w:rPr>
  </w:style>
  <w:style w:type="paragraph" w:customStyle="1" w:styleId="ListC">
    <w:name w:val="ListC"/>
    <w:rsid w:val="00C6761F"/>
    <w:pPr>
      <w:widowControl w:val="0"/>
      <w:autoSpaceDE w:val="0"/>
      <w:autoSpaceDN w:val="0"/>
      <w:adjustRightInd w:val="0"/>
      <w:ind w:left="2160" w:hanging="720"/>
    </w:pPr>
    <w:rPr>
      <w:rFonts w:ascii="Times" w:hAnsi="Times"/>
      <w:szCs w:val="24"/>
      <w:lang w:val="en-US" w:eastAsia="en-US"/>
    </w:rPr>
  </w:style>
  <w:style w:type="paragraph" w:customStyle="1" w:styleId="ListD">
    <w:name w:val="ListD"/>
    <w:rsid w:val="00C6761F"/>
    <w:pPr>
      <w:widowControl w:val="0"/>
      <w:autoSpaceDE w:val="0"/>
      <w:autoSpaceDN w:val="0"/>
      <w:adjustRightInd w:val="0"/>
      <w:ind w:left="2880" w:hanging="720"/>
    </w:pPr>
    <w:rPr>
      <w:rFonts w:ascii="Times" w:hAnsi="Times"/>
      <w:szCs w:val="24"/>
      <w:lang w:val="en-US" w:eastAsia="en-US"/>
    </w:rPr>
  </w:style>
  <w:style w:type="paragraph" w:customStyle="1" w:styleId="aheade">
    <w:name w:val="aheade"/>
    <w:rsid w:val="00C6761F"/>
    <w:pPr>
      <w:keepNext/>
      <w:widowControl w:val="0"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b/>
      <w:noProof/>
      <w:sz w:val="24"/>
      <w:lang w:eastAsia="en-US"/>
    </w:rPr>
  </w:style>
  <w:style w:type="paragraph" w:styleId="BodyTextIndent">
    <w:name w:val="Body Text Indent"/>
    <w:basedOn w:val="Normal"/>
    <w:semiHidden/>
    <w:rsid w:val="00C6761F"/>
    <w:pPr>
      <w:ind w:left="709" w:hanging="709"/>
    </w:pPr>
    <w:rPr>
      <w:rFonts w:cs="Times New Roman"/>
    </w:rPr>
  </w:style>
  <w:style w:type="character" w:styleId="Hyperlink">
    <w:name w:val="Hyperlink"/>
    <w:semiHidden/>
    <w:rsid w:val="00C6761F"/>
    <w:rPr>
      <w:color w:val="0000FF"/>
      <w:u w:val="single"/>
    </w:rPr>
  </w:style>
  <w:style w:type="character" w:styleId="PageNumber">
    <w:name w:val="page number"/>
    <w:basedOn w:val="DefaultParagraphFont"/>
    <w:semiHidden/>
    <w:rsid w:val="00C6761F"/>
  </w:style>
  <w:style w:type="character" w:customStyle="1" w:styleId="Heading1Char">
    <w:name w:val="Heading 1 Char"/>
    <w:link w:val="Heading1"/>
    <w:uiPriority w:val="9"/>
    <w:rsid w:val="00BF254F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BF254F"/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ahist">
    <w:name w:val="ahist"/>
    <w:rsid w:val="00B63EDD"/>
    <w:pPr>
      <w:spacing w:before="60" w:after="60"/>
    </w:pPr>
    <w:rPr>
      <w:sz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98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298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22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A14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B22A14"/>
    <w:rPr>
      <w:rFonts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A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2A14"/>
    <w:rPr>
      <w:rFonts w:cs="Arial"/>
      <w:b/>
      <w:bCs/>
      <w:lang w:eastAsia="en-US"/>
    </w:rPr>
  </w:style>
  <w:style w:type="paragraph" w:styleId="Revision">
    <w:name w:val="Revision"/>
    <w:hidden/>
    <w:uiPriority w:val="99"/>
    <w:semiHidden/>
    <w:rsid w:val="00290437"/>
    <w:rPr>
      <w:rFonts w:cs="Arial"/>
      <w:sz w:val="24"/>
      <w:lang w:eastAsia="en-US"/>
    </w:rPr>
  </w:style>
  <w:style w:type="paragraph" w:customStyle="1" w:styleId="Style1">
    <w:name w:val="Style1"/>
    <w:basedOn w:val="Normal"/>
    <w:link w:val="Style1Char"/>
    <w:qFormat/>
    <w:rsid w:val="003B0D05"/>
    <w:pPr>
      <w:overflowPunct/>
      <w:autoSpaceDE/>
      <w:autoSpaceDN/>
      <w:adjustRightInd/>
      <w:spacing w:after="200"/>
      <w:ind w:left="1418" w:hanging="709"/>
      <w:textAlignment w:val="auto"/>
    </w:pPr>
  </w:style>
  <w:style w:type="paragraph" w:customStyle="1" w:styleId="Style2">
    <w:name w:val="Style2"/>
    <w:basedOn w:val="Normal"/>
    <w:link w:val="Style2Char"/>
    <w:qFormat/>
    <w:rsid w:val="003B0D05"/>
    <w:pPr>
      <w:overflowPunct/>
      <w:autoSpaceDE/>
      <w:autoSpaceDN/>
      <w:adjustRightInd/>
      <w:spacing w:after="200"/>
      <w:ind w:left="2127" w:hanging="709"/>
      <w:textAlignment w:val="auto"/>
    </w:pPr>
  </w:style>
  <w:style w:type="character" w:customStyle="1" w:styleId="Style1Char">
    <w:name w:val="Style1 Char"/>
    <w:basedOn w:val="DefaultParagraphFont"/>
    <w:link w:val="Style1"/>
    <w:rsid w:val="003B0D05"/>
    <w:rPr>
      <w:rFonts w:cs="Arial"/>
      <w:sz w:val="24"/>
      <w:lang w:eastAsia="en-US"/>
    </w:rPr>
  </w:style>
  <w:style w:type="paragraph" w:customStyle="1" w:styleId="Style3">
    <w:name w:val="Style3"/>
    <w:basedOn w:val="Style2"/>
    <w:link w:val="Style3Char"/>
    <w:qFormat/>
    <w:rsid w:val="003B0D05"/>
    <w:pPr>
      <w:ind w:left="2835" w:hanging="708"/>
    </w:pPr>
    <w:rPr>
      <w:lang w:val="en-US"/>
    </w:rPr>
  </w:style>
  <w:style w:type="character" w:customStyle="1" w:styleId="Style2Char">
    <w:name w:val="Style2 Char"/>
    <w:basedOn w:val="DefaultParagraphFont"/>
    <w:link w:val="Style2"/>
    <w:rsid w:val="003B0D05"/>
    <w:rPr>
      <w:rFonts w:cs="Arial"/>
      <w:sz w:val="24"/>
      <w:lang w:eastAsia="en-US"/>
    </w:rPr>
  </w:style>
  <w:style w:type="character" w:customStyle="1" w:styleId="Style3Char">
    <w:name w:val="Style3 Char"/>
    <w:basedOn w:val="Style2Char"/>
    <w:link w:val="Style3"/>
    <w:rsid w:val="003B0D0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li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[CO 07/XXX]</vt:lpstr>
    </vt:vector>
  </TitlesOfParts>
  <Company>ASIC</Company>
  <LinksUpToDate>false</LinksUpToDate>
  <CharactersWithSpaces>3231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 07/XXX]</dc:title>
  <dc:subject/>
  <dc:creator>Ella.Cebon</dc:creator>
  <cp:keywords/>
  <dc:description/>
  <cp:lastModifiedBy>Merrill Murray</cp:lastModifiedBy>
  <cp:revision>2</cp:revision>
  <cp:lastPrinted>2013-12-19T03:08:00Z</cp:lastPrinted>
  <dcterms:created xsi:type="dcterms:W3CDTF">2014-01-12T23:00:00Z</dcterms:created>
  <dcterms:modified xsi:type="dcterms:W3CDTF">2014-01-12T23:00:00Z</dcterms:modified>
</cp:coreProperties>
</file>