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B3" w:rsidRPr="000B20BE" w:rsidRDefault="00783EB3" w:rsidP="000B20BE">
      <w:pPr>
        <w:spacing w:after="120"/>
        <w:jc w:val="left"/>
        <w:rPr>
          <w:b/>
          <w:bCs/>
          <w:color w:val="0000FF"/>
          <w:sz w:val="24"/>
          <w:szCs w:val="24"/>
        </w:rPr>
      </w:pPr>
      <w:r w:rsidRPr="000B20BE">
        <w:rPr>
          <w:b/>
          <w:bCs/>
          <w:color w:val="0000FF"/>
          <w:sz w:val="24"/>
          <w:szCs w:val="24"/>
        </w:rPr>
        <w:t>AUSTRALIAN NATIONAL AUDIT OFFICE AUDITING STANDARDS</w:t>
      </w:r>
    </w:p>
    <w:p w:rsidR="00783EB3" w:rsidRPr="000B20BE" w:rsidRDefault="00783EB3" w:rsidP="000B20BE">
      <w:pPr>
        <w:spacing w:after="120"/>
        <w:jc w:val="left"/>
        <w:rPr>
          <w:color w:val="000000"/>
          <w:sz w:val="24"/>
          <w:szCs w:val="24"/>
        </w:rPr>
      </w:pPr>
      <w:r w:rsidRPr="000B20BE">
        <w:rPr>
          <w:color w:val="000000"/>
          <w:sz w:val="24"/>
          <w:szCs w:val="24"/>
        </w:rPr>
        <w:t xml:space="preserve">As required by section 24 of the </w:t>
      </w:r>
      <w:r w:rsidRPr="000B20BE">
        <w:rPr>
          <w:i/>
          <w:iCs/>
          <w:color w:val="000000"/>
          <w:sz w:val="24"/>
          <w:szCs w:val="24"/>
        </w:rPr>
        <w:t xml:space="preserve">Auditor-General Act 1997 </w:t>
      </w:r>
      <w:r w:rsidRPr="000B20BE">
        <w:rPr>
          <w:color w:val="000000"/>
          <w:sz w:val="24"/>
          <w:szCs w:val="24"/>
        </w:rPr>
        <w:t>(the Act)</w:t>
      </w:r>
      <w:r w:rsidRPr="000B20BE">
        <w:rPr>
          <w:i/>
          <w:iCs/>
          <w:color w:val="000000"/>
          <w:sz w:val="24"/>
          <w:szCs w:val="24"/>
        </w:rPr>
        <w:t xml:space="preserve">, </w:t>
      </w:r>
      <w:r w:rsidRPr="000B20BE">
        <w:rPr>
          <w:color w:val="000000"/>
          <w:sz w:val="24"/>
          <w:szCs w:val="24"/>
        </w:rPr>
        <w:t xml:space="preserve">I hereby set auditing standards that are to be </w:t>
      </w:r>
      <w:proofErr w:type="gramStart"/>
      <w:r w:rsidRPr="000B20BE">
        <w:rPr>
          <w:color w:val="000000"/>
          <w:sz w:val="24"/>
          <w:szCs w:val="24"/>
        </w:rPr>
        <w:t>complied</w:t>
      </w:r>
      <w:proofErr w:type="gramEnd"/>
      <w:r w:rsidRPr="000B20BE">
        <w:rPr>
          <w:color w:val="000000"/>
          <w:sz w:val="24"/>
          <w:szCs w:val="24"/>
        </w:rPr>
        <w:t xml:space="preserve"> with by persons performing any of the following functions:</w:t>
      </w:r>
    </w:p>
    <w:p w:rsidR="00783EB3" w:rsidRPr="000B20BE" w:rsidRDefault="00783EB3" w:rsidP="000B20BE">
      <w:pPr>
        <w:pStyle w:val="ListParagraph"/>
        <w:numPr>
          <w:ilvl w:val="0"/>
          <w:numId w:val="1"/>
        </w:numPr>
        <w:autoSpaceDE w:val="0"/>
        <w:autoSpaceDN w:val="0"/>
        <w:adjustRightInd w:val="0"/>
        <w:spacing w:after="120" w:line="240" w:lineRule="auto"/>
        <w:contextualSpacing w:val="0"/>
        <w:rPr>
          <w:rFonts w:ascii="Times New Roman" w:hAnsi="Times New Roman"/>
          <w:color w:val="000000"/>
          <w:sz w:val="24"/>
          <w:szCs w:val="24"/>
        </w:rPr>
      </w:pPr>
      <w:r w:rsidRPr="000B20BE">
        <w:rPr>
          <w:rFonts w:ascii="Times New Roman" w:hAnsi="Times New Roman"/>
          <w:color w:val="000000"/>
          <w:sz w:val="24"/>
          <w:szCs w:val="24"/>
        </w:rPr>
        <w:t>an audit or rev</w:t>
      </w:r>
      <w:r w:rsidR="00564516" w:rsidRPr="000B20BE">
        <w:rPr>
          <w:rFonts w:ascii="Times New Roman" w:hAnsi="Times New Roman"/>
          <w:color w:val="000000"/>
          <w:sz w:val="24"/>
          <w:szCs w:val="24"/>
        </w:rPr>
        <w:t>iew referred to in Division 1</w:t>
      </w:r>
      <w:r w:rsidR="00E62599" w:rsidRPr="000B20BE">
        <w:rPr>
          <w:rFonts w:ascii="Times New Roman" w:hAnsi="Times New Roman"/>
          <w:color w:val="000000"/>
          <w:sz w:val="24"/>
          <w:szCs w:val="24"/>
        </w:rPr>
        <w:t xml:space="preserve"> </w:t>
      </w:r>
      <w:r w:rsidR="00564516" w:rsidRPr="000B20BE">
        <w:rPr>
          <w:rFonts w:ascii="Times New Roman" w:hAnsi="Times New Roman"/>
          <w:color w:val="000000"/>
          <w:sz w:val="24"/>
          <w:szCs w:val="24"/>
        </w:rPr>
        <w:t>(</w:t>
      </w:r>
      <w:r w:rsidR="00E90102" w:rsidRPr="000B20BE">
        <w:rPr>
          <w:rFonts w:ascii="Times New Roman" w:hAnsi="Times New Roman"/>
          <w:color w:val="000000"/>
          <w:sz w:val="24"/>
          <w:szCs w:val="24"/>
        </w:rPr>
        <w:t xml:space="preserve">Financial </w:t>
      </w:r>
      <w:r w:rsidR="00E62599" w:rsidRPr="000B20BE">
        <w:rPr>
          <w:rFonts w:ascii="Times New Roman" w:hAnsi="Times New Roman"/>
          <w:color w:val="000000"/>
          <w:sz w:val="24"/>
          <w:szCs w:val="24"/>
        </w:rPr>
        <w:t>Statement audits</w:t>
      </w:r>
      <w:r w:rsidR="00564516" w:rsidRPr="000B20BE">
        <w:rPr>
          <w:rFonts w:ascii="Times New Roman" w:hAnsi="Times New Roman"/>
          <w:color w:val="000000"/>
          <w:sz w:val="24"/>
          <w:szCs w:val="24"/>
        </w:rPr>
        <w:t>)</w:t>
      </w:r>
      <w:r w:rsidRPr="000B20BE">
        <w:rPr>
          <w:rFonts w:ascii="Times New Roman" w:hAnsi="Times New Roman"/>
          <w:color w:val="000000"/>
          <w:sz w:val="24"/>
          <w:szCs w:val="24"/>
        </w:rPr>
        <w:t xml:space="preserve">; Division 2 </w:t>
      </w:r>
      <w:r w:rsidR="00564516" w:rsidRPr="000B20BE">
        <w:rPr>
          <w:rFonts w:ascii="Times New Roman" w:hAnsi="Times New Roman"/>
          <w:color w:val="000000"/>
          <w:sz w:val="24"/>
          <w:szCs w:val="24"/>
        </w:rPr>
        <w:t>(</w:t>
      </w:r>
      <w:r w:rsidRPr="000B20BE">
        <w:rPr>
          <w:rFonts w:ascii="Times New Roman" w:hAnsi="Times New Roman"/>
          <w:color w:val="000000"/>
          <w:sz w:val="24"/>
          <w:szCs w:val="24"/>
        </w:rPr>
        <w:t>Performance audits</w:t>
      </w:r>
      <w:r w:rsidR="00564516" w:rsidRPr="000B20BE">
        <w:rPr>
          <w:rFonts w:ascii="Times New Roman" w:hAnsi="Times New Roman"/>
          <w:color w:val="000000"/>
          <w:sz w:val="24"/>
          <w:szCs w:val="24"/>
        </w:rPr>
        <w:t>)</w:t>
      </w:r>
      <w:r w:rsidRPr="000B20BE">
        <w:rPr>
          <w:rFonts w:ascii="Times New Roman" w:hAnsi="Times New Roman"/>
          <w:color w:val="000000"/>
          <w:sz w:val="24"/>
          <w:szCs w:val="24"/>
        </w:rPr>
        <w:t xml:space="preserve"> or Division 2A </w:t>
      </w:r>
      <w:r w:rsidR="00564516" w:rsidRPr="000B20BE">
        <w:rPr>
          <w:rFonts w:ascii="Times New Roman" w:hAnsi="Times New Roman"/>
          <w:color w:val="000000"/>
          <w:sz w:val="24"/>
          <w:szCs w:val="24"/>
        </w:rPr>
        <w:t>(</w:t>
      </w:r>
      <w:r w:rsidRPr="000B20BE">
        <w:rPr>
          <w:rFonts w:ascii="Times New Roman" w:hAnsi="Times New Roman"/>
          <w:color w:val="000000"/>
          <w:sz w:val="24"/>
          <w:szCs w:val="24"/>
        </w:rPr>
        <w:t>Assurance reviews</w:t>
      </w:r>
      <w:r w:rsidR="00564516" w:rsidRPr="000B20BE">
        <w:rPr>
          <w:rFonts w:ascii="Times New Roman" w:hAnsi="Times New Roman"/>
          <w:color w:val="000000"/>
          <w:sz w:val="24"/>
          <w:szCs w:val="24"/>
        </w:rPr>
        <w:t>)</w:t>
      </w:r>
      <w:r w:rsidRPr="000B20BE">
        <w:rPr>
          <w:rFonts w:ascii="Times New Roman" w:hAnsi="Times New Roman"/>
          <w:color w:val="000000"/>
          <w:sz w:val="24"/>
          <w:szCs w:val="24"/>
        </w:rPr>
        <w:t xml:space="preserve"> of Part 4 of the Act;</w:t>
      </w:r>
    </w:p>
    <w:p w:rsidR="00783EB3" w:rsidRPr="000B20BE" w:rsidRDefault="00783EB3" w:rsidP="000B20BE">
      <w:pPr>
        <w:pStyle w:val="ListParagraph"/>
        <w:numPr>
          <w:ilvl w:val="0"/>
          <w:numId w:val="1"/>
        </w:numPr>
        <w:autoSpaceDE w:val="0"/>
        <w:autoSpaceDN w:val="0"/>
        <w:adjustRightInd w:val="0"/>
        <w:spacing w:after="120" w:line="240" w:lineRule="auto"/>
        <w:contextualSpacing w:val="0"/>
        <w:rPr>
          <w:rFonts w:ascii="Times New Roman" w:hAnsi="Times New Roman"/>
          <w:color w:val="000000"/>
          <w:sz w:val="24"/>
          <w:szCs w:val="24"/>
        </w:rPr>
      </w:pPr>
      <w:r w:rsidRPr="000B20BE">
        <w:rPr>
          <w:rFonts w:ascii="Times New Roman" w:hAnsi="Times New Roman"/>
          <w:color w:val="000000"/>
          <w:sz w:val="24"/>
          <w:szCs w:val="24"/>
        </w:rPr>
        <w:t>an audit under D</w:t>
      </w:r>
      <w:r w:rsidR="00564516" w:rsidRPr="000B20BE">
        <w:rPr>
          <w:rFonts w:ascii="Times New Roman" w:hAnsi="Times New Roman"/>
          <w:color w:val="000000"/>
          <w:sz w:val="24"/>
          <w:szCs w:val="24"/>
        </w:rPr>
        <w:t>ivision 2 of Part 7 of the Act</w:t>
      </w:r>
      <w:r w:rsidR="00E62599" w:rsidRPr="000B20BE">
        <w:rPr>
          <w:rFonts w:ascii="Times New Roman" w:hAnsi="Times New Roman"/>
          <w:color w:val="000000"/>
          <w:sz w:val="24"/>
          <w:szCs w:val="24"/>
        </w:rPr>
        <w:t xml:space="preserve"> </w:t>
      </w:r>
      <w:r w:rsidR="00564516" w:rsidRPr="000B20BE">
        <w:rPr>
          <w:rFonts w:ascii="Times New Roman" w:hAnsi="Times New Roman"/>
          <w:color w:val="000000"/>
          <w:sz w:val="24"/>
          <w:szCs w:val="24"/>
        </w:rPr>
        <w:t>(</w:t>
      </w:r>
      <w:r w:rsidRPr="000B20BE">
        <w:rPr>
          <w:rFonts w:ascii="Times New Roman" w:hAnsi="Times New Roman"/>
          <w:color w:val="000000"/>
          <w:sz w:val="24"/>
          <w:szCs w:val="24"/>
        </w:rPr>
        <w:t>Audit of the Australian National Audi</w:t>
      </w:r>
      <w:r w:rsidR="00E62599" w:rsidRPr="000B20BE">
        <w:rPr>
          <w:rFonts w:ascii="Times New Roman" w:hAnsi="Times New Roman"/>
          <w:color w:val="000000"/>
          <w:sz w:val="24"/>
          <w:szCs w:val="24"/>
        </w:rPr>
        <w:t>t Office</w:t>
      </w:r>
      <w:r w:rsidR="00564516" w:rsidRPr="000B20BE">
        <w:rPr>
          <w:rFonts w:ascii="Times New Roman" w:hAnsi="Times New Roman"/>
          <w:color w:val="000000"/>
          <w:sz w:val="24"/>
          <w:szCs w:val="24"/>
        </w:rPr>
        <w:t>)</w:t>
      </w:r>
      <w:r w:rsidRPr="000B20BE">
        <w:rPr>
          <w:rFonts w:ascii="Times New Roman" w:hAnsi="Times New Roman"/>
          <w:color w:val="000000"/>
          <w:sz w:val="24"/>
          <w:szCs w:val="24"/>
        </w:rPr>
        <w:t>;</w:t>
      </w:r>
    </w:p>
    <w:p w:rsidR="00783EB3" w:rsidRPr="000B20BE" w:rsidRDefault="00783EB3" w:rsidP="000B20BE">
      <w:pPr>
        <w:pStyle w:val="ListParagraph"/>
        <w:numPr>
          <w:ilvl w:val="0"/>
          <w:numId w:val="1"/>
        </w:numPr>
        <w:autoSpaceDE w:val="0"/>
        <w:autoSpaceDN w:val="0"/>
        <w:adjustRightInd w:val="0"/>
        <w:spacing w:after="120" w:line="240" w:lineRule="auto"/>
        <w:contextualSpacing w:val="0"/>
        <w:rPr>
          <w:rFonts w:ascii="Times New Roman" w:hAnsi="Times New Roman"/>
          <w:color w:val="000000"/>
          <w:sz w:val="24"/>
          <w:szCs w:val="24"/>
        </w:rPr>
      </w:pPr>
      <w:proofErr w:type="gramStart"/>
      <w:r w:rsidRPr="000B20BE">
        <w:rPr>
          <w:rFonts w:ascii="Times New Roman" w:hAnsi="Times New Roman"/>
          <w:color w:val="000000"/>
          <w:sz w:val="24"/>
          <w:szCs w:val="24"/>
        </w:rPr>
        <w:t>an</w:t>
      </w:r>
      <w:proofErr w:type="gramEnd"/>
      <w:r w:rsidRPr="000B20BE">
        <w:rPr>
          <w:rFonts w:ascii="Times New Roman" w:hAnsi="Times New Roman"/>
          <w:color w:val="000000"/>
          <w:sz w:val="24"/>
          <w:szCs w:val="24"/>
        </w:rPr>
        <w:t xml:space="preserve"> audit under section 56 of the </w:t>
      </w:r>
      <w:r w:rsidRPr="000B20BE">
        <w:rPr>
          <w:rFonts w:ascii="Times New Roman" w:hAnsi="Times New Roman"/>
          <w:i/>
          <w:color w:val="000000"/>
          <w:sz w:val="24"/>
          <w:szCs w:val="24"/>
        </w:rPr>
        <w:t>Financial Management and Accountability Act 1997</w:t>
      </w:r>
      <w:r w:rsidR="00564516" w:rsidRPr="000B20BE">
        <w:rPr>
          <w:rFonts w:ascii="Times New Roman" w:hAnsi="Times New Roman"/>
          <w:i/>
          <w:color w:val="000000"/>
          <w:sz w:val="24"/>
          <w:szCs w:val="24"/>
        </w:rPr>
        <w:t xml:space="preserve"> </w:t>
      </w:r>
      <w:r w:rsidR="00564516" w:rsidRPr="000B20BE">
        <w:rPr>
          <w:rFonts w:ascii="Times New Roman" w:hAnsi="Times New Roman"/>
          <w:color w:val="000000"/>
          <w:sz w:val="24"/>
          <w:szCs w:val="24"/>
        </w:rPr>
        <w:t>(</w:t>
      </w:r>
      <w:r w:rsidR="00E97F7F" w:rsidRPr="000B20BE">
        <w:rPr>
          <w:rFonts w:ascii="Times New Roman" w:hAnsi="Times New Roman"/>
          <w:color w:val="000000"/>
          <w:sz w:val="24"/>
          <w:szCs w:val="24"/>
        </w:rPr>
        <w:t>A</w:t>
      </w:r>
      <w:r w:rsidR="00E62599" w:rsidRPr="000B20BE">
        <w:rPr>
          <w:rFonts w:ascii="Times New Roman" w:hAnsi="Times New Roman"/>
          <w:color w:val="000000"/>
          <w:sz w:val="24"/>
          <w:szCs w:val="24"/>
        </w:rPr>
        <w:t>udit of</w:t>
      </w:r>
      <w:r w:rsidRPr="000B20BE">
        <w:rPr>
          <w:rFonts w:ascii="Times New Roman" w:hAnsi="Times New Roman"/>
          <w:color w:val="000000"/>
          <w:sz w:val="24"/>
          <w:szCs w:val="24"/>
        </w:rPr>
        <w:t xml:space="preserve"> Finance Ministe</w:t>
      </w:r>
      <w:r w:rsidR="00E62599" w:rsidRPr="000B20BE">
        <w:rPr>
          <w:rFonts w:ascii="Times New Roman" w:hAnsi="Times New Roman"/>
          <w:color w:val="000000"/>
          <w:sz w:val="24"/>
          <w:szCs w:val="24"/>
        </w:rPr>
        <w:t>r’s annual financial statements</w:t>
      </w:r>
      <w:r w:rsidR="00564516" w:rsidRPr="000B20BE">
        <w:rPr>
          <w:rFonts w:ascii="Times New Roman" w:hAnsi="Times New Roman"/>
          <w:color w:val="000000"/>
          <w:sz w:val="24"/>
          <w:szCs w:val="24"/>
        </w:rPr>
        <w:t>)</w:t>
      </w:r>
      <w:r w:rsidRPr="000B20BE">
        <w:rPr>
          <w:rFonts w:ascii="Times New Roman" w:hAnsi="Times New Roman"/>
          <w:color w:val="000000"/>
          <w:sz w:val="24"/>
          <w:szCs w:val="24"/>
        </w:rPr>
        <w:t>.</w:t>
      </w:r>
    </w:p>
    <w:p w:rsidR="00783EB3" w:rsidRPr="000B20BE" w:rsidRDefault="00783EB3" w:rsidP="000B20BE">
      <w:pPr>
        <w:spacing w:after="120"/>
        <w:jc w:val="left"/>
        <w:rPr>
          <w:color w:val="000000"/>
          <w:sz w:val="24"/>
          <w:szCs w:val="24"/>
        </w:rPr>
      </w:pPr>
      <w:r w:rsidRPr="000B20BE">
        <w:rPr>
          <w:color w:val="000000"/>
          <w:sz w:val="24"/>
          <w:szCs w:val="24"/>
        </w:rPr>
        <w:t xml:space="preserve">The </w:t>
      </w:r>
      <w:r w:rsidR="000B20BE">
        <w:rPr>
          <w:color w:val="000000"/>
          <w:sz w:val="24"/>
          <w:szCs w:val="24"/>
        </w:rPr>
        <w:t>Australian National Audit Office (</w:t>
      </w:r>
      <w:r w:rsidRPr="000B20BE">
        <w:rPr>
          <w:color w:val="000000"/>
          <w:sz w:val="24"/>
          <w:szCs w:val="24"/>
        </w:rPr>
        <w:t>A</w:t>
      </w:r>
      <w:r w:rsidR="008C7B90" w:rsidRPr="000B20BE">
        <w:rPr>
          <w:color w:val="000000"/>
          <w:sz w:val="24"/>
          <w:szCs w:val="24"/>
        </w:rPr>
        <w:t>NAO</w:t>
      </w:r>
      <w:r w:rsidR="000B20BE">
        <w:rPr>
          <w:color w:val="000000"/>
          <w:sz w:val="24"/>
          <w:szCs w:val="24"/>
        </w:rPr>
        <w:t>)</w:t>
      </w:r>
      <w:r w:rsidR="008C7B90" w:rsidRPr="000B20BE">
        <w:rPr>
          <w:color w:val="000000"/>
          <w:sz w:val="24"/>
          <w:szCs w:val="24"/>
        </w:rPr>
        <w:t xml:space="preserve"> Auditing Standards comprise t</w:t>
      </w:r>
      <w:r w:rsidRPr="000B20BE">
        <w:rPr>
          <w:color w:val="000000"/>
          <w:sz w:val="24"/>
          <w:szCs w:val="24"/>
        </w:rPr>
        <w:t>he standards referred to below, to the extent that they are not inconsistent with requirements of the Act or other relevant legislation, and to the extent that they apply to the relevant audit or review activity:</w:t>
      </w:r>
    </w:p>
    <w:p w:rsidR="00783EB3" w:rsidRPr="000B20BE" w:rsidRDefault="0034121E" w:rsidP="000B20BE">
      <w:pPr>
        <w:pStyle w:val="ListParagraph"/>
        <w:numPr>
          <w:ilvl w:val="0"/>
          <w:numId w:val="3"/>
        </w:numPr>
        <w:autoSpaceDE w:val="0"/>
        <w:autoSpaceDN w:val="0"/>
        <w:adjustRightInd w:val="0"/>
        <w:spacing w:after="120" w:line="240" w:lineRule="auto"/>
        <w:contextualSpacing w:val="0"/>
        <w:rPr>
          <w:rFonts w:ascii="Times New Roman" w:hAnsi="Times New Roman"/>
          <w:color w:val="000000"/>
          <w:sz w:val="24"/>
          <w:szCs w:val="24"/>
        </w:rPr>
      </w:pPr>
      <w:r>
        <w:rPr>
          <w:rFonts w:ascii="Times New Roman" w:hAnsi="Times New Roman"/>
          <w:color w:val="000000"/>
          <w:sz w:val="24"/>
          <w:szCs w:val="24"/>
        </w:rPr>
        <w:t>s</w:t>
      </w:r>
      <w:r w:rsidR="00783EB3" w:rsidRPr="000B20BE">
        <w:rPr>
          <w:rFonts w:ascii="Times New Roman" w:hAnsi="Times New Roman"/>
          <w:color w:val="000000"/>
          <w:sz w:val="24"/>
          <w:szCs w:val="24"/>
        </w:rPr>
        <w:t xml:space="preserve">tandards made by the Australian Auditing and Assurance Standards Board (AUASB) pursuant to section 227B(1)(a) of the </w:t>
      </w:r>
      <w:r w:rsidR="00783EB3" w:rsidRPr="000B20BE">
        <w:rPr>
          <w:rFonts w:ascii="Times New Roman" w:hAnsi="Times New Roman"/>
          <w:i/>
          <w:color w:val="000000"/>
          <w:sz w:val="24"/>
          <w:szCs w:val="24"/>
        </w:rPr>
        <w:t>Australian Securities and Investments Commission Act 2001</w:t>
      </w:r>
      <w:r w:rsidR="00783EB3" w:rsidRPr="000B20BE">
        <w:rPr>
          <w:rFonts w:ascii="Times New Roman" w:hAnsi="Times New Roman"/>
          <w:color w:val="000000"/>
          <w:sz w:val="24"/>
          <w:szCs w:val="24"/>
        </w:rPr>
        <w:t xml:space="preserve"> and section 336 of the </w:t>
      </w:r>
      <w:r w:rsidR="00783EB3" w:rsidRPr="000B20BE">
        <w:rPr>
          <w:rFonts w:ascii="Times New Roman" w:hAnsi="Times New Roman"/>
          <w:i/>
          <w:color w:val="000000"/>
          <w:sz w:val="24"/>
          <w:szCs w:val="24"/>
        </w:rPr>
        <w:t>Corporations Act 2001</w:t>
      </w:r>
      <w:r w:rsidR="00783EB3" w:rsidRPr="000B20BE">
        <w:rPr>
          <w:rFonts w:ascii="Times New Roman" w:hAnsi="Times New Roman"/>
          <w:color w:val="000000"/>
          <w:sz w:val="24"/>
          <w:szCs w:val="24"/>
        </w:rPr>
        <w:t>, that are current from time to time</w:t>
      </w:r>
      <w:r>
        <w:rPr>
          <w:rFonts w:ascii="Times New Roman" w:hAnsi="Times New Roman"/>
          <w:color w:val="000000"/>
          <w:sz w:val="24"/>
          <w:szCs w:val="24"/>
        </w:rPr>
        <w:t>; and</w:t>
      </w:r>
    </w:p>
    <w:p w:rsidR="00783EB3" w:rsidRPr="000B20BE" w:rsidRDefault="0034121E" w:rsidP="000B20BE">
      <w:pPr>
        <w:pStyle w:val="ListParagraph"/>
        <w:numPr>
          <w:ilvl w:val="0"/>
          <w:numId w:val="3"/>
        </w:numPr>
        <w:autoSpaceDE w:val="0"/>
        <w:autoSpaceDN w:val="0"/>
        <w:adjustRightInd w:val="0"/>
        <w:spacing w:after="120" w:line="240" w:lineRule="auto"/>
        <w:ind w:left="714" w:hanging="357"/>
        <w:contextualSpacing w:val="0"/>
        <w:rPr>
          <w:rFonts w:ascii="Times New Roman" w:hAnsi="Times New Roman"/>
          <w:color w:val="000000"/>
          <w:sz w:val="24"/>
          <w:szCs w:val="24"/>
        </w:rPr>
      </w:pPr>
      <w:r>
        <w:rPr>
          <w:rFonts w:ascii="Times New Roman" w:hAnsi="Times New Roman"/>
          <w:color w:val="000000"/>
          <w:sz w:val="24"/>
          <w:szCs w:val="24"/>
        </w:rPr>
        <w:t>t</w:t>
      </w:r>
      <w:r w:rsidR="00783EB3" w:rsidRPr="000B20BE">
        <w:rPr>
          <w:rFonts w:ascii="Times New Roman" w:hAnsi="Times New Roman"/>
          <w:color w:val="000000"/>
          <w:sz w:val="24"/>
          <w:szCs w:val="24"/>
        </w:rPr>
        <w:t xml:space="preserve">he following standards formulated by the AUASB pursuant to section 227B(1)(b) of the </w:t>
      </w:r>
      <w:r w:rsidR="00783EB3" w:rsidRPr="000B20BE">
        <w:rPr>
          <w:rFonts w:ascii="Times New Roman" w:hAnsi="Times New Roman"/>
          <w:i/>
          <w:color w:val="000000"/>
          <w:sz w:val="24"/>
          <w:szCs w:val="24"/>
        </w:rPr>
        <w:t>Australian Securities and Investments Commission Act 2001</w:t>
      </w:r>
      <w:r w:rsidR="00783EB3" w:rsidRPr="000B20BE">
        <w:rPr>
          <w:rFonts w:ascii="Times New Roman" w:hAnsi="Times New Roman"/>
          <w:color w:val="000000"/>
          <w:sz w:val="24"/>
          <w:szCs w:val="24"/>
        </w:rPr>
        <w:t>:</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 805 </w:t>
      </w:r>
      <w:r w:rsidRPr="000B20BE">
        <w:rPr>
          <w:rFonts w:ascii="Times New Roman" w:hAnsi="Times New Roman"/>
          <w:i/>
          <w:color w:val="000000"/>
          <w:sz w:val="24"/>
          <w:szCs w:val="24"/>
        </w:rPr>
        <w:t xml:space="preserve">Special Considerations – Audits of Single Financial Statements and Specific Elements, Accounts or Items of a Financial Statement </w:t>
      </w:r>
      <w:r w:rsidRPr="000B20BE">
        <w:rPr>
          <w:rFonts w:ascii="Times New Roman" w:hAnsi="Times New Roman"/>
          <w:color w:val="000000"/>
          <w:sz w:val="24"/>
          <w:szCs w:val="24"/>
        </w:rPr>
        <w:t>(issued October 2009)</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 810 </w:t>
      </w:r>
      <w:r w:rsidRPr="000B20BE">
        <w:rPr>
          <w:rFonts w:ascii="Times New Roman" w:hAnsi="Times New Roman"/>
          <w:i/>
          <w:color w:val="000000"/>
          <w:sz w:val="24"/>
          <w:szCs w:val="24"/>
        </w:rPr>
        <w:t xml:space="preserve">Engagements to Report on Summary Financial Statements </w:t>
      </w:r>
      <w:r w:rsidRPr="000B20BE">
        <w:rPr>
          <w:rFonts w:ascii="Times New Roman" w:hAnsi="Times New Roman"/>
          <w:color w:val="000000"/>
          <w:sz w:val="24"/>
          <w:szCs w:val="24"/>
        </w:rPr>
        <w:t>(issued October 2009)</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ASRE 2400 </w:t>
      </w:r>
      <w:r w:rsidRPr="000B20BE">
        <w:rPr>
          <w:rFonts w:ascii="Times New Roman" w:hAnsi="Times New Roman"/>
          <w:i/>
          <w:color w:val="000000"/>
          <w:sz w:val="24"/>
          <w:szCs w:val="24"/>
        </w:rPr>
        <w:t xml:space="preserve">Review of a Financial Report Performed by an Assurance Practitioner Who is Not the Auditor of the Entity </w:t>
      </w:r>
      <w:r w:rsidR="003162ED">
        <w:rPr>
          <w:rFonts w:ascii="Times New Roman" w:hAnsi="Times New Roman"/>
          <w:color w:val="000000"/>
          <w:sz w:val="24"/>
          <w:szCs w:val="24"/>
        </w:rPr>
        <w:t>(issued March 2013)</w:t>
      </w:r>
    </w:p>
    <w:p w:rsidR="00783EB3" w:rsidRPr="00406642"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ASRE 2405 </w:t>
      </w:r>
      <w:r w:rsidRPr="000B20BE">
        <w:rPr>
          <w:rFonts w:ascii="Times New Roman" w:hAnsi="Times New Roman"/>
          <w:i/>
          <w:color w:val="000000"/>
          <w:sz w:val="24"/>
          <w:szCs w:val="24"/>
        </w:rPr>
        <w:t xml:space="preserve">Review of Historical Financial Information Other than a Financial Report </w:t>
      </w:r>
      <w:r w:rsidRPr="000B20BE">
        <w:rPr>
          <w:rFonts w:ascii="Times New Roman" w:hAnsi="Times New Roman"/>
          <w:color w:val="000000"/>
          <w:sz w:val="24"/>
          <w:szCs w:val="24"/>
        </w:rPr>
        <w:t xml:space="preserve">(issued August </w:t>
      </w:r>
      <w:r w:rsidR="003162ED">
        <w:rPr>
          <w:rFonts w:ascii="Times New Roman" w:hAnsi="Times New Roman"/>
          <w:color w:val="000000"/>
          <w:sz w:val="24"/>
          <w:szCs w:val="24"/>
        </w:rPr>
        <w:t>2008)</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3000 </w:t>
      </w:r>
      <w:r w:rsidRPr="000B20BE">
        <w:rPr>
          <w:rFonts w:ascii="Times New Roman" w:hAnsi="Times New Roman"/>
          <w:i/>
          <w:color w:val="000000"/>
          <w:sz w:val="24"/>
          <w:szCs w:val="24"/>
        </w:rPr>
        <w:t xml:space="preserve">Assurance Engagements Other than Audits or Reviews of Historical Financial Information </w:t>
      </w:r>
      <w:r w:rsidR="003162ED">
        <w:rPr>
          <w:rFonts w:ascii="Times New Roman" w:hAnsi="Times New Roman"/>
          <w:color w:val="000000"/>
          <w:sz w:val="24"/>
          <w:szCs w:val="24"/>
        </w:rPr>
        <w:t>(issued July 2007)</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3100 </w:t>
      </w:r>
      <w:r w:rsidRPr="000B20BE">
        <w:rPr>
          <w:rFonts w:ascii="Times New Roman" w:hAnsi="Times New Roman"/>
          <w:i/>
          <w:color w:val="000000"/>
          <w:sz w:val="24"/>
          <w:szCs w:val="24"/>
        </w:rPr>
        <w:t xml:space="preserve">Compliance Engagements </w:t>
      </w:r>
      <w:r w:rsidR="003162ED">
        <w:rPr>
          <w:rFonts w:ascii="Times New Roman" w:hAnsi="Times New Roman"/>
          <w:color w:val="000000"/>
          <w:sz w:val="24"/>
          <w:szCs w:val="24"/>
        </w:rPr>
        <w:t>(issued September 2008)</w:t>
      </w:r>
    </w:p>
    <w:p w:rsidR="00783EB3" w:rsidRPr="00406642"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3402 </w:t>
      </w:r>
      <w:r w:rsidRPr="000B20BE">
        <w:rPr>
          <w:rFonts w:ascii="Times New Roman" w:hAnsi="Times New Roman"/>
          <w:i/>
          <w:color w:val="000000"/>
          <w:sz w:val="24"/>
          <w:szCs w:val="24"/>
        </w:rPr>
        <w:t xml:space="preserve">Assurance Reports on Controls at a Service Organisation </w:t>
      </w:r>
      <w:r w:rsidRPr="000B20BE">
        <w:rPr>
          <w:rFonts w:ascii="Times New Roman" w:hAnsi="Times New Roman"/>
          <w:color w:val="000000"/>
          <w:sz w:val="24"/>
          <w:szCs w:val="24"/>
        </w:rPr>
        <w:t xml:space="preserve">(issued June </w:t>
      </w:r>
      <w:r w:rsidR="003162ED">
        <w:rPr>
          <w:rFonts w:ascii="Times New Roman" w:hAnsi="Times New Roman"/>
          <w:color w:val="000000"/>
          <w:sz w:val="24"/>
          <w:szCs w:val="24"/>
        </w:rPr>
        <w:t>2010)</w:t>
      </w:r>
    </w:p>
    <w:p w:rsidR="00783EB3" w:rsidRPr="00406642"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3410 </w:t>
      </w:r>
      <w:r w:rsidRPr="000B20BE">
        <w:rPr>
          <w:rFonts w:ascii="Times New Roman" w:hAnsi="Times New Roman"/>
          <w:i/>
          <w:color w:val="000000"/>
          <w:sz w:val="24"/>
          <w:szCs w:val="24"/>
        </w:rPr>
        <w:t xml:space="preserve">Assurance on Greenhouse Gas Statements </w:t>
      </w:r>
      <w:r w:rsidRPr="000B20BE">
        <w:rPr>
          <w:rFonts w:ascii="Times New Roman" w:hAnsi="Times New Roman"/>
          <w:color w:val="000000"/>
          <w:sz w:val="24"/>
          <w:szCs w:val="24"/>
        </w:rPr>
        <w:t xml:space="preserve">(issued June </w:t>
      </w:r>
      <w:r w:rsidR="003162ED">
        <w:rPr>
          <w:rFonts w:ascii="Times New Roman" w:hAnsi="Times New Roman"/>
          <w:color w:val="000000"/>
          <w:sz w:val="24"/>
          <w:szCs w:val="24"/>
        </w:rPr>
        <w:t>2012)</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3420 </w:t>
      </w:r>
      <w:r w:rsidRPr="000B20BE">
        <w:rPr>
          <w:rFonts w:ascii="Times New Roman" w:hAnsi="Times New Roman"/>
          <w:i/>
          <w:color w:val="000000"/>
          <w:sz w:val="24"/>
          <w:szCs w:val="24"/>
        </w:rPr>
        <w:t xml:space="preserve">Assurance Engagements To Report on the Compilation of </w:t>
      </w:r>
      <w:r w:rsidR="008C7B90" w:rsidRPr="000B20BE">
        <w:rPr>
          <w:rFonts w:ascii="Times New Roman" w:hAnsi="Times New Roman"/>
          <w:i/>
          <w:color w:val="000000"/>
          <w:sz w:val="24"/>
          <w:szCs w:val="24"/>
        </w:rPr>
        <w:br/>
      </w:r>
      <w:r w:rsidRPr="000B20BE">
        <w:rPr>
          <w:rFonts w:ascii="Times New Roman" w:hAnsi="Times New Roman"/>
          <w:i/>
          <w:color w:val="000000"/>
          <w:sz w:val="24"/>
          <w:szCs w:val="24"/>
        </w:rPr>
        <w:t>Pro Forma Historical Financial Information included in a Prospectus or other Document</w:t>
      </w:r>
      <w:r w:rsidR="003162ED">
        <w:rPr>
          <w:rFonts w:ascii="Times New Roman" w:hAnsi="Times New Roman"/>
          <w:color w:val="000000"/>
          <w:sz w:val="24"/>
          <w:szCs w:val="24"/>
        </w:rPr>
        <w:t xml:space="preserve"> (issued November 2012)</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3450 </w:t>
      </w:r>
      <w:r w:rsidRPr="000B20BE">
        <w:rPr>
          <w:rFonts w:ascii="Times New Roman" w:hAnsi="Times New Roman"/>
          <w:i/>
          <w:color w:val="000000"/>
          <w:sz w:val="24"/>
          <w:szCs w:val="24"/>
        </w:rPr>
        <w:t>Assurance Engagements involving Corporate Fundraisings and/or Prospective Financial Information</w:t>
      </w:r>
      <w:r w:rsidRPr="000B20BE">
        <w:rPr>
          <w:rFonts w:ascii="Times New Roman" w:hAnsi="Times New Roman"/>
          <w:color w:val="000000"/>
          <w:sz w:val="24"/>
          <w:szCs w:val="24"/>
        </w:rPr>
        <w:t xml:space="preserve"> (issued November 2012)</w:t>
      </w:r>
      <w:r w:rsidR="003162ED">
        <w:rPr>
          <w:rFonts w:ascii="Times New Roman" w:hAnsi="Times New Roman"/>
          <w:color w:val="000000"/>
          <w:sz w:val="24"/>
          <w:szCs w:val="24"/>
        </w:rPr>
        <w:t>,</w:t>
      </w:r>
      <w:r w:rsidR="000B20BE">
        <w:rPr>
          <w:rFonts w:ascii="Times New Roman" w:hAnsi="Times New Roman"/>
          <w:color w:val="000000"/>
          <w:sz w:val="24"/>
          <w:szCs w:val="24"/>
        </w:rPr>
        <w:t xml:space="preserve"> and</w:t>
      </w:r>
    </w:p>
    <w:p w:rsidR="00783EB3" w:rsidRPr="000B20BE" w:rsidRDefault="00783EB3" w:rsidP="000B20BE">
      <w:pPr>
        <w:pStyle w:val="ListParagraph"/>
        <w:numPr>
          <w:ilvl w:val="1"/>
          <w:numId w:val="3"/>
        </w:numPr>
        <w:autoSpaceDE w:val="0"/>
        <w:autoSpaceDN w:val="0"/>
        <w:adjustRightInd w:val="0"/>
        <w:spacing w:after="120" w:line="240" w:lineRule="auto"/>
        <w:ind w:left="1434" w:hanging="357"/>
        <w:contextualSpacing w:val="0"/>
        <w:rPr>
          <w:rFonts w:ascii="Times New Roman" w:hAnsi="Times New Roman"/>
          <w:color w:val="000000"/>
          <w:sz w:val="24"/>
          <w:szCs w:val="24"/>
        </w:rPr>
      </w:pPr>
      <w:r w:rsidRPr="000B20BE">
        <w:rPr>
          <w:rFonts w:ascii="Times New Roman" w:hAnsi="Times New Roman"/>
          <w:color w:val="000000"/>
          <w:sz w:val="24"/>
          <w:szCs w:val="24"/>
        </w:rPr>
        <w:t xml:space="preserve">ASAE 3500 </w:t>
      </w:r>
      <w:r w:rsidRPr="000B20BE">
        <w:rPr>
          <w:rFonts w:ascii="Times New Roman" w:hAnsi="Times New Roman"/>
          <w:i/>
          <w:color w:val="000000"/>
          <w:sz w:val="24"/>
          <w:szCs w:val="24"/>
        </w:rPr>
        <w:t xml:space="preserve">Performance Engagements </w:t>
      </w:r>
      <w:r w:rsidRPr="000B20BE">
        <w:rPr>
          <w:rFonts w:ascii="Times New Roman" w:hAnsi="Times New Roman"/>
          <w:color w:val="000000"/>
          <w:sz w:val="24"/>
          <w:szCs w:val="24"/>
        </w:rPr>
        <w:t>(issued October 2008)</w:t>
      </w:r>
      <w:r w:rsidR="0034121E">
        <w:rPr>
          <w:rFonts w:ascii="Times New Roman" w:hAnsi="Times New Roman"/>
          <w:color w:val="000000"/>
          <w:sz w:val="24"/>
          <w:szCs w:val="24"/>
        </w:rPr>
        <w:t>; and</w:t>
      </w:r>
    </w:p>
    <w:p w:rsidR="00783EB3" w:rsidRPr="00B871B2" w:rsidRDefault="00CC0217" w:rsidP="00CC0217">
      <w:pPr>
        <w:pStyle w:val="ListParagraph"/>
        <w:numPr>
          <w:ilvl w:val="0"/>
          <w:numId w:val="3"/>
        </w:numPr>
        <w:autoSpaceDE w:val="0"/>
        <w:autoSpaceDN w:val="0"/>
        <w:adjustRightInd w:val="0"/>
        <w:spacing w:after="120" w:line="240" w:lineRule="auto"/>
        <w:ind w:left="714" w:hanging="357"/>
        <w:contextualSpacing w:val="0"/>
        <w:rPr>
          <w:rFonts w:ascii="Times New Roman" w:hAnsi="Times New Roman"/>
          <w:sz w:val="24"/>
          <w:szCs w:val="24"/>
        </w:rPr>
      </w:pPr>
      <w:r w:rsidRPr="00B871B2">
        <w:rPr>
          <w:rFonts w:ascii="Times New Roman" w:hAnsi="Times New Roman"/>
          <w:color w:val="000000"/>
          <w:sz w:val="24"/>
          <w:szCs w:val="24"/>
        </w:rPr>
        <w:lastRenderedPageBreak/>
        <w:t xml:space="preserve">AUS 810 </w:t>
      </w:r>
      <w:r w:rsidRPr="00B871B2">
        <w:rPr>
          <w:rFonts w:ascii="Times New Roman" w:hAnsi="Times New Roman"/>
          <w:i/>
          <w:color w:val="000000"/>
          <w:sz w:val="24"/>
          <w:szCs w:val="24"/>
        </w:rPr>
        <w:t>Special Purpose Reports on the Effectiveness of Control Procedures</w:t>
      </w:r>
      <w:r w:rsidRPr="00B871B2">
        <w:rPr>
          <w:rFonts w:ascii="Times New Roman" w:hAnsi="Times New Roman"/>
          <w:color w:val="000000"/>
          <w:sz w:val="24"/>
          <w:szCs w:val="24"/>
        </w:rPr>
        <w:t xml:space="preserve"> (issued July 2002), </w:t>
      </w:r>
      <w:r w:rsidR="00783EB3" w:rsidRPr="00B871B2">
        <w:rPr>
          <w:rFonts w:ascii="Times New Roman" w:hAnsi="Times New Roman"/>
          <w:color w:val="000000"/>
          <w:sz w:val="24"/>
          <w:szCs w:val="24"/>
        </w:rPr>
        <w:t xml:space="preserve">issued by the former Australian Accounting Research Foundation on </w:t>
      </w:r>
      <w:r w:rsidR="00783EB3" w:rsidRPr="00B871B2">
        <w:rPr>
          <w:rFonts w:ascii="Times New Roman" w:hAnsi="Times New Roman"/>
          <w:sz w:val="24"/>
          <w:szCs w:val="24"/>
        </w:rPr>
        <w:t>behalf of CPA Australia and The Institute of Chartered Accountants in Australia</w:t>
      </w:r>
      <w:r w:rsidR="0034121E" w:rsidRPr="00B871B2">
        <w:rPr>
          <w:rFonts w:ascii="Times New Roman" w:hAnsi="Times New Roman"/>
          <w:sz w:val="24"/>
          <w:szCs w:val="24"/>
        </w:rPr>
        <w:t>; and</w:t>
      </w:r>
    </w:p>
    <w:p w:rsidR="00783EB3" w:rsidRPr="00B871B2" w:rsidRDefault="0034121E" w:rsidP="00F736D6">
      <w:pPr>
        <w:pStyle w:val="ListParagraph"/>
        <w:numPr>
          <w:ilvl w:val="0"/>
          <w:numId w:val="3"/>
        </w:numPr>
        <w:autoSpaceDE w:val="0"/>
        <w:autoSpaceDN w:val="0"/>
        <w:adjustRightInd w:val="0"/>
        <w:spacing w:after="120" w:line="240" w:lineRule="auto"/>
        <w:ind w:right="95" w:hanging="357"/>
        <w:rPr>
          <w:rFonts w:ascii="Times New Roman" w:hAnsi="Times New Roman"/>
          <w:sz w:val="24"/>
          <w:szCs w:val="24"/>
        </w:rPr>
      </w:pPr>
      <w:r w:rsidRPr="00B871B2">
        <w:rPr>
          <w:rFonts w:ascii="Times New Roman" w:hAnsi="Times New Roman"/>
          <w:sz w:val="24"/>
          <w:szCs w:val="24"/>
        </w:rPr>
        <w:t>f</w:t>
      </w:r>
      <w:r w:rsidR="00E9378E" w:rsidRPr="00B871B2">
        <w:rPr>
          <w:rFonts w:ascii="Times New Roman" w:hAnsi="Times New Roman"/>
          <w:sz w:val="24"/>
          <w:szCs w:val="24"/>
        </w:rPr>
        <w:t>or Assurance Reviews undertaken under Division 2A of Part 4 of the Act that are designated by the Auditor-General as Limited Scope Assurance Reviews, t</w:t>
      </w:r>
      <w:r w:rsidR="00783EB3" w:rsidRPr="00B871B2">
        <w:rPr>
          <w:rFonts w:ascii="Times New Roman" w:hAnsi="Times New Roman"/>
          <w:sz w:val="24"/>
          <w:szCs w:val="24"/>
        </w:rPr>
        <w:t xml:space="preserve">he requirements </w:t>
      </w:r>
      <w:r w:rsidR="002E4C64" w:rsidRPr="00B871B2">
        <w:rPr>
          <w:rFonts w:ascii="Times New Roman" w:hAnsi="Times New Roman"/>
          <w:sz w:val="24"/>
          <w:szCs w:val="24"/>
        </w:rPr>
        <w:t>in the Planning and Performing</w:t>
      </w:r>
      <w:r w:rsidR="000802B2" w:rsidRPr="00B871B2">
        <w:rPr>
          <w:rFonts w:ascii="Times New Roman" w:hAnsi="Times New Roman"/>
          <w:sz w:val="24"/>
          <w:szCs w:val="24"/>
        </w:rPr>
        <w:t xml:space="preserve">, Obtaining Evidence and Documentation </w:t>
      </w:r>
      <w:r w:rsidR="002E4C64" w:rsidRPr="00B871B2">
        <w:rPr>
          <w:rFonts w:ascii="Times New Roman" w:hAnsi="Times New Roman"/>
          <w:sz w:val="24"/>
          <w:szCs w:val="24"/>
        </w:rPr>
        <w:t xml:space="preserve">sections of </w:t>
      </w:r>
      <w:r w:rsidR="00783EB3" w:rsidRPr="00B871B2">
        <w:rPr>
          <w:rFonts w:ascii="Times New Roman" w:hAnsi="Times New Roman"/>
          <w:sz w:val="24"/>
          <w:szCs w:val="24"/>
        </w:rPr>
        <w:t xml:space="preserve">ASAE 3000 </w:t>
      </w:r>
      <w:r w:rsidR="00783EB3" w:rsidRPr="00B871B2">
        <w:rPr>
          <w:rFonts w:ascii="Times New Roman" w:hAnsi="Times New Roman"/>
          <w:i/>
          <w:sz w:val="24"/>
          <w:szCs w:val="24"/>
        </w:rPr>
        <w:t>Assurance Engagements Other than Audits or Reviews of Historical Financial Information</w:t>
      </w:r>
      <w:r w:rsidR="00E9378E" w:rsidRPr="00B871B2">
        <w:rPr>
          <w:rFonts w:ascii="Times New Roman" w:hAnsi="Times New Roman"/>
          <w:i/>
          <w:sz w:val="24"/>
          <w:szCs w:val="24"/>
        </w:rPr>
        <w:t>.</w:t>
      </w:r>
      <w:r w:rsidR="00E9378E" w:rsidRPr="00B871B2">
        <w:rPr>
          <w:rFonts w:ascii="Times New Roman" w:hAnsi="Times New Roman"/>
          <w:sz w:val="24"/>
          <w:szCs w:val="24"/>
        </w:rPr>
        <w:t xml:space="preserve"> </w:t>
      </w:r>
      <w:r w:rsidR="00783EB3" w:rsidRPr="00B871B2">
        <w:rPr>
          <w:rFonts w:ascii="Times New Roman" w:hAnsi="Times New Roman"/>
          <w:sz w:val="24"/>
          <w:szCs w:val="24"/>
        </w:rPr>
        <w:t>The reporting arrangements for</w:t>
      </w:r>
      <w:r w:rsidR="00E9378E" w:rsidRPr="00B871B2">
        <w:rPr>
          <w:rFonts w:ascii="Times New Roman" w:hAnsi="Times New Roman"/>
          <w:sz w:val="24"/>
          <w:szCs w:val="24"/>
        </w:rPr>
        <w:t xml:space="preserve"> Limited Scope Assurance Reviews</w:t>
      </w:r>
      <w:r w:rsidR="00783EB3" w:rsidRPr="00B871B2">
        <w:rPr>
          <w:rFonts w:ascii="Times New Roman" w:hAnsi="Times New Roman"/>
          <w:sz w:val="24"/>
          <w:szCs w:val="24"/>
        </w:rPr>
        <w:t xml:space="preserve">, including arrangements for reporting to the </w:t>
      </w:r>
      <w:r w:rsidR="000802B2" w:rsidRPr="00B871B2">
        <w:rPr>
          <w:rFonts w:ascii="Times New Roman" w:hAnsi="Times New Roman"/>
          <w:sz w:val="24"/>
          <w:szCs w:val="24"/>
        </w:rPr>
        <w:t>Parliament</w:t>
      </w:r>
      <w:r w:rsidR="001A33E9" w:rsidRPr="00B871B2">
        <w:rPr>
          <w:rFonts w:ascii="Times New Roman" w:hAnsi="Times New Roman"/>
          <w:sz w:val="24"/>
          <w:szCs w:val="24"/>
        </w:rPr>
        <w:t>,</w:t>
      </w:r>
      <w:r w:rsidR="000802B2" w:rsidRPr="00B871B2">
        <w:rPr>
          <w:rFonts w:ascii="Times New Roman" w:hAnsi="Times New Roman"/>
          <w:sz w:val="24"/>
          <w:szCs w:val="24"/>
        </w:rPr>
        <w:t xml:space="preserve"> will</w:t>
      </w:r>
      <w:r w:rsidR="00783EB3" w:rsidRPr="00B871B2">
        <w:rPr>
          <w:rFonts w:ascii="Times New Roman" w:hAnsi="Times New Roman"/>
          <w:sz w:val="24"/>
          <w:szCs w:val="24"/>
        </w:rPr>
        <w:t xml:space="preserve"> be</w:t>
      </w:r>
      <w:r w:rsidR="00E9378E" w:rsidRPr="00B871B2">
        <w:rPr>
          <w:rFonts w:ascii="Times New Roman" w:hAnsi="Times New Roman"/>
          <w:sz w:val="24"/>
          <w:szCs w:val="24"/>
        </w:rPr>
        <w:t xml:space="preserve"> as</w:t>
      </w:r>
      <w:r w:rsidR="00783EB3" w:rsidRPr="00B871B2">
        <w:rPr>
          <w:rFonts w:ascii="Times New Roman" w:hAnsi="Times New Roman"/>
          <w:sz w:val="24"/>
          <w:szCs w:val="24"/>
        </w:rPr>
        <w:t xml:space="preserve"> </w:t>
      </w:r>
      <w:r w:rsidR="00211B68" w:rsidRPr="00B871B2">
        <w:rPr>
          <w:rFonts w:ascii="Times New Roman" w:hAnsi="Times New Roman"/>
          <w:sz w:val="24"/>
          <w:szCs w:val="24"/>
        </w:rPr>
        <w:t>determined by the Auditor-General</w:t>
      </w:r>
      <w:r w:rsidR="00783EB3" w:rsidRPr="00B871B2">
        <w:rPr>
          <w:rFonts w:ascii="Times New Roman" w:hAnsi="Times New Roman"/>
          <w:sz w:val="24"/>
          <w:szCs w:val="24"/>
        </w:rPr>
        <w:t>.</w:t>
      </w:r>
    </w:p>
    <w:p w:rsidR="00E90102" w:rsidRPr="00B871B2" w:rsidRDefault="00E90102" w:rsidP="000B20BE">
      <w:pPr>
        <w:spacing w:after="120"/>
        <w:jc w:val="left"/>
        <w:rPr>
          <w:sz w:val="24"/>
          <w:szCs w:val="24"/>
        </w:rPr>
      </w:pPr>
      <w:r w:rsidRPr="00B871B2">
        <w:rPr>
          <w:sz w:val="24"/>
          <w:szCs w:val="24"/>
        </w:rPr>
        <w:t>The ANAO Auditing Standards</w:t>
      </w:r>
      <w:r w:rsidR="00E9378E" w:rsidRPr="00B871B2">
        <w:rPr>
          <w:sz w:val="24"/>
          <w:szCs w:val="24"/>
        </w:rPr>
        <w:t xml:space="preserve"> relating to the conduct of financial statement and performance audits are</w:t>
      </w:r>
      <w:r w:rsidRPr="00B871B2">
        <w:rPr>
          <w:sz w:val="24"/>
          <w:szCs w:val="24"/>
        </w:rPr>
        <w:t xml:space="preserve"> consistent with ISSAI 200 </w:t>
      </w:r>
      <w:r w:rsidRPr="00B871B2">
        <w:rPr>
          <w:i/>
          <w:sz w:val="24"/>
          <w:szCs w:val="24"/>
        </w:rPr>
        <w:t>Fundamental Principles of Financial Auditing</w:t>
      </w:r>
      <w:r w:rsidRPr="00B871B2">
        <w:rPr>
          <w:sz w:val="24"/>
          <w:szCs w:val="24"/>
        </w:rPr>
        <w:t xml:space="preserve"> </w:t>
      </w:r>
      <w:r w:rsidR="00E9378E" w:rsidRPr="00B871B2">
        <w:rPr>
          <w:sz w:val="24"/>
          <w:szCs w:val="24"/>
        </w:rPr>
        <w:t>and ISSAI</w:t>
      </w:r>
      <w:r w:rsidR="00406642" w:rsidRPr="00B871B2">
        <w:rPr>
          <w:sz w:val="24"/>
          <w:szCs w:val="24"/>
        </w:rPr>
        <w:t xml:space="preserve"> 300</w:t>
      </w:r>
      <w:r w:rsidR="00E9378E" w:rsidRPr="00B871B2">
        <w:rPr>
          <w:sz w:val="24"/>
          <w:szCs w:val="24"/>
        </w:rPr>
        <w:t xml:space="preserve"> </w:t>
      </w:r>
      <w:r w:rsidR="00E9378E" w:rsidRPr="00B871B2">
        <w:rPr>
          <w:i/>
          <w:sz w:val="24"/>
          <w:szCs w:val="24"/>
        </w:rPr>
        <w:t xml:space="preserve">Fundamental Principles of Performance Auditing </w:t>
      </w:r>
      <w:r w:rsidR="00E9378E" w:rsidRPr="00B871B2">
        <w:rPr>
          <w:sz w:val="24"/>
          <w:szCs w:val="24"/>
        </w:rPr>
        <w:t>respectively, issued</w:t>
      </w:r>
      <w:r w:rsidRPr="00B871B2">
        <w:rPr>
          <w:sz w:val="24"/>
          <w:szCs w:val="24"/>
        </w:rPr>
        <w:t xml:space="preserve"> by the International Organisation of Supreme Audit Institutions (</w:t>
      </w:r>
      <w:r w:rsidR="00172608" w:rsidRPr="00B871B2">
        <w:rPr>
          <w:sz w:val="24"/>
          <w:szCs w:val="24"/>
        </w:rPr>
        <w:t>i</w:t>
      </w:r>
      <w:r w:rsidRPr="00B871B2">
        <w:rPr>
          <w:sz w:val="24"/>
          <w:szCs w:val="24"/>
        </w:rPr>
        <w:t>ssued 2013).</w:t>
      </w:r>
    </w:p>
    <w:p w:rsidR="00783EB3" w:rsidRPr="00406642" w:rsidRDefault="00783EB3" w:rsidP="000B20BE">
      <w:pPr>
        <w:spacing w:after="120"/>
        <w:jc w:val="left"/>
        <w:rPr>
          <w:sz w:val="24"/>
          <w:szCs w:val="24"/>
        </w:rPr>
      </w:pPr>
      <w:r w:rsidRPr="00B871B2">
        <w:rPr>
          <w:sz w:val="24"/>
          <w:szCs w:val="24"/>
        </w:rPr>
        <w:t>These ANAO Auditing Standards revoke all previous auditing standards set under section 24 of the Act.</w:t>
      </w:r>
    </w:p>
    <w:p w:rsidR="00783EB3" w:rsidRPr="00406642" w:rsidRDefault="00783EB3" w:rsidP="000B20BE">
      <w:pPr>
        <w:spacing w:after="120"/>
        <w:jc w:val="left"/>
        <w:rPr>
          <w:sz w:val="24"/>
          <w:szCs w:val="24"/>
        </w:rPr>
      </w:pPr>
    </w:p>
    <w:p w:rsidR="00783EB3" w:rsidRPr="000B20BE" w:rsidRDefault="00783EB3" w:rsidP="000B20BE">
      <w:pPr>
        <w:spacing w:after="120"/>
        <w:jc w:val="left"/>
        <w:rPr>
          <w:color w:val="000000"/>
          <w:sz w:val="24"/>
          <w:szCs w:val="24"/>
        </w:rPr>
      </w:pPr>
    </w:p>
    <w:p w:rsidR="00783EB3" w:rsidRPr="000B20BE" w:rsidRDefault="00783EB3" w:rsidP="000B20BE">
      <w:pPr>
        <w:spacing w:after="120"/>
        <w:jc w:val="left"/>
        <w:rPr>
          <w:color w:val="000000"/>
          <w:sz w:val="24"/>
          <w:szCs w:val="24"/>
        </w:rPr>
      </w:pPr>
    </w:p>
    <w:p w:rsidR="00783EB3" w:rsidRPr="000B20BE" w:rsidRDefault="00783EB3" w:rsidP="000B20BE">
      <w:pPr>
        <w:spacing w:after="120"/>
        <w:jc w:val="left"/>
        <w:rPr>
          <w:color w:val="000000"/>
          <w:sz w:val="24"/>
          <w:szCs w:val="24"/>
        </w:rPr>
      </w:pPr>
    </w:p>
    <w:p w:rsidR="00783EB3" w:rsidRPr="000B20BE" w:rsidRDefault="00783EB3" w:rsidP="000B20BE">
      <w:pPr>
        <w:spacing w:after="120"/>
        <w:jc w:val="left"/>
        <w:rPr>
          <w:color w:val="000000"/>
          <w:sz w:val="24"/>
          <w:szCs w:val="24"/>
        </w:rPr>
      </w:pPr>
      <w:r w:rsidRPr="000B20BE">
        <w:rPr>
          <w:color w:val="000000"/>
          <w:sz w:val="24"/>
          <w:szCs w:val="24"/>
        </w:rPr>
        <w:t>Ian McPhee</w:t>
      </w:r>
    </w:p>
    <w:p w:rsidR="00783EB3" w:rsidRPr="000B20BE" w:rsidRDefault="00783EB3" w:rsidP="000B20BE">
      <w:pPr>
        <w:spacing w:after="120"/>
        <w:jc w:val="left"/>
        <w:rPr>
          <w:color w:val="000000"/>
          <w:sz w:val="24"/>
          <w:szCs w:val="24"/>
        </w:rPr>
      </w:pPr>
      <w:r w:rsidRPr="000B20BE">
        <w:rPr>
          <w:color w:val="000000"/>
          <w:sz w:val="24"/>
          <w:szCs w:val="24"/>
        </w:rPr>
        <w:t>Auditor-General</w:t>
      </w:r>
    </w:p>
    <w:p w:rsidR="00783EB3" w:rsidRPr="000B20BE" w:rsidRDefault="00FC6C42" w:rsidP="000B20BE">
      <w:pPr>
        <w:spacing w:after="120"/>
        <w:jc w:val="left"/>
        <w:rPr>
          <w:sz w:val="24"/>
          <w:szCs w:val="24"/>
        </w:rPr>
      </w:pPr>
      <w:r>
        <w:rPr>
          <w:color w:val="000000"/>
          <w:sz w:val="24"/>
          <w:szCs w:val="24"/>
        </w:rPr>
        <w:t xml:space="preserve">19 </w:t>
      </w:r>
      <w:r w:rsidR="006551DB">
        <w:rPr>
          <w:color w:val="000000"/>
          <w:sz w:val="24"/>
          <w:szCs w:val="24"/>
        </w:rPr>
        <w:t>Dec</w:t>
      </w:r>
      <w:r w:rsidR="00783EB3" w:rsidRPr="000B20BE">
        <w:rPr>
          <w:color w:val="000000"/>
          <w:sz w:val="24"/>
          <w:szCs w:val="24"/>
        </w:rPr>
        <w:t>ember 2013</w:t>
      </w:r>
    </w:p>
    <w:p w:rsidR="00783EB3" w:rsidRPr="000B20BE" w:rsidRDefault="00783EB3" w:rsidP="000B20BE">
      <w:pPr>
        <w:jc w:val="left"/>
        <w:rPr>
          <w:sz w:val="24"/>
          <w:szCs w:val="24"/>
        </w:rPr>
      </w:pPr>
    </w:p>
    <w:p w:rsidR="00AF1B3B" w:rsidRPr="000B20BE" w:rsidRDefault="00AF1B3B" w:rsidP="000B20BE">
      <w:pPr>
        <w:jc w:val="left"/>
        <w:rPr>
          <w:sz w:val="24"/>
          <w:szCs w:val="24"/>
        </w:rPr>
      </w:pPr>
    </w:p>
    <w:sectPr w:rsidR="00AF1B3B" w:rsidRPr="000B20BE" w:rsidSect="00AF1B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51E" w:rsidRDefault="0075451E" w:rsidP="00AD23B2">
      <w:r>
        <w:separator/>
      </w:r>
    </w:p>
  </w:endnote>
  <w:endnote w:type="continuationSeparator" w:id="0">
    <w:p w:rsidR="0075451E" w:rsidRDefault="0075451E" w:rsidP="00AD23B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51E" w:rsidRDefault="0075451E" w:rsidP="00AD23B2">
      <w:r>
        <w:separator/>
      </w:r>
    </w:p>
  </w:footnote>
  <w:footnote w:type="continuationSeparator" w:id="0">
    <w:p w:rsidR="0075451E" w:rsidRDefault="0075451E" w:rsidP="00AD23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42" w:rsidRDefault="004066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73D4"/>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63515757"/>
    <w:multiLevelType w:val="hybridMultilevel"/>
    <w:tmpl w:val="F5462202"/>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83EB3"/>
    <w:rsid w:val="00022B7A"/>
    <w:rsid w:val="00030CF0"/>
    <w:rsid w:val="000747D6"/>
    <w:rsid w:val="000802B2"/>
    <w:rsid w:val="00081E8D"/>
    <w:rsid w:val="000A2876"/>
    <w:rsid w:val="000A4F50"/>
    <w:rsid w:val="000B1C21"/>
    <w:rsid w:val="000B20BE"/>
    <w:rsid w:val="000E2F78"/>
    <w:rsid w:val="000E72C3"/>
    <w:rsid w:val="00102C23"/>
    <w:rsid w:val="00120759"/>
    <w:rsid w:val="00172608"/>
    <w:rsid w:val="00191433"/>
    <w:rsid w:val="001A33E9"/>
    <w:rsid w:val="001E5414"/>
    <w:rsid w:val="00211B68"/>
    <w:rsid w:val="00250C7C"/>
    <w:rsid w:val="002B2850"/>
    <w:rsid w:val="002B43E5"/>
    <w:rsid w:val="002C19DE"/>
    <w:rsid w:val="002E4C64"/>
    <w:rsid w:val="002F6991"/>
    <w:rsid w:val="00303583"/>
    <w:rsid w:val="003162ED"/>
    <w:rsid w:val="0034121E"/>
    <w:rsid w:val="00376642"/>
    <w:rsid w:val="0038736B"/>
    <w:rsid w:val="00406642"/>
    <w:rsid w:val="004527C6"/>
    <w:rsid w:val="00465331"/>
    <w:rsid w:val="00472A09"/>
    <w:rsid w:val="004D5509"/>
    <w:rsid w:val="0050335A"/>
    <w:rsid w:val="00507C80"/>
    <w:rsid w:val="00535807"/>
    <w:rsid w:val="00564516"/>
    <w:rsid w:val="00596CB2"/>
    <w:rsid w:val="005E23E8"/>
    <w:rsid w:val="006053A4"/>
    <w:rsid w:val="006455F8"/>
    <w:rsid w:val="006551DB"/>
    <w:rsid w:val="006658A9"/>
    <w:rsid w:val="00694B2E"/>
    <w:rsid w:val="006D4784"/>
    <w:rsid w:val="006E79DC"/>
    <w:rsid w:val="006F116E"/>
    <w:rsid w:val="00735532"/>
    <w:rsid w:val="00746715"/>
    <w:rsid w:val="0075451E"/>
    <w:rsid w:val="00783EB3"/>
    <w:rsid w:val="007B54F6"/>
    <w:rsid w:val="007C1392"/>
    <w:rsid w:val="007C16E8"/>
    <w:rsid w:val="007E5FB9"/>
    <w:rsid w:val="007F5BCB"/>
    <w:rsid w:val="00823EF3"/>
    <w:rsid w:val="008303B5"/>
    <w:rsid w:val="00835022"/>
    <w:rsid w:val="008C7B90"/>
    <w:rsid w:val="008E00C3"/>
    <w:rsid w:val="008E7515"/>
    <w:rsid w:val="008F5687"/>
    <w:rsid w:val="00900256"/>
    <w:rsid w:val="00974AFD"/>
    <w:rsid w:val="00992ECC"/>
    <w:rsid w:val="009F2A48"/>
    <w:rsid w:val="00AA52B2"/>
    <w:rsid w:val="00AD23B2"/>
    <w:rsid w:val="00AE46B7"/>
    <w:rsid w:val="00AE7A40"/>
    <w:rsid w:val="00AF1B3B"/>
    <w:rsid w:val="00B44293"/>
    <w:rsid w:val="00B871B2"/>
    <w:rsid w:val="00BA6209"/>
    <w:rsid w:val="00C84F26"/>
    <w:rsid w:val="00CC0217"/>
    <w:rsid w:val="00CC0840"/>
    <w:rsid w:val="00CC4566"/>
    <w:rsid w:val="00CF1A7E"/>
    <w:rsid w:val="00E5641A"/>
    <w:rsid w:val="00E62599"/>
    <w:rsid w:val="00E90102"/>
    <w:rsid w:val="00E9378E"/>
    <w:rsid w:val="00E97F7F"/>
    <w:rsid w:val="00EB325E"/>
    <w:rsid w:val="00EE022F"/>
    <w:rsid w:val="00F35601"/>
    <w:rsid w:val="00F67D1E"/>
    <w:rsid w:val="00F736D6"/>
    <w:rsid w:val="00FB0F42"/>
    <w:rsid w:val="00FC6C4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B3"/>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EB3"/>
    <w:pPr>
      <w:overflowPunct/>
      <w:autoSpaceDE/>
      <w:autoSpaceDN/>
      <w:adjustRightInd/>
      <w:spacing w:after="200" w:line="276" w:lineRule="auto"/>
      <w:ind w:left="720"/>
      <w:contextualSpacing/>
      <w:jc w:val="left"/>
      <w:textAlignment w:val="auto"/>
    </w:pPr>
    <w:rPr>
      <w:rFonts w:ascii="Calibri" w:eastAsia="Calibri" w:hAnsi="Calibri"/>
      <w:szCs w:val="22"/>
    </w:rPr>
  </w:style>
  <w:style w:type="paragraph" w:styleId="Header">
    <w:name w:val="header"/>
    <w:basedOn w:val="Normal"/>
    <w:link w:val="HeaderChar"/>
    <w:uiPriority w:val="99"/>
    <w:semiHidden/>
    <w:unhideWhenUsed/>
    <w:rsid w:val="00AD23B2"/>
    <w:pPr>
      <w:tabs>
        <w:tab w:val="center" w:pos="4513"/>
        <w:tab w:val="right" w:pos="9026"/>
      </w:tabs>
    </w:pPr>
  </w:style>
  <w:style w:type="character" w:customStyle="1" w:styleId="HeaderChar">
    <w:name w:val="Header Char"/>
    <w:basedOn w:val="DefaultParagraphFont"/>
    <w:link w:val="Header"/>
    <w:uiPriority w:val="99"/>
    <w:semiHidden/>
    <w:rsid w:val="00AD23B2"/>
    <w:rPr>
      <w:rFonts w:ascii="Times New Roman" w:eastAsia="Times New Roman" w:hAnsi="Times New Roman" w:cs="Times New Roman"/>
      <w:szCs w:val="20"/>
    </w:rPr>
  </w:style>
  <w:style w:type="paragraph" w:styleId="Footer">
    <w:name w:val="footer"/>
    <w:basedOn w:val="Normal"/>
    <w:link w:val="FooterChar"/>
    <w:uiPriority w:val="99"/>
    <w:unhideWhenUsed/>
    <w:rsid w:val="00AD23B2"/>
    <w:pPr>
      <w:tabs>
        <w:tab w:val="center" w:pos="4513"/>
        <w:tab w:val="right" w:pos="9026"/>
      </w:tabs>
    </w:pPr>
  </w:style>
  <w:style w:type="character" w:customStyle="1" w:styleId="FooterChar">
    <w:name w:val="Footer Char"/>
    <w:basedOn w:val="DefaultParagraphFont"/>
    <w:link w:val="Footer"/>
    <w:uiPriority w:val="99"/>
    <w:rsid w:val="00AD23B2"/>
    <w:rPr>
      <w:rFonts w:ascii="Times New Roman" w:eastAsia="Times New Roman" w:hAnsi="Times New Roman" w:cs="Times New Roman"/>
      <w:szCs w:val="20"/>
    </w:rPr>
  </w:style>
  <w:style w:type="paragraph" w:styleId="Revision">
    <w:name w:val="Revision"/>
    <w:hidden/>
    <w:uiPriority w:val="99"/>
    <w:semiHidden/>
    <w:rsid w:val="00E97F7F"/>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97F7F"/>
    <w:rPr>
      <w:rFonts w:ascii="Tahoma" w:hAnsi="Tahoma" w:cs="Tahoma"/>
      <w:sz w:val="16"/>
      <w:szCs w:val="16"/>
    </w:rPr>
  </w:style>
  <w:style w:type="character" w:customStyle="1" w:styleId="BalloonTextChar">
    <w:name w:val="Balloon Text Char"/>
    <w:basedOn w:val="DefaultParagraphFont"/>
    <w:link w:val="BalloonText"/>
    <w:uiPriority w:val="99"/>
    <w:semiHidden/>
    <w:rsid w:val="00E97F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National Audit Office</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colemr</dc:creator>
  <cp:lastModifiedBy>highls</cp:lastModifiedBy>
  <cp:revision>3</cp:revision>
  <cp:lastPrinted>2013-12-17T04:44:00Z</cp:lastPrinted>
  <dcterms:created xsi:type="dcterms:W3CDTF">2013-12-23T00:41:00Z</dcterms:created>
  <dcterms:modified xsi:type="dcterms:W3CDTF">2013-12-23T00:46:00Z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2992679v1 Auditing Standards (19Dec13)</vt:lpwstr>
  </property>
</Properties>
</file>