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EE" w:rsidRPr="000041C9" w:rsidRDefault="005702EE" w:rsidP="005702EE">
      <w:pPr>
        <w:pStyle w:val="LDAmendHeading"/>
      </w:pPr>
      <w:r w:rsidRPr="000041C9">
        <w:t>Explanatory Statement</w:t>
      </w:r>
    </w:p>
    <w:p w:rsidR="005702EE" w:rsidRPr="000041C9" w:rsidRDefault="005702EE" w:rsidP="005702EE">
      <w:pPr>
        <w:pStyle w:val="LDAmendHeading"/>
      </w:pPr>
      <w:r w:rsidRPr="000041C9">
        <w:t>Civil Aviation Safety Regulations 1998</w:t>
      </w:r>
    </w:p>
    <w:p w:rsidR="005702EE" w:rsidRPr="000041C9" w:rsidRDefault="000041C9" w:rsidP="005702EE">
      <w:pPr>
        <w:pStyle w:val="LDAmendHeading"/>
        <w:ind w:left="0" w:firstLine="0"/>
      </w:pPr>
      <w:r w:rsidRPr="000041C9">
        <w:t>Exemption </w:t>
      </w:r>
      <w:r w:rsidR="00B62591">
        <w:t>–</w:t>
      </w:r>
      <w:r w:rsidRPr="000041C9">
        <w:t xml:space="preserve"> </w:t>
      </w:r>
      <w:r w:rsidR="0036760C">
        <w:t>carriage of flight data recorder</w:t>
      </w:r>
      <w:r w:rsidR="00B62591">
        <w:t xml:space="preserve"> – Pel-Air Aviation</w:t>
      </w:r>
    </w:p>
    <w:p w:rsidR="005702EE" w:rsidRPr="000041C9" w:rsidRDefault="005702EE" w:rsidP="005702EE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</w:pPr>
    </w:p>
    <w:p w:rsidR="005702EE" w:rsidRDefault="008F7193" w:rsidP="005702EE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CB41A3">
        <w:t xml:space="preserve">Section 98 of the </w:t>
      </w:r>
      <w:r w:rsidRPr="00CB41A3">
        <w:rPr>
          <w:i/>
        </w:rPr>
        <w:t>Civil Aviation Act 1988</w:t>
      </w:r>
      <w:r w:rsidRPr="00CB41A3">
        <w:t xml:space="preserve"> (the </w:t>
      </w:r>
      <w:r w:rsidRPr="00CB41A3">
        <w:rPr>
          <w:b/>
          <w:i/>
        </w:rPr>
        <w:t>Act</w:t>
      </w:r>
      <w:r w:rsidRPr="00CB41A3">
        <w:t>) empowers the Governor-General to make regulations for the Act and the safety of air navigation.</w:t>
      </w:r>
    </w:p>
    <w:p w:rsidR="008F7193" w:rsidRPr="000041C9" w:rsidRDefault="008F7193" w:rsidP="005702EE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</w:pPr>
    </w:p>
    <w:p w:rsidR="005702EE" w:rsidRDefault="0036760C" w:rsidP="005702EE">
      <w:r>
        <w:t xml:space="preserve">Under regulation 207 of the </w:t>
      </w:r>
      <w:r>
        <w:rPr>
          <w:i/>
        </w:rPr>
        <w:t>Civil Aviation Regulations 1988</w:t>
      </w:r>
      <w:r>
        <w:t xml:space="preserve"> (</w:t>
      </w:r>
      <w:r>
        <w:rPr>
          <w:b/>
          <w:i/>
        </w:rPr>
        <w:t>CAR 1988</w:t>
      </w:r>
      <w:r>
        <w:t>)</w:t>
      </w:r>
      <w:r w:rsidR="006B1974">
        <w:t>,</w:t>
      </w:r>
      <w:r>
        <w:t xml:space="preserve"> CASA is empowered to issue directions relating to the instruments and equipment to be carried in aircraft engaged in certain kinds of air operation. In accordance with regulation 5 of CAR 1988, such directions may be issued in the form of a Civil Aviation Order (</w:t>
      </w:r>
      <w:r w:rsidRPr="008F7193">
        <w:rPr>
          <w:b/>
          <w:i/>
        </w:rPr>
        <w:t>CAO</w:t>
      </w:r>
      <w:r w:rsidRPr="0036760C">
        <w:t>)</w:t>
      </w:r>
      <w:r>
        <w:t>.</w:t>
      </w:r>
    </w:p>
    <w:p w:rsidR="0036760C" w:rsidRDefault="0036760C" w:rsidP="005702EE"/>
    <w:p w:rsidR="0036760C" w:rsidRPr="00BA5B15" w:rsidRDefault="00BA5B15" w:rsidP="005702EE">
      <w:r>
        <w:t>CAO</w:t>
      </w:r>
      <w:r w:rsidR="0036760C">
        <w:t xml:space="preserve"> 20.18 sets out directions issued by CASA</w:t>
      </w:r>
      <w:r>
        <w:t xml:space="preserve"> under regulation 207</w:t>
      </w:r>
      <w:r w:rsidR="0036760C">
        <w:t xml:space="preserve"> in relation to the instruments and equipment to be carried on board aircraft</w:t>
      </w:r>
      <w:r>
        <w:t>. Paragraph 6.1 of CAO 20.18 requires</w:t>
      </w:r>
      <w:r w:rsidR="008F7193">
        <w:t>, among other things,</w:t>
      </w:r>
      <w:r>
        <w:t xml:space="preserve"> turbine engine aircraft with a maximum take-off weight (</w:t>
      </w:r>
      <w:r>
        <w:rPr>
          <w:b/>
          <w:i/>
        </w:rPr>
        <w:t>MTOW</w:t>
      </w:r>
      <w:r>
        <w:rPr>
          <w:i/>
        </w:rPr>
        <w:t xml:space="preserve">) </w:t>
      </w:r>
      <w:r w:rsidRPr="00BA5B15">
        <w:t>in excess of 5</w:t>
      </w:r>
      <w:r w:rsidR="003B223E">
        <w:t> </w:t>
      </w:r>
      <w:r w:rsidRPr="00BA5B15">
        <w:t>700 kg</w:t>
      </w:r>
      <w:r>
        <w:t xml:space="preserve"> to be fitted with an approved flight data recorder (</w:t>
      </w:r>
      <w:r>
        <w:rPr>
          <w:b/>
          <w:i/>
        </w:rPr>
        <w:t>FDR</w:t>
      </w:r>
      <w:r>
        <w:t>) and an approved cockpit voice recorder (</w:t>
      </w:r>
      <w:r>
        <w:rPr>
          <w:b/>
          <w:i/>
        </w:rPr>
        <w:t>CVR</w:t>
      </w:r>
      <w:r>
        <w:t>)</w:t>
      </w:r>
      <w:r w:rsidR="006B1974">
        <w:t>.</w:t>
      </w:r>
    </w:p>
    <w:p w:rsidR="005702EE" w:rsidRPr="000041C9" w:rsidRDefault="005702EE" w:rsidP="005702EE"/>
    <w:p w:rsidR="005702EE" w:rsidRPr="000041C9" w:rsidRDefault="005702EE" w:rsidP="005702EE">
      <w:pPr>
        <w:rPr>
          <w:b/>
        </w:rPr>
      </w:pPr>
      <w:r w:rsidRPr="000041C9">
        <w:rPr>
          <w:b/>
        </w:rPr>
        <w:t>Exemptions</w:t>
      </w:r>
    </w:p>
    <w:p w:rsidR="008F7193" w:rsidRPr="00CB41A3" w:rsidRDefault="008F7193" w:rsidP="008F7193">
      <w:r w:rsidRPr="00CB41A3">
        <w:t>Subregulation 11.160</w:t>
      </w:r>
      <w:r>
        <w:t> </w:t>
      </w:r>
      <w:r w:rsidRPr="00CB41A3">
        <w:t xml:space="preserve">(1) of the </w:t>
      </w:r>
      <w:r w:rsidRPr="00CB41A3">
        <w:rPr>
          <w:i/>
        </w:rPr>
        <w:t xml:space="preserve">Civil Aviation Safety Regulations 1998 </w:t>
      </w:r>
      <w:r w:rsidRPr="00CB41A3">
        <w:t>(</w:t>
      </w:r>
      <w:r w:rsidRPr="00CB41A3">
        <w:rPr>
          <w:b/>
          <w:i/>
        </w:rPr>
        <w:t>CASR 1998</w:t>
      </w:r>
      <w:r w:rsidRPr="00CB41A3">
        <w:t>) provides that, for subsection 98</w:t>
      </w:r>
      <w:r>
        <w:t> </w:t>
      </w:r>
      <w:r w:rsidRPr="00CB41A3">
        <w:t>(5A) of the Act, CASA may grant an exemption from a provision of the regulations, including CAR 1988, in relation to a matter mentioned in that subsection. Under subregulation 11.160</w:t>
      </w:r>
      <w:r>
        <w:t> </w:t>
      </w:r>
      <w:r w:rsidRPr="00CB41A3">
        <w:t>(2), an exemption may be granted to a person, or to a class of persons, and may specify the class by reference to membership of a specified body or any other characteristic.</w:t>
      </w:r>
    </w:p>
    <w:p w:rsidR="008F7193" w:rsidRPr="00CB41A3" w:rsidRDefault="008F7193" w:rsidP="008F7193"/>
    <w:p w:rsidR="008F7193" w:rsidRDefault="008F7193" w:rsidP="008F719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CB41A3">
        <w:t>Under subregulation 11.205</w:t>
      </w:r>
      <w:r>
        <w:t> (1) of CASR </w:t>
      </w:r>
      <w:r w:rsidRPr="00CB41A3">
        <w:t>1998, CASA may impose conditions on an exemption if this is necessary in the interests of the safety of air navigation. Under reg</w:t>
      </w:r>
      <w:r>
        <w:t>ulation 11.225 of CASR </w:t>
      </w:r>
      <w:r w:rsidRPr="00CB41A3">
        <w:t>1998, an exemption must be published on the Internet. Under subregulation 11.230</w:t>
      </w:r>
      <w:r>
        <w:t> </w:t>
      </w:r>
      <w:r w:rsidRPr="00CB41A3">
        <w:t>(1), an exemption ceases on the day specified within it (but no longer than 3 years after its commencement) or, if no day is specified, 3 years after commencement.</w:t>
      </w:r>
    </w:p>
    <w:p w:rsidR="005A2874" w:rsidRDefault="005A2874" w:rsidP="005702EE"/>
    <w:p w:rsidR="008F7193" w:rsidRDefault="008F7193" w:rsidP="008F719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subsection 33 (3) of the </w:t>
      </w:r>
      <w:r>
        <w:rPr>
          <w:rFonts w:ascii="Times New Roman" w:hAnsi="Times New Roman" w:cs="Times New Roman"/>
          <w:i/>
          <w:sz w:val="24"/>
          <w:szCs w:val="24"/>
        </w:rPr>
        <w:t>Acts Interpretation Act 1901</w:t>
      </w:r>
      <w:r>
        <w:rPr>
          <w:rFonts w:ascii="Times New Roman" w:hAnsi="Times New Roman" w:cs="Times New Roman"/>
          <w:sz w:val="24"/>
          <w:szCs w:val="24"/>
        </w:rPr>
        <w:t>, where an Act confers a power to make, grant or issue any instrument of a legislative or administrative character (including rules, regulations or by-laws)</w:t>
      </w:r>
      <w:r w:rsidR="00F82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power shall be construed as including a power exercisable in the like manner and subject to the like conditions (if any) to repeal, rescind, revoke, amend, or vary any such instrument.</w:t>
      </w:r>
    </w:p>
    <w:p w:rsidR="008B48DE" w:rsidRDefault="008B48DE" w:rsidP="005702EE"/>
    <w:p w:rsidR="00856453" w:rsidRDefault="00856453" w:rsidP="005702EE">
      <w:pPr>
        <w:rPr>
          <w:b/>
        </w:rPr>
      </w:pPr>
      <w:r>
        <w:rPr>
          <w:b/>
        </w:rPr>
        <w:t>Purpose</w:t>
      </w:r>
    </w:p>
    <w:p w:rsidR="005154D2" w:rsidRPr="005154D2" w:rsidRDefault="005154D2" w:rsidP="002B1582">
      <w:pPr>
        <w:ind w:right="-142"/>
      </w:pPr>
      <w:r w:rsidRPr="005154D2">
        <w:t xml:space="preserve">This instrument exempts </w:t>
      </w:r>
      <w:proofErr w:type="spellStart"/>
      <w:r w:rsidRPr="005154D2">
        <w:t>Pel</w:t>
      </w:r>
      <w:proofErr w:type="spellEnd"/>
      <w:r w:rsidRPr="005154D2">
        <w:t>-Air Aviation Pty L</w:t>
      </w:r>
      <w:r w:rsidR="003B223E">
        <w:t>imite</w:t>
      </w:r>
      <w:r w:rsidRPr="005154D2">
        <w:t>d</w:t>
      </w:r>
      <w:r>
        <w:t xml:space="preserve"> (</w:t>
      </w:r>
      <w:r w:rsidR="00306145" w:rsidRPr="00306145">
        <w:t>the</w:t>
      </w:r>
      <w:r w:rsidR="00306145">
        <w:rPr>
          <w:b/>
          <w:i/>
        </w:rPr>
        <w:t xml:space="preserve"> operator</w:t>
      </w:r>
      <w:r>
        <w:t>)</w:t>
      </w:r>
      <w:r w:rsidRPr="005154D2">
        <w:t xml:space="preserve"> from compliance with</w:t>
      </w:r>
      <w:r w:rsidR="008861D8">
        <w:t xml:space="preserve"> subregulation 207</w:t>
      </w:r>
      <w:r w:rsidR="006B1974">
        <w:t> </w:t>
      </w:r>
      <w:r w:rsidR="008861D8">
        <w:t>(2) of CAR 1988, in respect of the requirements of</w:t>
      </w:r>
      <w:r w:rsidRPr="005154D2">
        <w:t xml:space="preserve"> paragraph 6.1 of CAO 20.18 in </w:t>
      </w:r>
      <w:r w:rsidR="008861D8">
        <w:t>relation to</w:t>
      </w:r>
      <w:r w:rsidR="00F87700">
        <w:t xml:space="preserve"> the operation of </w:t>
      </w:r>
      <w:r w:rsidR="003B223E">
        <w:t>4</w:t>
      </w:r>
      <w:r w:rsidRPr="005154D2">
        <w:t xml:space="preserve"> </w:t>
      </w:r>
      <w:r>
        <w:t xml:space="preserve">Hawker </w:t>
      </w:r>
      <w:r w:rsidRPr="005154D2">
        <w:t xml:space="preserve">Beechcraft </w:t>
      </w:r>
      <w:r>
        <w:t xml:space="preserve">Corporation </w:t>
      </w:r>
      <w:r w:rsidRPr="005154D2">
        <w:t>B200C Beech King aircraft.</w:t>
      </w:r>
    </w:p>
    <w:p w:rsidR="005154D2" w:rsidRDefault="002B1582" w:rsidP="005702EE">
      <w:pPr>
        <w:rPr>
          <w:b/>
        </w:rPr>
      </w:pPr>
      <w:r>
        <w:rPr>
          <w:b/>
        </w:rPr>
        <w:t xml:space="preserve"> </w:t>
      </w:r>
    </w:p>
    <w:p w:rsidR="00766743" w:rsidRDefault="00766743" w:rsidP="005702EE">
      <w:r>
        <w:t>These aircraft have been modified in accordance with a Supplemental Type Certificate (</w:t>
      </w:r>
      <w:r w:rsidRPr="00766743">
        <w:rPr>
          <w:b/>
          <w:i/>
        </w:rPr>
        <w:t>STC</w:t>
      </w:r>
      <w:r>
        <w:t>)</w:t>
      </w:r>
      <w:r w:rsidR="005154D2">
        <w:t xml:space="preserve"> </w:t>
      </w:r>
      <w:r w:rsidRPr="00766743">
        <w:t>to</w:t>
      </w:r>
      <w:r>
        <w:t xml:space="preserve"> increase </w:t>
      </w:r>
      <w:r w:rsidR="005154D2">
        <w:t xml:space="preserve">their </w:t>
      </w:r>
      <w:r>
        <w:t xml:space="preserve">gross weight to allow them to carry more fuel to </w:t>
      </w:r>
      <w:r w:rsidR="00755956">
        <w:t>enhance</w:t>
      </w:r>
      <w:r>
        <w:t xml:space="preserve"> the range and </w:t>
      </w:r>
      <w:r w:rsidR="00755956">
        <w:t xml:space="preserve">operational </w:t>
      </w:r>
      <w:r>
        <w:t>flexibility of the</w:t>
      </w:r>
      <w:r w:rsidR="005154D2">
        <w:t xml:space="preserve"> kinds</w:t>
      </w:r>
      <w:r>
        <w:t xml:space="preserve"> </w:t>
      </w:r>
      <w:r w:rsidR="006B1974">
        <w:t xml:space="preserve">of </w:t>
      </w:r>
      <w:r>
        <w:t xml:space="preserve">operations for which the aircraft are used </w:t>
      </w:r>
      <w:r w:rsidR="008861D8">
        <w:t xml:space="preserve">by </w:t>
      </w:r>
      <w:r w:rsidR="00306145">
        <w:t>the operator</w:t>
      </w:r>
      <w:r w:rsidR="006B1974">
        <w:t xml:space="preserve">, </w:t>
      </w:r>
      <w:r>
        <w:t>including aeromedical operations conducted in support of the Royal Flying Doctor Service.</w:t>
      </w:r>
    </w:p>
    <w:p w:rsidR="00766743" w:rsidRDefault="00766743" w:rsidP="005702EE"/>
    <w:p w:rsidR="00766743" w:rsidRDefault="00766743" w:rsidP="005702EE">
      <w:r>
        <w:lastRenderedPageBreak/>
        <w:t>The increase in weight associated with the STC increase</w:t>
      </w:r>
      <w:r w:rsidR="00F87700">
        <w:t>d</w:t>
      </w:r>
      <w:r>
        <w:t xml:space="preserve"> the MTOW of the aircraft from below 5</w:t>
      </w:r>
      <w:r w:rsidR="006B1974">
        <w:t> </w:t>
      </w:r>
      <w:r>
        <w:t>700</w:t>
      </w:r>
      <w:r w:rsidR="006B1974">
        <w:t xml:space="preserve"> </w:t>
      </w:r>
      <w:r>
        <w:t>kg to in e</w:t>
      </w:r>
      <w:r w:rsidR="00413647">
        <w:t>xcess of that weight which</w:t>
      </w:r>
      <w:r w:rsidR="00F8252A">
        <w:t>,</w:t>
      </w:r>
      <w:r w:rsidR="00413647">
        <w:t xml:space="preserve"> </w:t>
      </w:r>
      <w:r w:rsidR="00F87700">
        <w:t>therefore</w:t>
      </w:r>
      <w:r w:rsidR="00F8252A">
        <w:t>,</w:t>
      </w:r>
      <w:r w:rsidR="00F87700">
        <w:t xml:space="preserve"> required</w:t>
      </w:r>
      <w:r w:rsidR="00413647">
        <w:t xml:space="preserve"> </w:t>
      </w:r>
      <w:r w:rsidR="00F87700">
        <w:t xml:space="preserve">each </w:t>
      </w:r>
      <w:r w:rsidR="00413647">
        <w:t>aircraft to comply with the requirements of paragraph 6.1 of CAO</w:t>
      </w:r>
      <w:r w:rsidR="003B223E">
        <w:t> </w:t>
      </w:r>
      <w:r w:rsidR="00413647">
        <w:t>20.18.</w:t>
      </w:r>
      <w:r w:rsidR="00E26CBD">
        <w:t xml:space="preserve"> Each of the aircraft is currently fitted with a</w:t>
      </w:r>
      <w:r w:rsidR="00227954">
        <w:t>n approved</w:t>
      </w:r>
      <w:r w:rsidR="00E26CBD">
        <w:t xml:space="preserve"> CVR, but not an FDR.</w:t>
      </w:r>
    </w:p>
    <w:p w:rsidR="00413647" w:rsidRDefault="00413647" w:rsidP="005702EE"/>
    <w:p w:rsidR="00413647" w:rsidRDefault="00306145" w:rsidP="005702EE">
      <w:r>
        <w:t>The operator</w:t>
      </w:r>
      <w:r w:rsidR="00413647">
        <w:t xml:space="preserve"> sought approval from CASA </w:t>
      </w:r>
      <w:r w:rsidR="003B223E">
        <w:t>for</w:t>
      </w:r>
      <w:r w:rsidR="00413647">
        <w:t xml:space="preserve"> a modular acquisition u</w:t>
      </w:r>
      <w:r>
        <w:t xml:space="preserve">nit comprising both FDR and CVR. </w:t>
      </w:r>
      <w:r w:rsidR="00F87700">
        <w:t>The operator was granted an exemption (CASA</w:t>
      </w:r>
      <w:r w:rsidR="003B223E">
        <w:t> </w:t>
      </w:r>
      <w:r w:rsidR="00F87700">
        <w:t>EX80/13) from the requirements of paragraph 6.1 of CAO</w:t>
      </w:r>
      <w:r w:rsidR="003B223E">
        <w:t> </w:t>
      </w:r>
      <w:r w:rsidR="00F87700">
        <w:t>20.18 for a pe</w:t>
      </w:r>
      <w:r w:rsidR="00DD7D62">
        <w:t xml:space="preserve">riod of </w:t>
      </w:r>
      <w:r w:rsidR="003B223E">
        <w:t>6</w:t>
      </w:r>
      <w:r w:rsidR="00DD7D62">
        <w:t xml:space="preserve"> months from</w:t>
      </w:r>
      <w:r w:rsidR="003B223E">
        <w:t> </w:t>
      </w:r>
      <w:r w:rsidR="00DD7D62">
        <w:t>12 July </w:t>
      </w:r>
      <w:r w:rsidR="00F87700">
        <w:t>2013 to 31</w:t>
      </w:r>
      <w:r w:rsidR="003B223E">
        <w:t> </w:t>
      </w:r>
      <w:r w:rsidR="00F87700">
        <w:t>December</w:t>
      </w:r>
      <w:r w:rsidR="003B223E">
        <w:t> </w:t>
      </w:r>
      <w:r w:rsidR="00F87700">
        <w:t xml:space="preserve">2013, when the development and installation of the modular acquisition unit was expected to have been completed.  </w:t>
      </w:r>
    </w:p>
    <w:p w:rsidR="00413647" w:rsidRDefault="00413647" w:rsidP="005702EE"/>
    <w:p w:rsidR="00306145" w:rsidRDefault="00F87700" w:rsidP="005702EE">
      <w:r>
        <w:t xml:space="preserve">However, development of the modular acquisition unit is still continuing and is not expected to be available for installation in the operator’s aircraft until testing has been completed in 2014. As a result, </w:t>
      </w:r>
      <w:r w:rsidR="00306145">
        <w:t xml:space="preserve">the operator has sought </w:t>
      </w:r>
      <w:r>
        <w:t xml:space="preserve">an extension of </w:t>
      </w:r>
      <w:r w:rsidR="00306145">
        <w:t xml:space="preserve">the </w:t>
      </w:r>
      <w:r w:rsidR="00413647">
        <w:t xml:space="preserve">exemption </w:t>
      </w:r>
      <w:r w:rsidR="00306145">
        <w:t xml:space="preserve">for </w:t>
      </w:r>
      <w:r>
        <w:t xml:space="preserve">a further </w:t>
      </w:r>
      <w:r w:rsidR="00306145">
        <w:t xml:space="preserve">12 months.  </w:t>
      </w:r>
    </w:p>
    <w:p w:rsidR="00306145" w:rsidRDefault="00306145" w:rsidP="005702EE"/>
    <w:p w:rsidR="005154D2" w:rsidRPr="00766743" w:rsidRDefault="00DD7D62" w:rsidP="005702EE">
      <w:pPr>
        <w:rPr>
          <w:b/>
        </w:rPr>
      </w:pPr>
      <w:r>
        <w:t xml:space="preserve">CASA has consulted further with the operator and </w:t>
      </w:r>
      <w:r w:rsidR="005154D2">
        <w:t xml:space="preserve">considers that the exemption will </w:t>
      </w:r>
      <w:r w:rsidR="00625570">
        <w:t xml:space="preserve">have a minimal risk and </w:t>
      </w:r>
      <w:r w:rsidR="005154D2">
        <w:t xml:space="preserve">preserve an acceptable level of </w:t>
      </w:r>
      <w:r w:rsidR="009C7418">
        <w:t xml:space="preserve">aviation </w:t>
      </w:r>
      <w:r w:rsidR="005154D2">
        <w:t>safety</w:t>
      </w:r>
      <w:r w:rsidR="00625570">
        <w:t xml:space="preserve">. This is </w:t>
      </w:r>
      <w:r>
        <w:t>coupled with</w:t>
      </w:r>
      <w:r w:rsidR="009C7418">
        <w:t xml:space="preserve"> </w:t>
      </w:r>
      <w:r w:rsidR="005154D2">
        <w:t xml:space="preserve">the fact that </w:t>
      </w:r>
      <w:r w:rsidR="009C7418">
        <w:t xml:space="preserve">existing </w:t>
      </w:r>
      <w:r w:rsidR="005154D2">
        <w:t>modification</w:t>
      </w:r>
      <w:r w:rsidR="009C7418">
        <w:t xml:space="preserve">s to each of the operator’s aircraft </w:t>
      </w:r>
      <w:r w:rsidR="005154D2">
        <w:t>to increase its fuel capacity create</w:t>
      </w:r>
      <w:r w:rsidR="009C7418">
        <w:t>s</w:t>
      </w:r>
      <w:r w:rsidR="005154D2">
        <w:t xml:space="preserve"> greater flexibility and options for flight crew to deal with unanticipated diversions due to weather or other unforeseen circumstances.</w:t>
      </w:r>
    </w:p>
    <w:p w:rsidR="005702EE" w:rsidRPr="000041C9" w:rsidRDefault="005702EE" w:rsidP="005702EE"/>
    <w:p w:rsidR="005702EE" w:rsidRPr="000041C9" w:rsidRDefault="005702EE" w:rsidP="005702EE">
      <w:pPr>
        <w:ind w:right="-1"/>
        <w:rPr>
          <w:b/>
        </w:rPr>
      </w:pPr>
      <w:r w:rsidRPr="000041C9">
        <w:rPr>
          <w:b/>
        </w:rPr>
        <w:t>Legislative Instruments Act</w:t>
      </w:r>
    </w:p>
    <w:p w:rsidR="009C7418" w:rsidRDefault="002B0B5E" w:rsidP="009C741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>
        <w:t>U</w:t>
      </w:r>
      <w:r w:rsidR="009C7418" w:rsidRPr="003238A7">
        <w:t>nder subparagraph 6</w:t>
      </w:r>
      <w:r w:rsidR="003B223E">
        <w:t> </w:t>
      </w:r>
      <w:r w:rsidR="009C7418" w:rsidRPr="003238A7">
        <w:t>(d)</w:t>
      </w:r>
      <w:r w:rsidR="003B223E">
        <w:t> </w:t>
      </w:r>
      <w:r w:rsidR="009C7418" w:rsidRPr="003238A7">
        <w:t>(</w:t>
      </w:r>
      <w:proofErr w:type="spellStart"/>
      <w:r w:rsidR="009C7418" w:rsidRPr="003238A7">
        <w:t>i</w:t>
      </w:r>
      <w:proofErr w:type="spellEnd"/>
      <w:r w:rsidR="009C7418" w:rsidRPr="003238A7">
        <w:t xml:space="preserve">) of the </w:t>
      </w:r>
      <w:r w:rsidR="009C7418" w:rsidRPr="003238A7">
        <w:rPr>
          <w:i/>
        </w:rPr>
        <w:t>Legislative Instruments Act 2003</w:t>
      </w:r>
      <w:r w:rsidR="009C7418">
        <w:t xml:space="preserve"> (the </w:t>
      </w:r>
      <w:r w:rsidR="009C7418" w:rsidRPr="003238A7">
        <w:rPr>
          <w:b/>
          <w:i/>
        </w:rPr>
        <w:t>LIA</w:t>
      </w:r>
      <w:r w:rsidR="009C7418" w:rsidRPr="003238A7">
        <w:t xml:space="preserve">), an instrument is a legislative instrument for section 5 of the LIA if it is declared to be a disallowable instrument under legislation in force before the commencement of the LIA. Under regulation 5A of </w:t>
      </w:r>
      <w:r w:rsidR="00DD7D62">
        <w:t>CAR</w:t>
      </w:r>
      <w:r w:rsidR="003B223E">
        <w:t> </w:t>
      </w:r>
      <w:r w:rsidR="00DD7D62">
        <w:t>1988</w:t>
      </w:r>
      <w:r w:rsidR="009C7418" w:rsidRPr="003238A7">
        <w:t xml:space="preserve">, if CASA has issued a CAO, and CASA later issues an exemption that affects the operation of the CAO, the later document is declared to be a disallowable instrument. This instrument affects the operation of paragraph </w:t>
      </w:r>
      <w:r w:rsidR="00DD7D62">
        <w:t>6.1</w:t>
      </w:r>
      <w:r w:rsidR="009C7418" w:rsidRPr="003238A7">
        <w:t xml:space="preserve"> of CAO</w:t>
      </w:r>
      <w:r w:rsidR="003B223E">
        <w:t> </w:t>
      </w:r>
      <w:r w:rsidR="00DD7D62">
        <w:t>20.18</w:t>
      </w:r>
      <w:r w:rsidR="009C7418" w:rsidRPr="003238A7">
        <w:t xml:space="preserve"> and is</w:t>
      </w:r>
      <w:r w:rsidR="00F8252A">
        <w:t>,</w:t>
      </w:r>
      <w:r w:rsidR="009C7418" w:rsidRPr="003238A7">
        <w:t xml:space="preserve"> therefore</w:t>
      </w:r>
      <w:r w:rsidR="00F8252A">
        <w:t>,</w:t>
      </w:r>
      <w:r w:rsidR="009C7418" w:rsidRPr="003238A7">
        <w:t xml:space="preserve"> a legislative instrument.</w:t>
      </w:r>
    </w:p>
    <w:p w:rsidR="009C7418" w:rsidRDefault="009C7418" w:rsidP="009C741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9C7418" w:rsidRPr="00E3725B" w:rsidRDefault="009C7418" w:rsidP="009C741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3725B">
        <w:t xml:space="preserve">As a legislative instrument, it is subject to tabling and disallowance in the Parliament under sections 38 and 42 of the </w:t>
      </w:r>
      <w:r w:rsidRPr="00E3725B">
        <w:rPr>
          <w:i/>
        </w:rPr>
        <w:t>Legislative Instruments Act 2003</w:t>
      </w:r>
      <w:r w:rsidRPr="00E3725B">
        <w:t xml:space="preserve"> (the </w:t>
      </w:r>
      <w:r w:rsidRPr="00E3725B">
        <w:rPr>
          <w:b/>
          <w:i/>
        </w:rPr>
        <w:t>LIA</w:t>
      </w:r>
      <w:r w:rsidRPr="00E3725B">
        <w:t>).</w:t>
      </w:r>
    </w:p>
    <w:p w:rsidR="009C7418" w:rsidRPr="000041C9" w:rsidRDefault="009C7418" w:rsidP="005702EE">
      <w:pPr>
        <w:ind w:right="-1"/>
        <w:rPr>
          <w:iCs/>
        </w:rPr>
      </w:pPr>
    </w:p>
    <w:p w:rsidR="005702EE" w:rsidRPr="000041C9" w:rsidRDefault="005702EE" w:rsidP="005702EE">
      <w:pPr>
        <w:keepNext/>
        <w:keepLines/>
        <w:rPr>
          <w:b/>
          <w:iCs/>
        </w:rPr>
      </w:pPr>
      <w:r w:rsidRPr="000041C9">
        <w:rPr>
          <w:b/>
          <w:iCs/>
        </w:rPr>
        <w:t>Consultation</w:t>
      </w:r>
    </w:p>
    <w:p w:rsidR="00F925CF" w:rsidRDefault="003A0B44" w:rsidP="00951D7E">
      <w:pPr>
        <w:ind w:right="-1"/>
      </w:pPr>
      <w:r>
        <w:t xml:space="preserve">CASA </w:t>
      </w:r>
      <w:r w:rsidR="008861D8">
        <w:t xml:space="preserve">consulted </w:t>
      </w:r>
      <w:r w:rsidR="00DD7D62">
        <w:t>the operator</w:t>
      </w:r>
      <w:r w:rsidR="008861D8">
        <w:t xml:space="preserve"> </w:t>
      </w:r>
      <w:r w:rsidR="00DD7D62">
        <w:t xml:space="preserve">regarding the </w:t>
      </w:r>
      <w:r w:rsidR="008861D8">
        <w:t xml:space="preserve">terms </w:t>
      </w:r>
      <w:r w:rsidR="00DD7D62">
        <w:t xml:space="preserve">of the exemption </w:t>
      </w:r>
      <w:r w:rsidR="008861D8">
        <w:t xml:space="preserve">and </w:t>
      </w:r>
      <w:r w:rsidR="00DD7D62">
        <w:t xml:space="preserve">its </w:t>
      </w:r>
      <w:r w:rsidR="008861D8">
        <w:t>duration.</w:t>
      </w:r>
      <w:r w:rsidR="003B223E">
        <w:t xml:space="preserve"> </w:t>
      </w:r>
      <w:r w:rsidR="00DD7D62">
        <w:t>The previous exemption (CASA</w:t>
      </w:r>
      <w:r w:rsidR="003B223E">
        <w:t> </w:t>
      </w:r>
      <w:r w:rsidR="00DD7D62">
        <w:t xml:space="preserve">EX80/13) was made with the expectation that development and installation of the </w:t>
      </w:r>
      <w:r w:rsidR="00FD263B">
        <w:t xml:space="preserve">ATSO-C1007a – Flight Data Recorder Interface Unit </w:t>
      </w:r>
      <w:r w:rsidR="00DD7D62">
        <w:t>would be complete by</w:t>
      </w:r>
      <w:r w:rsidR="00F8252A">
        <w:t xml:space="preserve"> </w:t>
      </w:r>
      <w:r w:rsidR="00DD7D62">
        <w:t>31</w:t>
      </w:r>
      <w:r w:rsidR="00F8252A">
        <w:t xml:space="preserve"> </w:t>
      </w:r>
      <w:r w:rsidR="00DD7D62">
        <w:t>December</w:t>
      </w:r>
      <w:r w:rsidR="00F8252A">
        <w:t xml:space="preserve"> </w:t>
      </w:r>
      <w:r w:rsidR="00DD7D62">
        <w:t xml:space="preserve">2013. However, it is apparent this timeframe would not be met and the operator has asked CASA for an extension of the exemption. </w:t>
      </w:r>
      <w:r w:rsidR="008861D8">
        <w:t xml:space="preserve">CASA </w:t>
      </w:r>
      <w:r w:rsidR="00DD7D62">
        <w:t xml:space="preserve">has also </w:t>
      </w:r>
      <w:r w:rsidR="008861D8">
        <w:t>consulted the Australian Transport Safety Bureau (</w:t>
      </w:r>
      <w:r w:rsidR="008861D8" w:rsidRPr="008861D8">
        <w:rPr>
          <w:b/>
          <w:i/>
        </w:rPr>
        <w:t>ATSB</w:t>
      </w:r>
      <w:r w:rsidR="008861D8">
        <w:t xml:space="preserve">) to establish whether </w:t>
      </w:r>
      <w:r w:rsidR="00DD7D62">
        <w:t xml:space="preserve">there was </w:t>
      </w:r>
      <w:r w:rsidR="008861D8">
        <w:t xml:space="preserve">any objection to the </w:t>
      </w:r>
      <w:r w:rsidR="00DD7D62">
        <w:t xml:space="preserve">extension of </w:t>
      </w:r>
      <w:r w:rsidR="008861D8">
        <w:t>the exemption. The ATSB did not raise any objection.</w:t>
      </w:r>
      <w:r w:rsidR="00DD7D62">
        <w:t xml:space="preserve"> </w:t>
      </w:r>
      <w:r w:rsidR="00DD7D62" w:rsidRPr="009E2F23">
        <w:rPr>
          <w:iCs/>
          <w:color w:val="000000"/>
        </w:rPr>
        <w:t>CASA considers that no further consultation is appropriate or necessary as the instrument applies only to this aircraft operator.</w:t>
      </w:r>
    </w:p>
    <w:p w:rsidR="006C2410" w:rsidRDefault="006C2410" w:rsidP="006C2410">
      <w:pPr>
        <w:ind w:right="-1"/>
      </w:pPr>
    </w:p>
    <w:p w:rsidR="00D57A03" w:rsidRPr="00491732" w:rsidRDefault="003B223E" w:rsidP="00D57A03">
      <w:pPr>
        <w:keepNext/>
        <w:rPr>
          <w:b/>
        </w:rPr>
      </w:pPr>
      <w:r>
        <w:rPr>
          <w:b/>
        </w:rPr>
        <w:t>Making and c</w:t>
      </w:r>
      <w:r w:rsidR="00D57A03" w:rsidRPr="00491732">
        <w:rPr>
          <w:b/>
        </w:rPr>
        <w:t>ommencement</w:t>
      </w:r>
    </w:p>
    <w:p w:rsidR="003B223E" w:rsidRDefault="003B223E" w:rsidP="005702EE">
      <w:pPr>
        <w:ind w:right="-1"/>
      </w:pPr>
      <w:r w:rsidRPr="003B223E">
        <w:t xml:space="preserve">The exemption has been made by a delegate of CASA relying on the power of delegation under </w:t>
      </w:r>
      <w:proofErr w:type="spellStart"/>
      <w:r w:rsidRPr="003B223E">
        <w:t>subregulation</w:t>
      </w:r>
      <w:proofErr w:type="spellEnd"/>
      <w:r w:rsidRPr="003B223E">
        <w:t xml:space="preserve"> 11.260</w:t>
      </w:r>
      <w:r>
        <w:t> </w:t>
      </w:r>
      <w:r w:rsidRPr="003B223E">
        <w:t>(1) of CASR 1998.</w:t>
      </w:r>
    </w:p>
    <w:p w:rsidR="003B223E" w:rsidRDefault="003B223E" w:rsidP="005702EE">
      <w:pPr>
        <w:ind w:right="-1"/>
      </w:pPr>
    </w:p>
    <w:p w:rsidR="005702EE" w:rsidRPr="000041C9" w:rsidRDefault="005702EE" w:rsidP="005702EE">
      <w:pPr>
        <w:ind w:right="-1"/>
      </w:pPr>
      <w:r w:rsidRPr="000041C9">
        <w:t xml:space="preserve">The instrument commences on the day </w:t>
      </w:r>
      <w:r w:rsidR="00DD7D62">
        <w:t>of</w:t>
      </w:r>
      <w:r w:rsidRPr="000041C9">
        <w:t xml:space="preserve"> regist</w:t>
      </w:r>
      <w:r w:rsidR="00D57A03">
        <w:t>ration</w:t>
      </w:r>
      <w:r w:rsidRPr="000041C9">
        <w:t xml:space="preserve"> and </w:t>
      </w:r>
      <w:r w:rsidR="00950C30">
        <w:t>expires</w:t>
      </w:r>
      <w:r w:rsidRPr="000041C9">
        <w:t xml:space="preserve"> at the end of</w:t>
      </w:r>
      <w:r w:rsidR="003B223E">
        <w:t> </w:t>
      </w:r>
      <w:r w:rsidR="006B1974">
        <w:t>31</w:t>
      </w:r>
      <w:r w:rsidR="00950C30">
        <w:t> </w:t>
      </w:r>
      <w:r w:rsidR="008861D8">
        <w:t>December 201</w:t>
      </w:r>
      <w:r w:rsidR="00DD7D62">
        <w:t>4</w:t>
      </w:r>
      <w:r w:rsidR="001B1438">
        <w:t>, as if it had been repealed by another instrument</w:t>
      </w:r>
      <w:r w:rsidR="00B62591">
        <w:t>.</w:t>
      </w:r>
    </w:p>
    <w:p w:rsidR="00E62E50" w:rsidRDefault="00F925CF" w:rsidP="000041C9">
      <w:pPr>
        <w:spacing w:before="360"/>
        <w:rPr>
          <w:sz w:val="20"/>
          <w:szCs w:val="20"/>
        </w:rPr>
      </w:pPr>
      <w:r>
        <w:rPr>
          <w:sz w:val="20"/>
          <w:szCs w:val="20"/>
        </w:rPr>
        <w:t>[Instrument number CASA EX</w:t>
      </w:r>
      <w:r w:rsidR="003B223E">
        <w:rPr>
          <w:sz w:val="20"/>
          <w:szCs w:val="20"/>
        </w:rPr>
        <w:t>135</w:t>
      </w:r>
      <w:r w:rsidR="006B1974">
        <w:rPr>
          <w:sz w:val="20"/>
          <w:szCs w:val="20"/>
        </w:rPr>
        <w:t>/13</w:t>
      </w:r>
      <w:r w:rsidR="005702EE" w:rsidRPr="000041C9">
        <w:rPr>
          <w:sz w:val="20"/>
          <w:szCs w:val="20"/>
        </w:rPr>
        <w:t>]</w:t>
      </w:r>
    </w:p>
    <w:p w:rsidR="00044874" w:rsidRPr="00C4048F" w:rsidRDefault="00044874" w:rsidP="00044874">
      <w:pPr>
        <w:pageBreakBefore/>
        <w:jc w:val="right"/>
        <w:rPr>
          <w:b/>
          <w:sz w:val="26"/>
          <w:szCs w:val="26"/>
        </w:rPr>
      </w:pPr>
      <w:r w:rsidRPr="00C4048F">
        <w:rPr>
          <w:b/>
          <w:sz w:val="26"/>
          <w:szCs w:val="26"/>
        </w:rPr>
        <w:lastRenderedPageBreak/>
        <w:t>Attachment 1</w:t>
      </w:r>
    </w:p>
    <w:p w:rsidR="00044874" w:rsidRPr="00C4048F" w:rsidRDefault="00044874" w:rsidP="00044874">
      <w:pPr>
        <w:spacing w:before="480" w:after="120"/>
        <w:jc w:val="center"/>
        <w:rPr>
          <w:b/>
          <w:sz w:val="28"/>
          <w:szCs w:val="28"/>
        </w:rPr>
      </w:pPr>
      <w:r w:rsidRPr="00C4048F">
        <w:rPr>
          <w:b/>
          <w:sz w:val="28"/>
          <w:szCs w:val="28"/>
        </w:rPr>
        <w:t>Statement of Compatibility with Human Rights</w:t>
      </w:r>
    </w:p>
    <w:p w:rsidR="00044874" w:rsidRPr="00C4048F" w:rsidRDefault="00044874" w:rsidP="00044874">
      <w:pPr>
        <w:spacing w:before="360" w:after="480"/>
        <w:jc w:val="center"/>
        <w:rPr>
          <w:i/>
        </w:rPr>
      </w:pPr>
      <w:r w:rsidRPr="00C4048F">
        <w:rPr>
          <w:i/>
        </w:rPr>
        <w:t>Prepared in accordance with Part 3 of the</w:t>
      </w:r>
      <w:r w:rsidRPr="00C4048F">
        <w:rPr>
          <w:i/>
        </w:rPr>
        <w:br/>
        <w:t>Human Rights (Parliamentary Scrutiny) Act 2011</w:t>
      </w:r>
    </w:p>
    <w:p w:rsidR="00044874" w:rsidRPr="00044874" w:rsidRDefault="00044874" w:rsidP="00044874">
      <w:pPr>
        <w:spacing w:before="480" w:after="600"/>
        <w:contextualSpacing/>
        <w:jc w:val="center"/>
        <w:rPr>
          <w:b/>
        </w:rPr>
      </w:pPr>
      <w:r w:rsidRPr="00044874">
        <w:rPr>
          <w:b/>
        </w:rPr>
        <w:t>Exemption </w:t>
      </w:r>
      <w:r w:rsidR="00F8252A">
        <w:rPr>
          <w:b/>
        </w:rPr>
        <w:t>–</w:t>
      </w:r>
      <w:r w:rsidRPr="00044874">
        <w:rPr>
          <w:b/>
        </w:rPr>
        <w:t xml:space="preserve"> carriage of flight data recorder</w:t>
      </w:r>
      <w:r w:rsidR="00F8252A">
        <w:rPr>
          <w:b/>
        </w:rPr>
        <w:t> –</w:t>
      </w:r>
      <w:r w:rsidR="00DD7D62">
        <w:rPr>
          <w:b/>
        </w:rPr>
        <w:t xml:space="preserve"> </w:t>
      </w:r>
      <w:proofErr w:type="spellStart"/>
      <w:r w:rsidR="00DD7D62">
        <w:rPr>
          <w:b/>
        </w:rPr>
        <w:t>Pel</w:t>
      </w:r>
      <w:proofErr w:type="spellEnd"/>
      <w:r w:rsidR="00DD7D62">
        <w:rPr>
          <w:b/>
        </w:rPr>
        <w:t>-Air Aviation</w:t>
      </w:r>
    </w:p>
    <w:p w:rsidR="00044874" w:rsidRPr="00C4048F" w:rsidRDefault="00044874" w:rsidP="00044874">
      <w:pPr>
        <w:spacing w:before="1080" w:after="360"/>
        <w:jc w:val="center"/>
      </w:pPr>
      <w:r w:rsidRPr="0086388F">
        <w:t>This legislative instrument is compatible with the human rights and freedoms recognised or declared in the international instruments listed in section 3 of the</w:t>
      </w:r>
      <w:r w:rsidRPr="0086388F">
        <w:br/>
      </w:r>
      <w:r w:rsidRPr="0086388F">
        <w:rPr>
          <w:i/>
        </w:rPr>
        <w:t>Human Rights (Parliamentary Scrutiny) Act 2011</w:t>
      </w:r>
      <w:r w:rsidRPr="0086388F">
        <w:t>.</w:t>
      </w:r>
    </w:p>
    <w:p w:rsidR="00044874" w:rsidRPr="0086388F" w:rsidRDefault="00044874" w:rsidP="000448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480"/>
        <w:rPr>
          <w:b/>
        </w:rPr>
      </w:pPr>
      <w:r w:rsidRPr="0086388F">
        <w:rPr>
          <w:b/>
        </w:rPr>
        <w:t>Overview of the legislative instrument</w:t>
      </w:r>
    </w:p>
    <w:p w:rsidR="002B0B5E" w:rsidRDefault="002B0B5E" w:rsidP="002B0B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</w:pPr>
      <w:r>
        <w:t xml:space="preserve">This legislative instrument exempts 4 Hawker Beechcraft Corporation B200C Beech King aircraft operated by </w:t>
      </w:r>
      <w:proofErr w:type="spellStart"/>
      <w:r>
        <w:t>Pel</w:t>
      </w:r>
      <w:proofErr w:type="spellEnd"/>
      <w:r>
        <w:t xml:space="preserve">-Air Aviation Pty Ltd (the operator) from compliance with the requirement, under paragraph 6.1 of Civil Aviation Order 20.18, to </w:t>
      </w:r>
      <w:bookmarkStart w:id="0" w:name="_GoBack"/>
      <w:bookmarkEnd w:id="0"/>
      <w:r>
        <w:t>be fitted with an approved flight data recorder.</w:t>
      </w:r>
    </w:p>
    <w:p w:rsidR="002B0B5E" w:rsidRDefault="002B0B5E" w:rsidP="002B0B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</w:pPr>
      <w:r>
        <w:t>The instrument expires at the end of 31 December 2014, by which time it is expected that the operator will have developed and installed on each aircraft a modular acquisition unit comprising both a flight data recorder and a cockpit voice recorder.</w:t>
      </w:r>
    </w:p>
    <w:p w:rsidR="00044874" w:rsidRPr="0086388F" w:rsidRDefault="00044874" w:rsidP="002B0B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  <w:rPr>
          <w:b/>
          <w:lang w:val="en-US"/>
        </w:rPr>
      </w:pPr>
      <w:r w:rsidRPr="0086388F">
        <w:rPr>
          <w:b/>
        </w:rPr>
        <w:t>Human rights implications</w:t>
      </w:r>
    </w:p>
    <w:p w:rsidR="00044874" w:rsidRPr="0086388F" w:rsidRDefault="00044874" w:rsidP="000448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240"/>
      </w:pPr>
      <w:r w:rsidRPr="0086388F">
        <w:t>This legislative instrument does not engage any of the applicable rights or freedoms.</w:t>
      </w:r>
    </w:p>
    <w:p w:rsidR="00044874" w:rsidRPr="0086388F" w:rsidRDefault="00044874" w:rsidP="000448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  <w:rPr>
          <w:b/>
        </w:rPr>
      </w:pPr>
      <w:r w:rsidRPr="0086388F">
        <w:rPr>
          <w:b/>
        </w:rPr>
        <w:t>Conclusion</w:t>
      </w:r>
    </w:p>
    <w:p w:rsidR="00044874" w:rsidRPr="0086388F" w:rsidRDefault="00044874" w:rsidP="000448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240"/>
      </w:pPr>
      <w:r w:rsidRPr="0086388F">
        <w:t>This legislative instrument is compatible with human rights as it does not raise any human rights issues.</w:t>
      </w:r>
    </w:p>
    <w:p w:rsidR="00044874" w:rsidRPr="0086388F" w:rsidRDefault="00044874" w:rsidP="000448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  <w:jc w:val="center"/>
      </w:pPr>
      <w:r w:rsidRPr="0086388F">
        <w:rPr>
          <w:b/>
          <w:bCs/>
        </w:rPr>
        <w:t>Civil Aviation Safety Authority</w:t>
      </w:r>
    </w:p>
    <w:sectPr w:rsidR="00044874" w:rsidRPr="0086388F" w:rsidSect="00B62591">
      <w:headerReference w:type="default" r:id="rId8"/>
      <w:footerReference w:type="even" r:id="rId9"/>
      <w:footerReference w:type="default" r:id="rId10"/>
      <w:pgSz w:w="11907" w:h="16840" w:code="9"/>
      <w:pgMar w:top="1304" w:right="1701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62" w:rsidRDefault="00DD7D62">
      <w:r>
        <w:separator/>
      </w:r>
    </w:p>
  </w:endnote>
  <w:endnote w:type="continuationSeparator" w:id="0">
    <w:p w:rsidR="00DD7D62" w:rsidRDefault="00D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62" w:rsidRDefault="00DD7D62" w:rsidP="00570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F9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7D62" w:rsidRDefault="00DD7D62" w:rsidP="005702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62" w:rsidRDefault="00DD7D62" w:rsidP="005702E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62" w:rsidRDefault="00DD7D62">
      <w:r>
        <w:separator/>
      </w:r>
    </w:p>
  </w:footnote>
  <w:footnote w:type="continuationSeparator" w:id="0">
    <w:p w:rsidR="00DD7D62" w:rsidRDefault="00DD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95605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D62" w:rsidRPr="00B62591" w:rsidRDefault="00DD7D62">
        <w:pPr>
          <w:pStyle w:val="Header"/>
          <w:jc w:val="center"/>
          <w:rPr>
            <w:rFonts w:ascii="Times New Roman" w:hAnsi="Times New Roman"/>
          </w:rPr>
        </w:pPr>
        <w:r w:rsidRPr="00B62591">
          <w:rPr>
            <w:rFonts w:ascii="Times New Roman" w:hAnsi="Times New Roman"/>
          </w:rPr>
          <w:fldChar w:fldCharType="begin"/>
        </w:r>
        <w:r w:rsidRPr="00B62591">
          <w:rPr>
            <w:rFonts w:ascii="Times New Roman" w:hAnsi="Times New Roman"/>
          </w:rPr>
          <w:instrText xml:space="preserve"> PAGE   \* MERGEFORMAT </w:instrText>
        </w:r>
        <w:r w:rsidRPr="00B62591">
          <w:rPr>
            <w:rFonts w:ascii="Times New Roman" w:hAnsi="Times New Roman"/>
          </w:rPr>
          <w:fldChar w:fldCharType="separate"/>
        </w:r>
        <w:r w:rsidR="00713B98">
          <w:rPr>
            <w:rFonts w:ascii="Times New Roman" w:hAnsi="Times New Roman"/>
            <w:noProof/>
          </w:rPr>
          <w:t>3</w:t>
        </w:r>
        <w:r w:rsidRPr="00B62591">
          <w:rPr>
            <w:rFonts w:ascii="Times New Roman" w:hAnsi="Times New Roman"/>
            <w:noProof/>
          </w:rPr>
          <w:fldChar w:fldCharType="end"/>
        </w:r>
      </w:p>
    </w:sdtContent>
  </w:sdt>
  <w:p w:rsidR="00DD7D62" w:rsidRPr="00B62591" w:rsidRDefault="00DD7D62" w:rsidP="006B1974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E"/>
    <w:rsid w:val="00003B14"/>
    <w:rsid w:val="000041C9"/>
    <w:rsid w:val="00012C56"/>
    <w:rsid w:val="00017158"/>
    <w:rsid w:val="00021585"/>
    <w:rsid w:val="00023885"/>
    <w:rsid w:val="00027468"/>
    <w:rsid w:val="0003572D"/>
    <w:rsid w:val="00035CC5"/>
    <w:rsid w:val="00037517"/>
    <w:rsid w:val="00037F3F"/>
    <w:rsid w:val="00041E3B"/>
    <w:rsid w:val="00044874"/>
    <w:rsid w:val="00052800"/>
    <w:rsid w:val="00056AD9"/>
    <w:rsid w:val="0006128F"/>
    <w:rsid w:val="00073D09"/>
    <w:rsid w:val="00074F64"/>
    <w:rsid w:val="000754C6"/>
    <w:rsid w:val="00080DA3"/>
    <w:rsid w:val="0008356A"/>
    <w:rsid w:val="00097604"/>
    <w:rsid w:val="00097F3B"/>
    <w:rsid w:val="000A0A11"/>
    <w:rsid w:val="000A1533"/>
    <w:rsid w:val="000A231B"/>
    <w:rsid w:val="000A508A"/>
    <w:rsid w:val="000B0272"/>
    <w:rsid w:val="000B0B3A"/>
    <w:rsid w:val="000B3A81"/>
    <w:rsid w:val="000B702C"/>
    <w:rsid w:val="000C030B"/>
    <w:rsid w:val="000C390D"/>
    <w:rsid w:val="000C44A7"/>
    <w:rsid w:val="000D1C61"/>
    <w:rsid w:val="000D34A6"/>
    <w:rsid w:val="000E518C"/>
    <w:rsid w:val="000F0E3E"/>
    <w:rsid w:val="000F36B1"/>
    <w:rsid w:val="000F67FB"/>
    <w:rsid w:val="000F6DB1"/>
    <w:rsid w:val="000F752C"/>
    <w:rsid w:val="001044E5"/>
    <w:rsid w:val="00105D95"/>
    <w:rsid w:val="0010652F"/>
    <w:rsid w:val="00107DEA"/>
    <w:rsid w:val="001129D2"/>
    <w:rsid w:val="00133ED3"/>
    <w:rsid w:val="0013466D"/>
    <w:rsid w:val="001367CF"/>
    <w:rsid w:val="00150E36"/>
    <w:rsid w:val="00152540"/>
    <w:rsid w:val="00166530"/>
    <w:rsid w:val="001737E8"/>
    <w:rsid w:val="00185893"/>
    <w:rsid w:val="0019198E"/>
    <w:rsid w:val="001A0A47"/>
    <w:rsid w:val="001A15C5"/>
    <w:rsid w:val="001A2260"/>
    <w:rsid w:val="001A391B"/>
    <w:rsid w:val="001A6B05"/>
    <w:rsid w:val="001A7E93"/>
    <w:rsid w:val="001B1438"/>
    <w:rsid w:val="001B2AF0"/>
    <w:rsid w:val="001B33CD"/>
    <w:rsid w:val="001B648E"/>
    <w:rsid w:val="001C4DA9"/>
    <w:rsid w:val="001C5E94"/>
    <w:rsid w:val="001D01A7"/>
    <w:rsid w:val="001D1878"/>
    <w:rsid w:val="001D3791"/>
    <w:rsid w:val="001D6037"/>
    <w:rsid w:val="001D72D6"/>
    <w:rsid w:val="001E4085"/>
    <w:rsid w:val="001E4666"/>
    <w:rsid w:val="001F084F"/>
    <w:rsid w:val="001F2F15"/>
    <w:rsid w:val="001F52C2"/>
    <w:rsid w:val="0020102D"/>
    <w:rsid w:val="00202DAB"/>
    <w:rsid w:val="002070D7"/>
    <w:rsid w:val="0021027F"/>
    <w:rsid w:val="00210BA6"/>
    <w:rsid w:val="00212BE7"/>
    <w:rsid w:val="00213451"/>
    <w:rsid w:val="002263DF"/>
    <w:rsid w:val="00226441"/>
    <w:rsid w:val="00227954"/>
    <w:rsid w:val="00227DD6"/>
    <w:rsid w:val="002314A8"/>
    <w:rsid w:val="00231EC9"/>
    <w:rsid w:val="00234397"/>
    <w:rsid w:val="00243C93"/>
    <w:rsid w:val="0024528C"/>
    <w:rsid w:val="00245C45"/>
    <w:rsid w:val="002524B4"/>
    <w:rsid w:val="002527A8"/>
    <w:rsid w:val="00253475"/>
    <w:rsid w:val="002555EE"/>
    <w:rsid w:val="00256199"/>
    <w:rsid w:val="00257427"/>
    <w:rsid w:val="00263143"/>
    <w:rsid w:val="00264D4C"/>
    <w:rsid w:val="002663F4"/>
    <w:rsid w:val="00271916"/>
    <w:rsid w:val="00281894"/>
    <w:rsid w:val="002855AD"/>
    <w:rsid w:val="002857B0"/>
    <w:rsid w:val="00287AC6"/>
    <w:rsid w:val="0029131D"/>
    <w:rsid w:val="002917CD"/>
    <w:rsid w:val="00292C68"/>
    <w:rsid w:val="00295AB8"/>
    <w:rsid w:val="002A3444"/>
    <w:rsid w:val="002A4E5D"/>
    <w:rsid w:val="002A706F"/>
    <w:rsid w:val="002B0B5E"/>
    <w:rsid w:val="002B0E57"/>
    <w:rsid w:val="002B1582"/>
    <w:rsid w:val="002C05D0"/>
    <w:rsid w:val="002C2DBF"/>
    <w:rsid w:val="002C60CB"/>
    <w:rsid w:val="002C6415"/>
    <w:rsid w:val="002C745C"/>
    <w:rsid w:val="002C759E"/>
    <w:rsid w:val="002E1A0D"/>
    <w:rsid w:val="002E73B6"/>
    <w:rsid w:val="002E742C"/>
    <w:rsid w:val="002F053F"/>
    <w:rsid w:val="002F10C7"/>
    <w:rsid w:val="002F5102"/>
    <w:rsid w:val="002F6724"/>
    <w:rsid w:val="00306145"/>
    <w:rsid w:val="00307001"/>
    <w:rsid w:val="0031166F"/>
    <w:rsid w:val="0031314F"/>
    <w:rsid w:val="00314661"/>
    <w:rsid w:val="00316D77"/>
    <w:rsid w:val="003212A9"/>
    <w:rsid w:val="0032162F"/>
    <w:rsid w:val="003246BE"/>
    <w:rsid w:val="00335E96"/>
    <w:rsid w:val="00341B39"/>
    <w:rsid w:val="003435C2"/>
    <w:rsid w:val="00344242"/>
    <w:rsid w:val="003457A9"/>
    <w:rsid w:val="00353EEB"/>
    <w:rsid w:val="0035429F"/>
    <w:rsid w:val="00354BFA"/>
    <w:rsid w:val="003631B7"/>
    <w:rsid w:val="00363885"/>
    <w:rsid w:val="00366145"/>
    <w:rsid w:val="0036760C"/>
    <w:rsid w:val="00385B9B"/>
    <w:rsid w:val="00385CBE"/>
    <w:rsid w:val="0039069C"/>
    <w:rsid w:val="003956CA"/>
    <w:rsid w:val="00396FD8"/>
    <w:rsid w:val="003A0B44"/>
    <w:rsid w:val="003A45AB"/>
    <w:rsid w:val="003A4D48"/>
    <w:rsid w:val="003B223E"/>
    <w:rsid w:val="003B4E08"/>
    <w:rsid w:val="003C5E66"/>
    <w:rsid w:val="003D0DA6"/>
    <w:rsid w:val="003D1AAF"/>
    <w:rsid w:val="003D1ACC"/>
    <w:rsid w:val="003D1C54"/>
    <w:rsid w:val="003D33C2"/>
    <w:rsid w:val="003E0F19"/>
    <w:rsid w:val="003E1F77"/>
    <w:rsid w:val="003E4556"/>
    <w:rsid w:val="003F3793"/>
    <w:rsid w:val="003F3C95"/>
    <w:rsid w:val="003F56A3"/>
    <w:rsid w:val="0040083A"/>
    <w:rsid w:val="00402863"/>
    <w:rsid w:val="00404BD6"/>
    <w:rsid w:val="00405823"/>
    <w:rsid w:val="0041199B"/>
    <w:rsid w:val="004124B3"/>
    <w:rsid w:val="00413647"/>
    <w:rsid w:val="00413D4A"/>
    <w:rsid w:val="00420CD6"/>
    <w:rsid w:val="0042226D"/>
    <w:rsid w:val="00422BEE"/>
    <w:rsid w:val="00424B94"/>
    <w:rsid w:val="004261D1"/>
    <w:rsid w:val="00427DFD"/>
    <w:rsid w:val="00434478"/>
    <w:rsid w:val="00440BF0"/>
    <w:rsid w:val="00443AB0"/>
    <w:rsid w:val="00447BBE"/>
    <w:rsid w:val="0045043E"/>
    <w:rsid w:val="004529F8"/>
    <w:rsid w:val="00452DBC"/>
    <w:rsid w:val="00456630"/>
    <w:rsid w:val="00460D03"/>
    <w:rsid w:val="00462376"/>
    <w:rsid w:val="00462396"/>
    <w:rsid w:val="004634D0"/>
    <w:rsid w:val="00466B05"/>
    <w:rsid w:val="00467174"/>
    <w:rsid w:val="0048268F"/>
    <w:rsid w:val="00482CD3"/>
    <w:rsid w:val="00483361"/>
    <w:rsid w:val="00486324"/>
    <w:rsid w:val="00491620"/>
    <w:rsid w:val="00491CE3"/>
    <w:rsid w:val="00495E61"/>
    <w:rsid w:val="004A1731"/>
    <w:rsid w:val="004A3F80"/>
    <w:rsid w:val="004A685E"/>
    <w:rsid w:val="004B431F"/>
    <w:rsid w:val="004C11F6"/>
    <w:rsid w:val="004C35A5"/>
    <w:rsid w:val="004C752D"/>
    <w:rsid w:val="004C7D2A"/>
    <w:rsid w:val="004E1F8C"/>
    <w:rsid w:val="004E24D2"/>
    <w:rsid w:val="004E3FFA"/>
    <w:rsid w:val="004E60A2"/>
    <w:rsid w:val="004F2C27"/>
    <w:rsid w:val="00500B3D"/>
    <w:rsid w:val="00504A70"/>
    <w:rsid w:val="005154D2"/>
    <w:rsid w:val="0052459C"/>
    <w:rsid w:val="00531A7C"/>
    <w:rsid w:val="00532DFD"/>
    <w:rsid w:val="00533F37"/>
    <w:rsid w:val="00542583"/>
    <w:rsid w:val="005432E6"/>
    <w:rsid w:val="00545287"/>
    <w:rsid w:val="0055200B"/>
    <w:rsid w:val="005530A0"/>
    <w:rsid w:val="005627CF"/>
    <w:rsid w:val="00564ADF"/>
    <w:rsid w:val="00564BB6"/>
    <w:rsid w:val="00566335"/>
    <w:rsid w:val="005672E6"/>
    <w:rsid w:val="005702EE"/>
    <w:rsid w:val="00570F89"/>
    <w:rsid w:val="00571DD1"/>
    <w:rsid w:val="005764AC"/>
    <w:rsid w:val="0057698C"/>
    <w:rsid w:val="00577040"/>
    <w:rsid w:val="00581EE8"/>
    <w:rsid w:val="00582290"/>
    <w:rsid w:val="005837E8"/>
    <w:rsid w:val="00584BF8"/>
    <w:rsid w:val="00596FC5"/>
    <w:rsid w:val="005A0E95"/>
    <w:rsid w:val="005A1E97"/>
    <w:rsid w:val="005A2874"/>
    <w:rsid w:val="005A2D37"/>
    <w:rsid w:val="005A5354"/>
    <w:rsid w:val="005A57F1"/>
    <w:rsid w:val="005C152D"/>
    <w:rsid w:val="005D2C83"/>
    <w:rsid w:val="005D78AD"/>
    <w:rsid w:val="005D7F98"/>
    <w:rsid w:val="005E024D"/>
    <w:rsid w:val="005E037A"/>
    <w:rsid w:val="005E4906"/>
    <w:rsid w:val="005E7074"/>
    <w:rsid w:val="005F18D2"/>
    <w:rsid w:val="006011CD"/>
    <w:rsid w:val="00601F83"/>
    <w:rsid w:val="00603B8A"/>
    <w:rsid w:val="00605B6F"/>
    <w:rsid w:val="00614BC1"/>
    <w:rsid w:val="00623CEB"/>
    <w:rsid w:val="00625570"/>
    <w:rsid w:val="006309E6"/>
    <w:rsid w:val="0063597C"/>
    <w:rsid w:val="00642DB5"/>
    <w:rsid w:val="0065642E"/>
    <w:rsid w:val="006577D7"/>
    <w:rsid w:val="00661EC2"/>
    <w:rsid w:val="00663202"/>
    <w:rsid w:val="0066628E"/>
    <w:rsid w:val="006710DC"/>
    <w:rsid w:val="006714A3"/>
    <w:rsid w:val="00672696"/>
    <w:rsid w:val="00672A3A"/>
    <w:rsid w:val="006730B5"/>
    <w:rsid w:val="00673C5B"/>
    <w:rsid w:val="00680AB7"/>
    <w:rsid w:val="00681189"/>
    <w:rsid w:val="00683204"/>
    <w:rsid w:val="00685B10"/>
    <w:rsid w:val="00692177"/>
    <w:rsid w:val="006956E6"/>
    <w:rsid w:val="00696CA9"/>
    <w:rsid w:val="006A17AD"/>
    <w:rsid w:val="006A520A"/>
    <w:rsid w:val="006A5F4A"/>
    <w:rsid w:val="006A74B0"/>
    <w:rsid w:val="006B1974"/>
    <w:rsid w:val="006C2410"/>
    <w:rsid w:val="006E18AD"/>
    <w:rsid w:val="006E7AF2"/>
    <w:rsid w:val="006F2783"/>
    <w:rsid w:val="0070166A"/>
    <w:rsid w:val="00704962"/>
    <w:rsid w:val="00705147"/>
    <w:rsid w:val="00707B50"/>
    <w:rsid w:val="00713B98"/>
    <w:rsid w:val="00722B53"/>
    <w:rsid w:val="0072404B"/>
    <w:rsid w:val="00733C93"/>
    <w:rsid w:val="00735B91"/>
    <w:rsid w:val="007411B2"/>
    <w:rsid w:val="00741983"/>
    <w:rsid w:val="00750BF2"/>
    <w:rsid w:val="00750EA9"/>
    <w:rsid w:val="00751CA4"/>
    <w:rsid w:val="007542E1"/>
    <w:rsid w:val="00755423"/>
    <w:rsid w:val="00755956"/>
    <w:rsid w:val="0075668B"/>
    <w:rsid w:val="0076176D"/>
    <w:rsid w:val="007619EF"/>
    <w:rsid w:val="00765926"/>
    <w:rsid w:val="00766743"/>
    <w:rsid w:val="00766DE7"/>
    <w:rsid w:val="00780994"/>
    <w:rsid w:val="00782BEA"/>
    <w:rsid w:val="00783860"/>
    <w:rsid w:val="007A397D"/>
    <w:rsid w:val="007A68FD"/>
    <w:rsid w:val="007B17DD"/>
    <w:rsid w:val="007B419C"/>
    <w:rsid w:val="007B54FA"/>
    <w:rsid w:val="007B7CFF"/>
    <w:rsid w:val="007C3A42"/>
    <w:rsid w:val="007D4286"/>
    <w:rsid w:val="007D5D5C"/>
    <w:rsid w:val="007F0969"/>
    <w:rsid w:val="007F12DE"/>
    <w:rsid w:val="007F23D8"/>
    <w:rsid w:val="007F2FE3"/>
    <w:rsid w:val="007F312D"/>
    <w:rsid w:val="007F587A"/>
    <w:rsid w:val="007F68D6"/>
    <w:rsid w:val="00800A0E"/>
    <w:rsid w:val="008024AA"/>
    <w:rsid w:val="00804F4D"/>
    <w:rsid w:val="008064EF"/>
    <w:rsid w:val="00807B3C"/>
    <w:rsid w:val="008119D3"/>
    <w:rsid w:val="00824AB0"/>
    <w:rsid w:val="00824F8E"/>
    <w:rsid w:val="00830A3F"/>
    <w:rsid w:val="00830D7B"/>
    <w:rsid w:val="00831FA0"/>
    <w:rsid w:val="00832347"/>
    <w:rsid w:val="00832361"/>
    <w:rsid w:val="00834F69"/>
    <w:rsid w:val="008358D4"/>
    <w:rsid w:val="00837C6D"/>
    <w:rsid w:val="00847428"/>
    <w:rsid w:val="008517FB"/>
    <w:rsid w:val="00855ED6"/>
    <w:rsid w:val="00856453"/>
    <w:rsid w:val="0086555B"/>
    <w:rsid w:val="0087585F"/>
    <w:rsid w:val="008861D8"/>
    <w:rsid w:val="00887ED6"/>
    <w:rsid w:val="00891438"/>
    <w:rsid w:val="00892600"/>
    <w:rsid w:val="00895354"/>
    <w:rsid w:val="008A01C0"/>
    <w:rsid w:val="008A4039"/>
    <w:rsid w:val="008B00BC"/>
    <w:rsid w:val="008B48DE"/>
    <w:rsid w:val="008B6D9D"/>
    <w:rsid w:val="008C2ED6"/>
    <w:rsid w:val="008D4EB3"/>
    <w:rsid w:val="008D6A20"/>
    <w:rsid w:val="008D6C84"/>
    <w:rsid w:val="008E474A"/>
    <w:rsid w:val="008E5178"/>
    <w:rsid w:val="008F7193"/>
    <w:rsid w:val="008F7842"/>
    <w:rsid w:val="009076AF"/>
    <w:rsid w:val="00910C8D"/>
    <w:rsid w:val="00912F08"/>
    <w:rsid w:val="00921607"/>
    <w:rsid w:val="00922ECC"/>
    <w:rsid w:val="00923ED0"/>
    <w:rsid w:val="009256CB"/>
    <w:rsid w:val="0093005F"/>
    <w:rsid w:val="00933149"/>
    <w:rsid w:val="00934094"/>
    <w:rsid w:val="00940773"/>
    <w:rsid w:val="00950C30"/>
    <w:rsid w:val="00951D7E"/>
    <w:rsid w:val="0095250E"/>
    <w:rsid w:val="00952A4F"/>
    <w:rsid w:val="009534EE"/>
    <w:rsid w:val="00955877"/>
    <w:rsid w:val="009600F6"/>
    <w:rsid w:val="00960C6A"/>
    <w:rsid w:val="009616E7"/>
    <w:rsid w:val="009636C2"/>
    <w:rsid w:val="00967213"/>
    <w:rsid w:val="0097144B"/>
    <w:rsid w:val="00973BFE"/>
    <w:rsid w:val="00973C92"/>
    <w:rsid w:val="00981D60"/>
    <w:rsid w:val="00982999"/>
    <w:rsid w:val="009833B5"/>
    <w:rsid w:val="00987890"/>
    <w:rsid w:val="0099298E"/>
    <w:rsid w:val="00993C7C"/>
    <w:rsid w:val="009A04A0"/>
    <w:rsid w:val="009A1297"/>
    <w:rsid w:val="009A650A"/>
    <w:rsid w:val="009B084E"/>
    <w:rsid w:val="009B1486"/>
    <w:rsid w:val="009B2D0B"/>
    <w:rsid w:val="009B6FF4"/>
    <w:rsid w:val="009C1585"/>
    <w:rsid w:val="009C2683"/>
    <w:rsid w:val="009C3859"/>
    <w:rsid w:val="009C59A0"/>
    <w:rsid w:val="009C6D7B"/>
    <w:rsid w:val="009C7418"/>
    <w:rsid w:val="009D1DBE"/>
    <w:rsid w:val="009D2A13"/>
    <w:rsid w:val="009D43C2"/>
    <w:rsid w:val="009D5408"/>
    <w:rsid w:val="009D55D2"/>
    <w:rsid w:val="009E2C4B"/>
    <w:rsid w:val="009E6FA2"/>
    <w:rsid w:val="009F4CC2"/>
    <w:rsid w:val="009F4DB4"/>
    <w:rsid w:val="009F7EFE"/>
    <w:rsid w:val="00A10187"/>
    <w:rsid w:val="00A11E54"/>
    <w:rsid w:val="00A25C43"/>
    <w:rsid w:val="00A27138"/>
    <w:rsid w:val="00A27622"/>
    <w:rsid w:val="00A27FB1"/>
    <w:rsid w:val="00A3103C"/>
    <w:rsid w:val="00A312D3"/>
    <w:rsid w:val="00A34268"/>
    <w:rsid w:val="00A3461B"/>
    <w:rsid w:val="00A40155"/>
    <w:rsid w:val="00A44DB9"/>
    <w:rsid w:val="00A46B93"/>
    <w:rsid w:val="00A502FB"/>
    <w:rsid w:val="00A5495D"/>
    <w:rsid w:val="00A54D99"/>
    <w:rsid w:val="00A61076"/>
    <w:rsid w:val="00A61546"/>
    <w:rsid w:val="00A71B3F"/>
    <w:rsid w:val="00A7214E"/>
    <w:rsid w:val="00A728DC"/>
    <w:rsid w:val="00A77E2E"/>
    <w:rsid w:val="00A77EE8"/>
    <w:rsid w:val="00A94212"/>
    <w:rsid w:val="00A96646"/>
    <w:rsid w:val="00A974EA"/>
    <w:rsid w:val="00AA2380"/>
    <w:rsid w:val="00AB5483"/>
    <w:rsid w:val="00AB5CB8"/>
    <w:rsid w:val="00AC2826"/>
    <w:rsid w:val="00AC4285"/>
    <w:rsid w:val="00AC429C"/>
    <w:rsid w:val="00AC475F"/>
    <w:rsid w:val="00AD1CEE"/>
    <w:rsid w:val="00AD33A5"/>
    <w:rsid w:val="00AD590F"/>
    <w:rsid w:val="00AD6961"/>
    <w:rsid w:val="00AE314B"/>
    <w:rsid w:val="00AE7590"/>
    <w:rsid w:val="00AF0DCC"/>
    <w:rsid w:val="00AF400F"/>
    <w:rsid w:val="00AF4DC1"/>
    <w:rsid w:val="00AF7719"/>
    <w:rsid w:val="00B057C3"/>
    <w:rsid w:val="00B0624B"/>
    <w:rsid w:val="00B1220E"/>
    <w:rsid w:val="00B16CD0"/>
    <w:rsid w:val="00B21CEC"/>
    <w:rsid w:val="00B304C1"/>
    <w:rsid w:val="00B314F0"/>
    <w:rsid w:val="00B31E75"/>
    <w:rsid w:val="00B3538C"/>
    <w:rsid w:val="00B378BB"/>
    <w:rsid w:val="00B47CAE"/>
    <w:rsid w:val="00B51568"/>
    <w:rsid w:val="00B5215A"/>
    <w:rsid w:val="00B56AAE"/>
    <w:rsid w:val="00B60815"/>
    <w:rsid w:val="00B62591"/>
    <w:rsid w:val="00B668AA"/>
    <w:rsid w:val="00B71452"/>
    <w:rsid w:val="00B728D9"/>
    <w:rsid w:val="00B74C66"/>
    <w:rsid w:val="00B76A84"/>
    <w:rsid w:val="00B80F0E"/>
    <w:rsid w:val="00B90D0C"/>
    <w:rsid w:val="00BA2359"/>
    <w:rsid w:val="00BA347C"/>
    <w:rsid w:val="00BA4054"/>
    <w:rsid w:val="00BA5B15"/>
    <w:rsid w:val="00BA63E1"/>
    <w:rsid w:val="00BA695C"/>
    <w:rsid w:val="00BA724F"/>
    <w:rsid w:val="00BB2510"/>
    <w:rsid w:val="00BB3DAF"/>
    <w:rsid w:val="00BB4144"/>
    <w:rsid w:val="00BB6376"/>
    <w:rsid w:val="00BC0B7D"/>
    <w:rsid w:val="00BC4FD5"/>
    <w:rsid w:val="00BD65AA"/>
    <w:rsid w:val="00BE3B4E"/>
    <w:rsid w:val="00BE5138"/>
    <w:rsid w:val="00BE5594"/>
    <w:rsid w:val="00BF1DD6"/>
    <w:rsid w:val="00BF6DD9"/>
    <w:rsid w:val="00BF6FFB"/>
    <w:rsid w:val="00C03F16"/>
    <w:rsid w:val="00C05E7D"/>
    <w:rsid w:val="00C076B2"/>
    <w:rsid w:val="00C10A4A"/>
    <w:rsid w:val="00C147A0"/>
    <w:rsid w:val="00C15661"/>
    <w:rsid w:val="00C2229F"/>
    <w:rsid w:val="00C22D32"/>
    <w:rsid w:val="00C25C0F"/>
    <w:rsid w:val="00C339EC"/>
    <w:rsid w:val="00C33F6C"/>
    <w:rsid w:val="00C411BB"/>
    <w:rsid w:val="00C42B96"/>
    <w:rsid w:val="00C462C5"/>
    <w:rsid w:val="00C47295"/>
    <w:rsid w:val="00C6001A"/>
    <w:rsid w:val="00C717CA"/>
    <w:rsid w:val="00C7528D"/>
    <w:rsid w:val="00C77CC9"/>
    <w:rsid w:val="00C77D1D"/>
    <w:rsid w:val="00C81576"/>
    <w:rsid w:val="00C82F71"/>
    <w:rsid w:val="00C84FE3"/>
    <w:rsid w:val="00C86CE9"/>
    <w:rsid w:val="00C93D9F"/>
    <w:rsid w:val="00CA5608"/>
    <w:rsid w:val="00CB08EB"/>
    <w:rsid w:val="00CB11FC"/>
    <w:rsid w:val="00CB5F0B"/>
    <w:rsid w:val="00CB66B6"/>
    <w:rsid w:val="00CC5F9E"/>
    <w:rsid w:val="00CC7277"/>
    <w:rsid w:val="00CD6744"/>
    <w:rsid w:val="00CD7C58"/>
    <w:rsid w:val="00CE10FF"/>
    <w:rsid w:val="00CF251F"/>
    <w:rsid w:val="00D016F3"/>
    <w:rsid w:val="00D025AC"/>
    <w:rsid w:val="00D114D3"/>
    <w:rsid w:val="00D125CE"/>
    <w:rsid w:val="00D14015"/>
    <w:rsid w:val="00D15183"/>
    <w:rsid w:val="00D21422"/>
    <w:rsid w:val="00D228FC"/>
    <w:rsid w:val="00D23FE2"/>
    <w:rsid w:val="00D246FC"/>
    <w:rsid w:val="00D269B7"/>
    <w:rsid w:val="00D27474"/>
    <w:rsid w:val="00D53B58"/>
    <w:rsid w:val="00D57A03"/>
    <w:rsid w:val="00D650AC"/>
    <w:rsid w:val="00D65FCB"/>
    <w:rsid w:val="00D675A9"/>
    <w:rsid w:val="00D7494A"/>
    <w:rsid w:val="00D74DE4"/>
    <w:rsid w:val="00D82DAA"/>
    <w:rsid w:val="00D85C21"/>
    <w:rsid w:val="00D87154"/>
    <w:rsid w:val="00D91621"/>
    <w:rsid w:val="00D93654"/>
    <w:rsid w:val="00D94475"/>
    <w:rsid w:val="00D948C2"/>
    <w:rsid w:val="00DA1C10"/>
    <w:rsid w:val="00DA3EBE"/>
    <w:rsid w:val="00DB11E0"/>
    <w:rsid w:val="00DB5308"/>
    <w:rsid w:val="00DC6704"/>
    <w:rsid w:val="00DD16DA"/>
    <w:rsid w:val="00DD2331"/>
    <w:rsid w:val="00DD6BDD"/>
    <w:rsid w:val="00DD7D62"/>
    <w:rsid w:val="00DE6ADA"/>
    <w:rsid w:val="00DF0285"/>
    <w:rsid w:val="00DF2A12"/>
    <w:rsid w:val="00DF3897"/>
    <w:rsid w:val="00DF69EB"/>
    <w:rsid w:val="00DF6CFC"/>
    <w:rsid w:val="00E05311"/>
    <w:rsid w:val="00E06355"/>
    <w:rsid w:val="00E06C6C"/>
    <w:rsid w:val="00E106ED"/>
    <w:rsid w:val="00E12BCF"/>
    <w:rsid w:val="00E14BF0"/>
    <w:rsid w:val="00E236C9"/>
    <w:rsid w:val="00E24352"/>
    <w:rsid w:val="00E25A27"/>
    <w:rsid w:val="00E26CBD"/>
    <w:rsid w:val="00E30091"/>
    <w:rsid w:val="00E337B2"/>
    <w:rsid w:val="00E33808"/>
    <w:rsid w:val="00E3744F"/>
    <w:rsid w:val="00E40017"/>
    <w:rsid w:val="00E40EE6"/>
    <w:rsid w:val="00E528E6"/>
    <w:rsid w:val="00E54527"/>
    <w:rsid w:val="00E56FEE"/>
    <w:rsid w:val="00E57B2A"/>
    <w:rsid w:val="00E57B94"/>
    <w:rsid w:val="00E62E50"/>
    <w:rsid w:val="00E7034E"/>
    <w:rsid w:val="00E77E6D"/>
    <w:rsid w:val="00E825AE"/>
    <w:rsid w:val="00E82AC3"/>
    <w:rsid w:val="00E83D1F"/>
    <w:rsid w:val="00E842FD"/>
    <w:rsid w:val="00E86CFE"/>
    <w:rsid w:val="00E87D26"/>
    <w:rsid w:val="00E941D0"/>
    <w:rsid w:val="00EA3DFC"/>
    <w:rsid w:val="00EA5ED4"/>
    <w:rsid w:val="00EA63F1"/>
    <w:rsid w:val="00EA7FC2"/>
    <w:rsid w:val="00EB1FE1"/>
    <w:rsid w:val="00EB5DDC"/>
    <w:rsid w:val="00ED1FE1"/>
    <w:rsid w:val="00ED3973"/>
    <w:rsid w:val="00ED6FC5"/>
    <w:rsid w:val="00EE081F"/>
    <w:rsid w:val="00EE0F50"/>
    <w:rsid w:val="00EE4693"/>
    <w:rsid w:val="00EF0785"/>
    <w:rsid w:val="00EF1D2F"/>
    <w:rsid w:val="00EF69E9"/>
    <w:rsid w:val="00F0016D"/>
    <w:rsid w:val="00F014A1"/>
    <w:rsid w:val="00F053BD"/>
    <w:rsid w:val="00F066C5"/>
    <w:rsid w:val="00F11CEB"/>
    <w:rsid w:val="00F11D75"/>
    <w:rsid w:val="00F16A55"/>
    <w:rsid w:val="00F233A6"/>
    <w:rsid w:val="00F261CB"/>
    <w:rsid w:val="00F2726F"/>
    <w:rsid w:val="00F305E8"/>
    <w:rsid w:val="00F3196C"/>
    <w:rsid w:val="00F34058"/>
    <w:rsid w:val="00F34388"/>
    <w:rsid w:val="00F36C28"/>
    <w:rsid w:val="00F43463"/>
    <w:rsid w:val="00F448E4"/>
    <w:rsid w:val="00F4592B"/>
    <w:rsid w:val="00F45DF6"/>
    <w:rsid w:val="00F46E9F"/>
    <w:rsid w:val="00F513B1"/>
    <w:rsid w:val="00F51965"/>
    <w:rsid w:val="00F5396E"/>
    <w:rsid w:val="00F543E6"/>
    <w:rsid w:val="00F62B7F"/>
    <w:rsid w:val="00F8252A"/>
    <w:rsid w:val="00F85993"/>
    <w:rsid w:val="00F87700"/>
    <w:rsid w:val="00F925CF"/>
    <w:rsid w:val="00F929E6"/>
    <w:rsid w:val="00FA280E"/>
    <w:rsid w:val="00FA467B"/>
    <w:rsid w:val="00FA5DED"/>
    <w:rsid w:val="00FA7193"/>
    <w:rsid w:val="00FA7682"/>
    <w:rsid w:val="00FB03CF"/>
    <w:rsid w:val="00FB1656"/>
    <w:rsid w:val="00FC497F"/>
    <w:rsid w:val="00FD263B"/>
    <w:rsid w:val="00FD44B8"/>
    <w:rsid w:val="00FD5321"/>
    <w:rsid w:val="00FE0965"/>
    <w:rsid w:val="00FE176E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2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lang w:eastAsia="en-US"/>
    </w:rPr>
  </w:style>
  <w:style w:type="character" w:styleId="PageNumber">
    <w:name w:val="page number"/>
    <w:basedOn w:val="DefaultParagraphFont"/>
    <w:rsid w:val="005702EE"/>
  </w:style>
  <w:style w:type="paragraph" w:styleId="Footer">
    <w:name w:val="footer"/>
    <w:basedOn w:val="Normal"/>
    <w:rsid w:val="005702EE"/>
    <w:pPr>
      <w:tabs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0"/>
      <w:lang w:eastAsia="en-US"/>
    </w:rPr>
  </w:style>
  <w:style w:type="paragraph" w:customStyle="1" w:styleId="LDAmendHeading">
    <w:name w:val="LDAmendHeading"/>
    <w:basedOn w:val="Normal"/>
    <w:next w:val="Normal"/>
    <w:rsid w:val="005702EE"/>
    <w:pPr>
      <w:keepNext/>
      <w:spacing w:before="180" w:after="60"/>
      <w:ind w:left="720" w:hanging="720"/>
    </w:pPr>
    <w:rPr>
      <w:rFonts w:ascii="Arial" w:hAnsi="Arial"/>
      <w:b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2591"/>
    <w:rPr>
      <w:rFonts w:ascii="Times New (W1)" w:hAnsi="Times New (W1)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6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FC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7193"/>
    <w:rPr>
      <w:rFonts w:ascii="Arial" w:hAnsi="Arial" w:cstheme="minorBidi"/>
      <w:color w:val="000000" w:themeColor="text1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7193"/>
    <w:rPr>
      <w:rFonts w:ascii="Arial" w:hAnsi="Arial" w:cstheme="minorBidi"/>
      <w:color w:val="000000" w:themeColor="text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2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lang w:eastAsia="en-US"/>
    </w:rPr>
  </w:style>
  <w:style w:type="character" w:styleId="PageNumber">
    <w:name w:val="page number"/>
    <w:basedOn w:val="DefaultParagraphFont"/>
    <w:rsid w:val="005702EE"/>
  </w:style>
  <w:style w:type="paragraph" w:styleId="Footer">
    <w:name w:val="footer"/>
    <w:basedOn w:val="Normal"/>
    <w:rsid w:val="005702EE"/>
    <w:pPr>
      <w:tabs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0"/>
      <w:lang w:eastAsia="en-US"/>
    </w:rPr>
  </w:style>
  <w:style w:type="paragraph" w:customStyle="1" w:styleId="LDAmendHeading">
    <w:name w:val="LDAmendHeading"/>
    <w:basedOn w:val="Normal"/>
    <w:next w:val="Normal"/>
    <w:rsid w:val="005702EE"/>
    <w:pPr>
      <w:keepNext/>
      <w:spacing w:before="180" w:after="60"/>
      <w:ind w:left="720" w:hanging="720"/>
    </w:pPr>
    <w:rPr>
      <w:rFonts w:ascii="Arial" w:hAnsi="Arial"/>
      <w:b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2591"/>
    <w:rPr>
      <w:rFonts w:ascii="Times New (W1)" w:hAnsi="Times New (W1)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6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FC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7193"/>
    <w:rPr>
      <w:rFonts w:ascii="Arial" w:hAnsi="Arial" w:cstheme="minorBidi"/>
      <w:color w:val="000000" w:themeColor="text1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7193"/>
    <w:rPr>
      <w:rFonts w:ascii="Arial" w:hAnsi="Arial" w:cstheme="minorBidi"/>
      <w:color w:val="000000" w:themeColor="text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6AB8-07C8-474C-85ED-FA884859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8F6672F3</Template>
  <TotalTime>13</TotalTime>
  <Pages>3</Pages>
  <Words>1197</Words>
  <Characters>6292</Characters>
  <Application>Microsoft Office Word</Application>
  <DocSecurity>0</DocSecurity>
  <Lines>216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EX135/13 — Explanatory Statemetn</vt:lpstr>
    </vt:vector>
  </TitlesOfParts>
  <Company>Civil Aviation Safety Authority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EX135/13 — Explanatory Statemetn</dc:title>
  <dc:subject>Exemption – carriage of flight data recorder – Pel-Air Aviation</dc:subject>
  <dc:creator>Civil Aviation Safety Authority</dc:creator>
  <cp:lastModifiedBy>Gobbitt, David</cp:lastModifiedBy>
  <cp:revision>9</cp:revision>
  <cp:lastPrinted>2013-12-18T22:09:00Z</cp:lastPrinted>
  <dcterms:created xsi:type="dcterms:W3CDTF">2013-12-18T04:42:00Z</dcterms:created>
  <dcterms:modified xsi:type="dcterms:W3CDTF">2013-12-19T23:27:00Z</dcterms:modified>
  <cp:category>Exemptions</cp:category>
</cp:coreProperties>
</file>