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B2989" w:rsidRPr="00C21F22" w:rsidRDefault="00D42038" w:rsidP="00C21F22">
      <w:pPr>
        <w:spacing w:before="40"/>
        <w:jc w:val="center"/>
        <w:rPr>
          <w:rFonts w:ascii="Arial" w:hAnsi="Arial" w:cs="Arial"/>
          <w:b/>
          <w:sz w:val="22"/>
          <w:szCs w:val="22"/>
        </w:rPr>
      </w:pPr>
      <w:r w:rsidRPr="00C21F22">
        <w:rPr>
          <w:rFonts w:ascii="Arial" w:hAnsi="Arial" w:cs="Arial"/>
          <w:b/>
          <w:sz w:val="22"/>
          <w:szCs w:val="22"/>
        </w:rPr>
        <w:t xml:space="preserve">Fair Work </w:t>
      </w:r>
      <w:r w:rsidR="00D12FBE" w:rsidRPr="00C21F22">
        <w:rPr>
          <w:rFonts w:ascii="Arial" w:hAnsi="Arial" w:cs="Arial"/>
          <w:b/>
          <w:sz w:val="22"/>
          <w:szCs w:val="22"/>
        </w:rPr>
        <w:t>Commission</w:t>
      </w:r>
      <w:r w:rsidRPr="00C21F22">
        <w:rPr>
          <w:rFonts w:ascii="Arial" w:hAnsi="Arial" w:cs="Arial"/>
          <w:b/>
          <w:sz w:val="22"/>
          <w:szCs w:val="22"/>
        </w:rPr>
        <w:t xml:space="preserve"> </w:t>
      </w:r>
      <w:r w:rsidR="008457C8">
        <w:rPr>
          <w:rFonts w:ascii="Arial" w:hAnsi="Arial" w:cs="Arial"/>
          <w:b/>
          <w:sz w:val="22"/>
          <w:szCs w:val="22"/>
        </w:rPr>
        <w:t xml:space="preserve">Amendment (Anti-bullying) </w:t>
      </w:r>
      <w:r w:rsidRPr="00C21F22">
        <w:rPr>
          <w:rFonts w:ascii="Arial" w:hAnsi="Arial" w:cs="Arial"/>
          <w:b/>
          <w:sz w:val="22"/>
          <w:szCs w:val="22"/>
        </w:rPr>
        <w:t>Rules 201</w:t>
      </w:r>
      <w:r w:rsidR="00D12FBE" w:rsidRPr="00C21F22">
        <w:rPr>
          <w:rFonts w:ascii="Arial" w:hAnsi="Arial" w:cs="Arial"/>
          <w:b/>
          <w:sz w:val="22"/>
          <w:szCs w:val="22"/>
        </w:rPr>
        <w:t>3</w:t>
      </w:r>
    </w:p>
    <w:p w:rsidR="00D42038" w:rsidRPr="00C21F22" w:rsidRDefault="00F27354" w:rsidP="00C21F22">
      <w:pPr>
        <w:spacing w:before="40"/>
        <w:jc w:val="center"/>
        <w:rPr>
          <w:rFonts w:ascii="Arial" w:hAnsi="Arial" w:cs="Arial"/>
          <w:sz w:val="22"/>
          <w:szCs w:val="22"/>
        </w:rPr>
      </w:pPr>
      <w:r w:rsidRPr="00C21F22">
        <w:rPr>
          <w:rFonts w:ascii="Arial" w:hAnsi="Arial" w:cs="Arial"/>
          <w:sz w:val="22"/>
          <w:szCs w:val="22"/>
        </w:rPr>
        <w:t>EXPLANATORY STATEMENT</w:t>
      </w:r>
    </w:p>
    <w:p w:rsidR="00C27B1D" w:rsidRPr="00C21F22" w:rsidRDefault="00C27B1D" w:rsidP="00C21F22">
      <w:pPr>
        <w:spacing w:before="40"/>
        <w:rPr>
          <w:rFonts w:ascii="Arial" w:hAnsi="Arial" w:cs="Arial"/>
          <w:sz w:val="22"/>
          <w:szCs w:val="22"/>
        </w:rPr>
      </w:pPr>
    </w:p>
    <w:p w:rsidR="00D42038" w:rsidRPr="00C21F22" w:rsidRDefault="00C27B1D" w:rsidP="00C21F22">
      <w:pPr>
        <w:spacing w:before="40"/>
        <w:jc w:val="center"/>
        <w:rPr>
          <w:rFonts w:ascii="Arial" w:hAnsi="Arial" w:cs="Arial"/>
          <w:sz w:val="22"/>
          <w:szCs w:val="22"/>
        </w:rPr>
      </w:pPr>
      <w:r w:rsidRPr="00C21F22">
        <w:rPr>
          <w:rFonts w:ascii="Arial" w:hAnsi="Arial" w:cs="Arial"/>
          <w:sz w:val="22"/>
          <w:szCs w:val="22"/>
        </w:rPr>
        <w:t>(</w:t>
      </w:r>
      <w:r w:rsidR="00D42038" w:rsidRPr="00C21F22">
        <w:rPr>
          <w:rFonts w:ascii="Arial" w:hAnsi="Arial" w:cs="Arial"/>
          <w:sz w:val="22"/>
          <w:szCs w:val="22"/>
        </w:rPr>
        <w:t xml:space="preserve">issued by the authority of the President of </w:t>
      </w:r>
      <w:r w:rsidR="00727E22">
        <w:rPr>
          <w:rFonts w:ascii="Arial" w:hAnsi="Arial" w:cs="Arial"/>
          <w:sz w:val="22"/>
          <w:szCs w:val="22"/>
        </w:rPr>
        <w:t xml:space="preserve">the </w:t>
      </w:r>
      <w:r w:rsidR="00D42038" w:rsidRPr="00C21F22">
        <w:rPr>
          <w:rFonts w:ascii="Arial" w:hAnsi="Arial" w:cs="Arial"/>
          <w:sz w:val="22"/>
          <w:szCs w:val="22"/>
        </w:rPr>
        <w:t xml:space="preserve">Fair Work </w:t>
      </w:r>
      <w:r w:rsidR="00727E22">
        <w:rPr>
          <w:rFonts w:ascii="Arial" w:hAnsi="Arial" w:cs="Arial"/>
          <w:sz w:val="22"/>
          <w:szCs w:val="22"/>
        </w:rPr>
        <w:t>Commission</w:t>
      </w:r>
      <w:r w:rsidR="00D42038" w:rsidRPr="00C21F22">
        <w:rPr>
          <w:rFonts w:ascii="Arial" w:hAnsi="Arial" w:cs="Arial"/>
          <w:sz w:val="22"/>
          <w:szCs w:val="22"/>
        </w:rPr>
        <w:t>)</w:t>
      </w:r>
    </w:p>
    <w:p w:rsidR="00D42038" w:rsidRPr="00C21F22" w:rsidRDefault="00D42038" w:rsidP="00C21F22">
      <w:pPr>
        <w:spacing w:before="40"/>
        <w:rPr>
          <w:rFonts w:ascii="Arial" w:hAnsi="Arial" w:cs="Arial"/>
          <w:sz w:val="22"/>
          <w:szCs w:val="22"/>
        </w:rPr>
      </w:pPr>
    </w:p>
    <w:p w:rsidR="00D42038" w:rsidRPr="00C21F22" w:rsidRDefault="00D42038" w:rsidP="00C21F22">
      <w:pPr>
        <w:keepNext/>
        <w:spacing w:before="40"/>
        <w:rPr>
          <w:rFonts w:ascii="Arial" w:hAnsi="Arial" w:cs="Arial"/>
          <w:b/>
          <w:sz w:val="22"/>
          <w:szCs w:val="22"/>
        </w:rPr>
      </w:pPr>
      <w:r w:rsidRPr="00C21F22">
        <w:rPr>
          <w:rFonts w:ascii="Arial" w:hAnsi="Arial" w:cs="Arial"/>
          <w:b/>
          <w:sz w:val="22"/>
          <w:szCs w:val="22"/>
        </w:rPr>
        <w:t>Authority</w:t>
      </w:r>
    </w:p>
    <w:p w:rsidR="00D42038" w:rsidRPr="00C21F22" w:rsidRDefault="00D42038" w:rsidP="00C21F22">
      <w:pPr>
        <w:spacing w:before="40"/>
        <w:rPr>
          <w:rFonts w:ascii="Arial" w:hAnsi="Arial" w:cs="Arial"/>
          <w:sz w:val="22"/>
          <w:szCs w:val="22"/>
        </w:rPr>
      </w:pPr>
      <w:r w:rsidRPr="00C21F22">
        <w:rPr>
          <w:rFonts w:ascii="Arial" w:hAnsi="Arial" w:cs="Arial"/>
          <w:sz w:val="22"/>
          <w:szCs w:val="22"/>
        </w:rPr>
        <w:t xml:space="preserve">Section 609 of the </w:t>
      </w:r>
      <w:r w:rsidR="00F27354" w:rsidRPr="00C21F22">
        <w:rPr>
          <w:rFonts w:ascii="Arial" w:hAnsi="Arial" w:cs="Arial"/>
          <w:i/>
          <w:sz w:val="22"/>
          <w:szCs w:val="22"/>
        </w:rPr>
        <w:t>F</w:t>
      </w:r>
      <w:r w:rsidRPr="00C21F22">
        <w:rPr>
          <w:rFonts w:ascii="Arial" w:hAnsi="Arial" w:cs="Arial"/>
          <w:i/>
          <w:sz w:val="22"/>
          <w:szCs w:val="22"/>
        </w:rPr>
        <w:t>air Work Act 2009</w:t>
      </w:r>
      <w:r w:rsidRPr="00C21F22">
        <w:rPr>
          <w:rFonts w:ascii="Arial" w:hAnsi="Arial" w:cs="Arial"/>
          <w:sz w:val="22"/>
          <w:szCs w:val="22"/>
        </w:rPr>
        <w:t xml:space="preserve"> (the Act) authorises the making of the rules of </w:t>
      </w:r>
      <w:r w:rsidR="00D12FBE" w:rsidRPr="00C21F22">
        <w:rPr>
          <w:rFonts w:ascii="Arial" w:hAnsi="Arial" w:cs="Arial"/>
          <w:sz w:val="22"/>
          <w:szCs w:val="22"/>
        </w:rPr>
        <w:t xml:space="preserve">the </w:t>
      </w:r>
      <w:r w:rsidRPr="00C21F22">
        <w:rPr>
          <w:rFonts w:ascii="Arial" w:hAnsi="Arial" w:cs="Arial"/>
          <w:sz w:val="22"/>
          <w:szCs w:val="22"/>
        </w:rPr>
        <w:t xml:space="preserve">Fair Work </w:t>
      </w:r>
      <w:r w:rsidR="00D12FBE" w:rsidRPr="00C21F22">
        <w:rPr>
          <w:rFonts w:ascii="Arial" w:hAnsi="Arial" w:cs="Arial"/>
          <w:sz w:val="22"/>
          <w:szCs w:val="22"/>
        </w:rPr>
        <w:t>Commission</w:t>
      </w:r>
      <w:r w:rsidRPr="00C21F22">
        <w:rPr>
          <w:rFonts w:ascii="Arial" w:hAnsi="Arial" w:cs="Arial"/>
          <w:sz w:val="22"/>
          <w:szCs w:val="22"/>
        </w:rPr>
        <w:t xml:space="preserve"> (</w:t>
      </w:r>
      <w:r w:rsidR="00D12FBE" w:rsidRPr="00C21F22">
        <w:rPr>
          <w:rFonts w:ascii="Arial" w:hAnsi="Arial" w:cs="Arial"/>
          <w:sz w:val="22"/>
          <w:szCs w:val="22"/>
        </w:rPr>
        <w:t>Commission</w:t>
      </w:r>
      <w:r w:rsidRPr="00C21F22">
        <w:rPr>
          <w:rFonts w:ascii="Arial" w:hAnsi="Arial" w:cs="Arial"/>
          <w:sz w:val="22"/>
          <w:szCs w:val="22"/>
        </w:rPr>
        <w:t>).</w:t>
      </w:r>
    </w:p>
    <w:p w:rsidR="00D42038" w:rsidRPr="00C21F22" w:rsidRDefault="00D42038" w:rsidP="00C21F22">
      <w:pPr>
        <w:spacing w:before="40"/>
        <w:rPr>
          <w:rFonts w:ascii="Arial" w:hAnsi="Arial" w:cs="Arial"/>
          <w:sz w:val="22"/>
          <w:szCs w:val="22"/>
        </w:rPr>
      </w:pPr>
      <w:r w:rsidRPr="00C21F22">
        <w:rPr>
          <w:rFonts w:ascii="Arial" w:hAnsi="Arial" w:cs="Arial"/>
          <w:sz w:val="22"/>
          <w:szCs w:val="22"/>
        </w:rPr>
        <w:t>Under section 609 of the Act</w:t>
      </w:r>
      <w:r w:rsidR="00D12FBE" w:rsidRPr="00C21F22">
        <w:rPr>
          <w:rFonts w:ascii="Arial" w:hAnsi="Arial" w:cs="Arial"/>
          <w:sz w:val="22"/>
          <w:szCs w:val="22"/>
        </w:rPr>
        <w:t>,</w:t>
      </w:r>
      <w:r w:rsidRPr="00C21F22">
        <w:rPr>
          <w:rFonts w:ascii="Arial" w:hAnsi="Arial" w:cs="Arial"/>
          <w:sz w:val="22"/>
          <w:szCs w:val="22"/>
        </w:rPr>
        <w:t xml:space="preserve"> </w:t>
      </w:r>
      <w:r w:rsidR="00D12FBE" w:rsidRPr="00C21F22">
        <w:rPr>
          <w:rFonts w:ascii="Arial" w:hAnsi="Arial" w:cs="Arial"/>
          <w:sz w:val="22"/>
          <w:szCs w:val="22"/>
        </w:rPr>
        <w:t xml:space="preserve">after consulting with the other Commission Members, </w:t>
      </w:r>
      <w:r w:rsidRPr="00C21F22">
        <w:rPr>
          <w:rFonts w:ascii="Arial" w:hAnsi="Arial" w:cs="Arial"/>
          <w:sz w:val="22"/>
          <w:szCs w:val="22"/>
        </w:rPr>
        <w:t xml:space="preserve">the President of </w:t>
      </w:r>
      <w:r w:rsidR="00D12FBE" w:rsidRPr="00C21F22">
        <w:rPr>
          <w:rFonts w:ascii="Arial" w:hAnsi="Arial" w:cs="Arial"/>
          <w:sz w:val="22"/>
          <w:szCs w:val="22"/>
        </w:rPr>
        <w:t>the Commission may</w:t>
      </w:r>
      <w:r w:rsidRPr="00C21F22">
        <w:rPr>
          <w:rFonts w:ascii="Arial" w:hAnsi="Arial" w:cs="Arial"/>
          <w:sz w:val="22"/>
          <w:szCs w:val="22"/>
        </w:rPr>
        <w:t xml:space="preserve">, </w:t>
      </w:r>
      <w:r w:rsidR="00D12FBE" w:rsidRPr="00C21F22">
        <w:rPr>
          <w:rFonts w:ascii="Arial" w:hAnsi="Arial" w:cs="Arial"/>
          <w:sz w:val="22"/>
          <w:szCs w:val="22"/>
        </w:rPr>
        <w:t xml:space="preserve">by legislative instrument, make procedural rules </w:t>
      </w:r>
      <w:r w:rsidR="00BA6542" w:rsidRPr="00C21F22">
        <w:rPr>
          <w:rFonts w:ascii="Arial" w:hAnsi="Arial" w:cs="Arial"/>
          <w:sz w:val="22"/>
          <w:szCs w:val="22"/>
        </w:rPr>
        <w:t>in</w:t>
      </w:r>
      <w:r w:rsidRPr="00C21F22">
        <w:rPr>
          <w:rFonts w:ascii="Arial" w:hAnsi="Arial" w:cs="Arial"/>
          <w:sz w:val="22"/>
          <w:szCs w:val="22"/>
        </w:rPr>
        <w:t xml:space="preserve"> relation to:</w:t>
      </w:r>
    </w:p>
    <w:p w:rsidR="00450F78" w:rsidRPr="00C21F22" w:rsidRDefault="00450F78" w:rsidP="00C21F22">
      <w:pPr>
        <w:pStyle w:val="paragraph"/>
        <w:tabs>
          <w:tab w:val="clear" w:pos="1531"/>
        </w:tabs>
        <w:spacing w:after="200" w:line="276" w:lineRule="auto"/>
        <w:ind w:left="1440" w:hanging="720"/>
        <w:rPr>
          <w:rFonts w:ascii="Arial" w:hAnsi="Arial" w:cs="Arial"/>
          <w:szCs w:val="22"/>
        </w:rPr>
      </w:pPr>
      <w:r w:rsidRPr="00C21F22">
        <w:rPr>
          <w:rFonts w:ascii="Arial" w:hAnsi="Arial" w:cs="Arial"/>
          <w:szCs w:val="22"/>
        </w:rPr>
        <w:t>(a)</w:t>
      </w:r>
      <w:r w:rsidRPr="00C21F22">
        <w:rPr>
          <w:rFonts w:ascii="Arial" w:hAnsi="Arial" w:cs="Arial"/>
          <w:szCs w:val="22"/>
        </w:rPr>
        <w:tab/>
        <w:t xml:space="preserve">the practice and procedure to be followed by </w:t>
      </w:r>
      <w:r w:rsidR="00D12FBE" w:rsidRPr="00C21F22">
        <w:rPr>
          <w:rFonts w:ascii="Arial" w:hAnsi="Arial" w:cs="Arial"/>
          <w:szCs w:val="22"/>
        </w:rPr>
        <w:t>the Commission</w:t>
      </w:r>
      <w:r w:rsidRPr="00C21F22">
        <w:rPr>
          <w:rFonts w:ascii="Arial" w:hAnsi="Arial" w:cs="Arial"/>
          <w:szCs w:val="22"/>
        </w:rPr>
        <w:t>; or</w:t>
      </w:r>
    </w:p>
    <w:p w:rsidR="00450F78" w:rsidRPr="00C21F22" w:rsidRDefault="00450F78" w:rsidP="00C21F22">
      <w:pPr>
        <w:pStyle w:val="paragraph"/>
        <w:tabs>
          <w:tab w:val="clear" w:pos="1531"/>
        </w:tabs>
        <w:spacing w:after="200" w:line="276" w:lineRule="auto"/>
        <w:ind w:left="1440" w:hanging="720"/>
        <w:rPr>
          <w:rFonts w:ascii="Arial" w:hAnsi="Arial" w:cs="Arial"/>
          <w:szCs w:val="22"/>
        </w:rPr>
      </w:pPr>
      <w:r w:rsidRPr="00C21F22">
        <w:rPr>
          <w:rFonts w:ascii="Arial" w:hAnsi="Arial" w:cs="Arial"/>
          <w:szCs w:val="22"/>
        </w:rPr>
        <w:t>(b)</w:t>
      </w:r>
      <w:r w:rsidRPr="00C21F22">
        <w:rPr>
          <w:rFonts w:ascii="Arial" w:hAnsi="Arial" w:cs="Arial"/>
          <w:szCs w:val="22"/>
        </w:rPr>
        <w:tab/>
        <w:t xml:space="preserve">the conduct of business in relation to matters allowed or required to be dealt with by </w:t>
      </w:r>
      <w:r w:rsidR="00D12FBE" w:rsidRPr="00C21F22">
        <w:rPr>
          <w:rFonts w:ascii="Arial" w:hAnsi="Arial" w:cs="Arial"/>
          <w:szCs w:val="22"/>
        </w:rPr>
        <w:t>the Commission</w:t>
      </w:r>
      <w:r w:rsidR="00C21F22">
        <w:rPr>
          <w:rFonts w:ascii="Arial" w:hAnsi="Arial" w:cs="Arial"/>
          <w:szCs w:val="22"/>
        </w:rPr>
        <w:t>, including in relation to any functions conferred on the Commission by any other law of the Commonwealth</w:t>
      </w:r>
      <w:r w:rsidR="00AE1113" w:rsidRPr="00C21F22">
        <w:rPr>
          <w:rFonts w:ascii="Arial" w:hAnsi="Arial" w:cs="Arial"/>
          <w:szCs w:val="22"/>
        </w:rPr>
        <w:t>.</w:t>
      </w:r>
    </w:p>
    <w:p w:rsidR="00450F78" w:rsidRPr="00C21F22" w:rsidRDefault="00450F78" w:rsidP="00C21F22">
      <w:pPr>
        <w:pStyle w:val="subsection"/>
        <w:spacing w:before="40" w:after="200" w:line="276" w:lineRule="auto"/>
        <w:rPr>
          <w:rFonts w:ascii="Arial" w:hAnsi="Arial" w:cs="Arial"/>
          <w:szCs w:val="22"/>
        </w:rPr>
      </w:pPr>
      <w:r w:rsidRPr="00C21F22">
        <w:rPr>
          <w:rFonts w:ascii="Arial" w:hAnsi="Arial" w:cs="Arial"/>
          <w:szCs w:val="22"/>
        </w:rPr>
        <w:tab/>
        <w:t>Without limiting (a) and (b) above, the procedural rules may provide for the following:</w:t>
      </w:r>
    </w:p>
    <w:p w:rsidR="00450F78" w:rsidRPr="00C21F22" w:rsidRDefault="00450F78" w:rsidP="00C21F22">
      <w:pPr>
        <w:pStyle w:val="paragraph"/>
        <w:tabs>
          <w:tab w:val="clear" w:pos="1531"/>
        </w:tabs>
        <w:spacing w:after="200" w:line="276" w:lineRule="auto"/>
        <w:ind w:left="1440" w:hanging="720"/>
        <w:rPr>
          <w:rFonts w:ascii="Arial" w:hAnsi="Arial" w:cs="Arial"/>
          <w:szCs w:val="22"/>
        </w:rPr>
      </w:pPr>
      <w:r w:rsidRPr="00C21F22">
        <w:rPr>
          <w:rFonts w:ascii="Arial" w:hAnsi="Arial" w:cs="Arial"/>
          <w:szCs w:val="22"/>
        </w:rPr>
        <w:t>(a)</w:t>
      </w:r>
      <w:r w:rsidRPr="00C21F22">
        <w:rPr>
          <w:rFonts w:ascii="Arial" w:hAnsi="Arial" w:cs="Arial"/>
          <w:szCs w:val="22"/>
        </w:rPr>
        <w:tab/>
        <w:t xml:space="preserve">the requirements for making an application to </w:t>
      </w:r>
      <w:r w:rsidR="00C21F22">
        <w:rPr>
          <w:rFonts w:ascii="Arial" w:hAnsi="Arial" w:cs="Arial"/>
          <w:szCs w:val="22"/>
        </w:rPr>
        <w:t>the Commission</w:t>
      </w:r>
      <w:r w:rsidRPr="00C21F22">
        <w:rPr>
          <w:rFonts w:ascii="Arial" w:hAnsi="Arial" w:cs="Arial"/>
          <w:szCs w:val="22"/>
        </w:rPr>
        <w:t>;</w:t>
      </w:r>
    </w:p>
    <w:p w:rsidR="00450F78" w:rsidRPr="00C21F22" w:rsidRDefault="00450F78" w:rsidP="00C21F22">
      <w:pPr>
        <w:pStyle w:val="paragraph"/>
        <w:tabs>
          <w:tab w:val="clear" w:pos="1531"/>
        </w:tabs>
        <w:spacing w:after="200" w:line="276" w:lineRule="auto"/>
        <w:ind w:left="1440" w:hanging="720"/>
        <w:rPr>
          <w:rFonts w:ascii="Arial" w:hAnsi="Arial" w:cs="Arial"/>
          <w:szCs w:val="22"/>
        </w:rPr>
      </w:pPr>
      <w:r w:rsidRPr="00C21F22">
        <w:rPr>
          <w:rFonts w:ascii="Arial" w:hAnsi="Arial" w:cs="Arial"/>
          <w:szCs w:val="22"/>
        </w:rPr>
        <w:t>(b)</w:t>
      </w:r>
      <w:r w:rsidRPr="00C21F22">
        <w:rPr>
          <w:rFonts w:ascii="Arial" w:hAnsi="Arial" w:cs="Arial"/>
          <w:szCs w:val="22"/>
        </w:rPr>
        <w:tab/>
        <w:t xml:space="preserve">the circumstances in which a lawyer or paid agent may make an application or submission to </w:t>
      </w:r>
      <w:r w:rsidR="00C21F22">
        <w:rPr>
          <w:rFonts w:ascii="Arial" w:hAnsi="Arial" w:cs="Arial"/>
          <w:szCs w:val="22"/>
        </w:rPr>
        <w:t>the Commission</w:t>
      </w:r>
      <w:r w:rsidRPr="00C21F22">
        <w:rPr>
          <w:rFonts w:ascii="Arial" w:hAnsi="Arial" w:cs="Arial"/>
          <w:szCs w:val="22"/>
        </w:rPr>
        <w:t xml:space="preserve"> on behalf of a person who is entitled to make the application or submission;</w:t>
      </w:r>
    </w:p>
    <w:p w:rsidR="00450F78" w:rsidRPr="00C21F22" w:rsidRDefault="00450F78" w:rsidP="00C21F22">
      <w:pPr>
        <w:pStyle w:val="paragraph"/>
        <w:tabs>
          <w:tab w:val="clear" w:pos="1531"/>
        </w:tabs>
        <w:spacing w:after="200" w:line="276" w:lineRule="auto"/>
        <w:ind w:left="1440" w:hanging="720"/>
        <w:rPr>
          <w:rFonts w:ascii="Arial" w:hAnsi="Arial" w:cs="Arial"/>
          <w:szCs w:val="22"/>
        </w:rPr>
      </w:pPr>
      <w:r w:rsidRPr="00C21F22">
        <w:rPr>
          <w:rFonts w:ascii="Arial" w:hAnsi="Arial" w:cs="Arial"/>
          <w:szCs w:val="22"/>
        </w:rPr>
        <w:t>(c)</w:t>
      </w:r>
      <w:r w:rsidRPr="00C21F22">
        <w:rPr>
          <w:rFonts w:ascii="Arial" w:hAnsi="Arial" w:cs="Arial"/>
          <w:szCs w:val="22"/>
        </w:rPr>
        <w:tab/>
        <w:t xml:space="preserve">the form and manner in which, and the time within which, submissions may or must be made to </w:t>
      </w:r>
      <w:r w:rsidR="00C21F22">
        <w:rPr>
          <w:rFonts w:ascii="Arial" w:hAnsi="Arial" w:cs="Arial"/>
          <w:szCs w:val="22"/>
        </w:rPr>
        <w:t>the Commission</w:t>
      </w:r>
      <w:r w:rsidRPr="00C21F22">
        <w:rPr>
          <w:rFonts w:ascii="Arial" w:hAnsi="Arial" w:cs="Arial"/>
          <w:szCs w:val="22"/>
        </w:rPr>
        <w:t>;</w:t>
      </w:r>
    </w:p>
    <w:p w:rsidR="00450F78" w:rsidRPr="00C21F22" w:rsidRDefault="00450F78" w:rsidP="00C21F22">
      <w:pPr>
        <w:pStyle w:val="paragraph"/>
        <w:tabs>
          <w:tab w:val="clear" w:pos="1531"/>
        </w:tabs>
        <w:spacing w:after="200" w:line="276" w:lineRule="auto"/>
        <w:ind w:left="1440" w:hanging="720"/>
        <w:rPr>
          <w:rFonts w:ascii="Arial" w:hAnsi="Arial" w:cs="Arial"/>
          <w:szCs w:val="22"/>
        </w:rPr>
      </w:pPr>
      <w:r w:rsidRPr="00C21F22">
        <w:rPr>
          <w:rFonts w:ascii="Arial" w:hAnsi="Arial" w:cs="Arial"/>
          <w:szCs w:val="22"/>
        </w:rPr>
        <w:t>(d)</w:t>
      </w:r>
      <w:r w:rsidRPr="00C21F22">
        <w:rPr>
          <w:rFonts w:ascii="Arial" w:hAnsi="Arial" w:cs="Arial"/>
          <w:szCs w:val="22"/>
        </w:rPr>
        <w:tab/>
        <w:t xml:space="preserve">the procedural requirements for making decisions of </w:t>
      </w:r>
      <w:r w:rsidR="00C21F22">
        <w:rPr>
          <w:rFonts w:ascii="Arial" w:hAnsi="Arial" w:cs="Arial"/>
          <w:szCs w:val="22"/>
        </w:rPr>
        <w:t>the Commission</w:t>
      </w:r>
      <w:r w:rsidRPr="00C21F22">
        <w:rPr>
          <w:rFonts w:ascii="Arial" w:hAnsi="Arial" w:cs="Arial"/>
          <w:szCs w:val="22"/>
        </w:rPr>
        <w:t>;</w:t>
      </w:r>
    </w:p>
    <w:p w:rsidR="00450F78" w:rsidRPr="00C21F22" w:rsidRDefault="00450F78" w:rsidP="00C21F22">
      <w:pPr>
        <w:pStyle w:val="paragraph"/>
        <w:tabs>
          <w:tab w:val="clear" w:pos="1531"/>
        </w:tabs>
        <w:spacing w:after="200" w:line="276" w:lineRule="auto"/>
        <w:ind w:left="1440" w:hanging="720"/>
        <w:rPr>
          <w:rFonts w:ascii="Arial" w:hAnsi="Arial" w:cs="Arial"/>
          <w:szCs w:val="22"/>
        </w:rPr>
      </w:pPr>
      <w:r w:rsidRPr="00C21F22">
        <w:rPr>
          <w:rFonts w:ascii="Arial" w:hAnsi="Arial" w:cs="Arial"/>
          <w:szCs w:val="22"/>
        </w:rPr>
        <w:t>(e)</w:t>
      </w:r>
      <w:r w:rsidRPr="00C21F22">
        <w:rPr>
          <w:rFonts w:ascii="Arial" w:hAnsi="Arial" w:cs="Arial"/>
          <w:szCs w:val="22"/>
        </w:rPr>
        <w:tab/>
        <w:t xml:space="preserve">the form and manner in which </w:t>
      </w:r>
      <w:r w:rsidR="00C21F22">
        <w:rPr>
          <w:rFonts w:ascii="Arial" w:hAnsi="Arial" w:cs="Arial"/>
          <w:szCs w:val="22"/>
        </w:rPr>
        <w:t>the Commission</w:t>
      </w:r>
      <w:r w:rsidRPr="00C21F22">
        <w:rPr>
          <w:rFonts w:ascii="Arial" w:hAnsi="Arial" w:cs="Arial"/>
          <w:szCs w:val="22"/>
        </w:rPr>
        <w:t xml:space="preserve"> gives directions and notifies persons of things;</w:t>
      </w:r>
    </w:p>
    <w:p w:rsidR="00450F78" w:rsidRPr="00C21F22" w:rsidRDefault="00450F78" w:rsidP="00C21F22">
      <w:pPr>
        <w:pStyle w:val="paragraph"/>
        <w:tabs>
          <w:tab w:val="clear" w:pos="1531"/>
        </w:tabs>
        <w:spacing w:after="200" w:line="276" w:lineRule="auto"/>
        <w:ind w:left="1440" w:hanging="720"/>
        <w:rPr>
          <w:rFonts w:ascii="Arial" w:hAnsi="Arial" w:cs="Arial"/>
          <w:szCs w:val="22"/>
        </w:rPr>
      </w:pPr>
      <w:r w:rsidRPr="00C21F22">
        <w:rPr>
          <w:rFonts w:ascii="Arial" w:hAnsi="Arial" w:cs="Arial"/>
          <w:szCs w:val="22"/>
        </w:rPr>
        <w:t>(f)</w:t>
      </w:r>
      <w:r w:rsidRPr="00C21F22">
        <w:rPr>
          <w:rFonts w:ascii="Arial" w:hAnsi="Arial" w:cs="Arial"/>
          <w:szCs w:val="22"/>
        </w:rPr>
        <w:tab/>
        <w:t xml:space="preserve">who is notified by </w:t>
      </w:r>
      <w:r w:rsidR="00C21F22">
        <w:rPr>
          <w:rFonts w:ascii="Arial" w:hAnsi="Arial" w:cs="Arial"/>
          <w:szCs w:val="22"/>
        </w:rPr>
        <w:t>Commission</w:t>
      </w:r>
      <w:r w:rsidRPr="00C21F22">
        <w:rPr>
          <w:rFonts w:ascii="Arial" w:hAnsi="Arial" w:cs="Arial"/>
          <w:szCs w:val="22"/>
        </w:rPr>
        <w:t xml:space="preserve"> of things;</w:t>
      </w:r>
    </w:p>
    <w:p w:rsidR="00450F78" w:rsidRPr="00C21F22" w:rsidRDefault="00450F78" w:rsidP="00C21F22">
      <w:pPr>
        <w:pStyle w:val="paragraph"/>
        <w:tabs>
          <w:tab w:val="clear" w:pos="1531"/>
        </w:tabs>
        <w:spacing w:after="200" w:line="276" w:lineRule="auto"/>
        <w:ind w:left="1440" w:hanging="720"/>
        <w:rPr>
          <w:rFonts w:ascii="Arial" w:hAnsi="Arial" w:cs="Arial"/>
          <w:szCs w:val="22"/>
        </w:rPr>
      </w:pPr>
      <w:r w:rsidRPr="00C21F22">
        <w:rPr>
          <w:rFonts w:ascii="Arial" w:hAnsi="Arial" w:cs="Arial"/>
          <w:szCs w:val="22"/>
        </w:rPr>
        <w:t>(g)</w:t>
      </w:r>
      <w:r w:rsidRPr="00C21F22">
        <w:rPr>
          <w:rFonts w:ascii="Arial" w:hAnsi="Arial" w:cs="Arial"/>
          <w:szCs w:val="22"/>
        </w:rPr>
        <w:tab/>
        <w:t>the manner in which conferences are to be conducted in relation to applications made under Part 3</w:t>
      </w:r>
      <w:r w:rsidRPr="00C21F22">
        <w:rPr>
          <w:rFonts w:ascii="Arial" w:hAnsi="Arial" w:cs="Arial"/>
          <w:szCs w:val="22"/>
        </w:rPr>
        <w:noBreakHyphen/>
        <w:t>1, 3</w:t>
      </w:r>
      <w:r w:rsidRPr="00C21F22">
        <w:rPr>
          <w:rFonts w:ascii="Arial" w:hAnsi="Arial" w:cs="Arial"/>
          <w:szCs w:val="22"/>
        </w:rPr>
        <w:noBreakHyphen/>
        <w:t>2 or Part 6</w:t>
      </w:r>
      <w:r w:rsidRPr="00C21F22">
        <w:rPr>
          <w:rFonts w:ascii="Arial" w:hAnsi="Arial" w:cs="Arial"/>
          <w:szCs w:val="22"/>
        </w:rPr>
        <w:noBreakHyphen/>
        <w:t>4 (which deal with general protections, unfair dismissal and unlawful termination).</w:t>
      </w:r>
    </w:p>
    <w:p w:rsidR="00C43A31" w:rsidRDefault="00C43A31" w:rsidP="00C43A31">
      <w:pPr>
        <w:keepNext/>
        <w:spacing w:before="40"/>
        <w:rPr>
          <w:rFonts w:ascii="Arial" w:hAnsi="Arial" w:cs="Arial"/>
          <w:sz w:val="22"/>
          <w:szCs w:val="22"/>
        </w:rPr>
      </w:pPr>
      <w:r>
        <w:rPr>
          <w:rFonts w:ascii="Arial" w:hAnsi="Arial" w:cs="Arial"/>
          <w:b/>
          <w:sz w:val="22"/>
          <w:szCs w:val="22"/>
        </w:rPr>
        <w:t>Consultation on the Rules</w:t>
      </w:r>
    </w:p>
    <w:p w:rsidR="00C43A31" w:rsidRDefault="00C43A31" w:rsidP="00C21F22">
      <w:pPr>
        <w:spacing w:before="40"/>
        <w:rPr>
          <w:rFonts w:ascii="Arial" w:hAnsi="Arial" w:cs="Arial"/>
          <w:sz w:val="22"/>
          <w:szCs w:val="22"/>
        </w:rPr>
      </w:pPr>
      <w:r>
        <w:rPr>
          <w:rFonts w:ascii="Arial" w:hAnsi="Arial" w:cs="Arial"/>
          <w:sz w:val="22"/>
          <w:szCs w:val="22"/>
        </w:rPr>
        <w:t>As required by section 609 of the Act, the President consulted wit</w:t>
      </w:r>
      <w:r w:rsidR="00767BB2">
        <w:rPr>
          <w:rFonts w:ascii="Arial" w:hAnsi="Arial" w:cs="Arial"/>
          <w:sz w:val="22"/>
          <w:szCs w:val="22"/>
        </w:rPr>
        <w:t>h all Members of the Commission</w:t>
      </w:r>
      <w:r w:rsidR="000C7993">
        <w:rPr>
          <w:rFonts w:ascii="Arial" w:hAnsi="Arial" w:cs="Arial"/>
          <w:sz w:val="22"/>
          <w:szCs w:val="22"/>
        </w:rPr>
        <w:t xml:space="preserve"> </w:t>
      </w:r>
      <w:r>
        <w:rPr>
          <w:rFonts w:ascii="Arial" w:hAnsi="Arial" w:cs="Arial"/>
          <w:sz w:val="22"/>
          <w:szCs w:val="22"/>
        </w:rPr>
        <w:t xml:space="preserve">concerning the </w:t>
      </w:r>
      <w:r>
        <w:rPr>
          <w:rFonts w:ascii="Arial" w:hAnsi="Arial" w:cs="Arial"/>
          <w:i/>
          <w:sz w:val="22"/>
          <w:szCs w:val="22"/>
        </w:rPr>
        <w:t xml:space="preserve">Fair Work Commission </w:t>
      </w:r>
      <w:r w:rsidR="003A2C3D">
        <w:rPr>
          <w:rFonts w:ascii="Arial" w:hAnsi="Arial" w:cs="Arial"/>
          <w:i/>
          <w:sz w:val="22"/>
          <w:szCs w:val="22"/>
        </w:rPr>
        <w:t>Amendment (Anti-</w:t>
      </w:r>
      <w:r w:rsidR="00CB1DD1">
        <w:rPr>
          <w:rFonts w:ascii="Arial" w:hAnsi="Arial" w:cs="Arial"/>
          <w:i/>
          <w:sz w:val="22"/>
          <w:szCs w:val="22"/>
        </w:rPr>
        <w:t>B</w:t>
      </w:r>
      <w:r w:rsidR="003A2C3D">
        <w:rPr>
          <w:rFonts w:ascii="Arial" w:hAnsi="Arial" w:cs="Arial"/>
          <w:i/>
          <w:sz w:val="22"/>
          <w:szCs w:val="22"/>
        </w:rPr>
        <w:t>ullying</w:t>
      </w:r>
      <w:r w:rsidR="00767BB2">
        <w:rPr>
          <w:rFonts w:ascii="Arial" w:hAnsi="Arial" w:cs="Arial"/>
          <w:i/>
          <w:sz w:val="22"/>
          <w:szCs w:val="22"/>
        </w:rPr>
        <w:t xml:space="preserve"> and Other Measures</w:t>
      </w:r>
      <w:r w:rsidR="003A2C3D">
        <w:rPr>
          <w:rFonts w:ascii="Arial" w:hAnsi="Arial" w:cs="Arial"/>
          <w:i/>
          <w:sz w:val="22"/>
          <w:szCs w:val="22"/>
        </w:rPr>
        <w:t xml:space="preserve">) </w:t>
      </w:r>
      <w:r>
        <w:rPr>
          <w:rFonts w:ascii="Arial" w:hAnsi="Arial" w:cs="Arial"/>
          <w:i/>
          <w:sz w:val="22"/>
          <w:szCs w:val="22"/>
        </w:rPr>
        <w:t>Rules 2013</w:t>
      </w:r>
      <w:r>
        <w:rPr>
          <w:rFonts w:ascii="Arial" w:hAnsi="Arial" w:cs="Arial"/>
          <w:sz w:val="22"/>
          <w:szCs w:val="22"/>
        </w:rPr>
        <w:t xml:space="preserve"> (Rules).</w:t>
      </w:r>
      <w:r w:rsidR="00767BB2">
        <w:rPr>
          <w:rFonts w:ascii="Arial" w:hAnsi="Arial" w:cs="Arial"/>
          <w:sz w:val="22"/>
          <w:szCs w:val="22"/>
        </w:rPr>
        <w:t xml:space="preserve">  On 4 December 2013 the President provided all Members </w:t>
      </w:r>
      <w:r w:rsidR="00767BB2">
        <w:rPr>
          <w:rFonts w:ascii="Arial" w:hAnsi="Arial" w:cs="Arial"/>
          <w:sz w:val="22"/>
          <w:szCs w:val="22"/>
        </w:rPr>
        <w:lastRenderedPageBreak/>
        <w:t>of the Commission with the draft Rules and sought comment from Members by 12 December 2013.</w:t>
      </w:r>
    </w:p>
    <w:p w:rsidR="00C43A31" w:rsidRDefault="00C43A31" w:rsidP="00C21F22">
      <w:pPr>
        <w:spacing w:before="40"/>
        <w:rPr>
          <w:rFonts w:ascii="Arial" w:hAnsi="Arial" w:cs="Arial"/>
          <w:sz w:val="22"/>
          <w:szCs w:val="22"/>
        </w:rPr>
      </w:pPr>
      <w:r>
        <w:rPr>
          <w:rFonts w:ascii="Arial" w:hAnsi="Arial" w:cs="Arial"/>
          <w:sz w:val="22"/>
          <w:szCs w:val="22"/>
        </w:rPr>
        <w:t xml:space="preserve">In addition, pursuant to section 17 of the </w:t>
      </w:r>
      <w:r>
        <w:rPr>
          <w:rFonts w:ascii="Arial" w:hAnsi="Arial" w:cs="Arial"/>
          <w:i/>
          <w:sz w:val="22"/>
          <w:szCs w:val="22"/>
        </w:rPr>
        <w:t>Legislative Instruments Act 2003</w:t>
      </w:r>
      <w:r>
        <w:rPr>
          <w:rFonts w:ascii="Arial" w:hAnsi="Arial" w:cs="Arial"/>
          <w:sz w:val="22"/>
          <w:szCs w:val="22"/>
        </w:rPr>
        <w:t xml:space="preserve"> (Cth), the President consulted with persons (or their representatives) who are likely to be affected by the instrument, as set out below.</w:t>
      </w:r>
      <w:r w:rsidR="00E903C4">
        <w:rPr>
          <w:rFonts w:ascii="Arial" w:hAnsi="Arial" w:cs="Arial"/>
          <w:sz w:val="22"/>
          <w:szCs w:val="22"/>
        </w:rPr>
        <w:t xml:space="preserve">  </w:t>
      </w:r>
      <w:r w:rsidR="000C7993">
        <w:rPr>
          <w:rFonts w:ascii="Arial" w:hAnsi="Arial" w:cs="Arial"/>
          <w:sz w:val="22"/>
          <w:szCs w:val="22"/>
        </w:rPr>
        <w:t xml:space="preserve">On </w:t>
      </w:r>
      <w:r w:rsidR="003A2C3D">
        <w:rPr>
          <w:rFonts w:ascii="Arial" w:hAnsi="Arial" w:cs="Arial"/>
          <w:sz w:val="22"/>
          <w:szCs w:val="22"/>
        </w:rPr>
        <w:t>5</w:t>
      </w:r>
      <w:r w:rsidR="000C7993">
        <w:rPr>
          <w:rFonts w:ascii="Arial" w:hAnsi="Arial" w:cs="Arial"/>
          <w:sz w:val="22"/>
          <w:szCs w:val="22"/>
        </w:rPr>
        <w:t> </w:t>
      </w:r>
      <w:r w:rsidR="003A2C3D">
        <w:rPr>
          <w:rFonts w:ascii="Arial" w:hAnsi="Arial" w:cs="Arial"/>
          <w:sz w:val="22"/>
          <w:szCs w:val="22"/>
        </w:rPr>
        <w:t>December</w:t>
      </w:r>
      <w:r w:rsidR="000C7993">
        <w:rPr>
          <w:rFonts w:ascii="Arial" w:hAnsi="Arial" w:cs="Arial"/>
          <w:sz w:val="22"/>
          <w:szCs w:val="22"/>
        </w:rPr>
        <w:t xml:space="preserve"> 2013 a draft of the Rules was published on the Commission’s website for public consultation.  Comments and suggestions were sought from interested persons by </w:t>
      </w:r>
      <w:r w:rsidR="003A2C3D">
        <w:rPr>
          <w:rFonts w:ascii="Arial" w:hAnsi="Arial" w:cs="Arial"/>
          <w:sz w:val="22"/>
          <w:szCs w:val="22"/>
        </w:rPr>
        <w:t>12 December</w:t>
      </w:r>
      <w:r w:rsidR="000C7993">
        <w:rPr>
          <w:rFonts w:ascii="Arial" w:hAnsi="Arial" w:cs="Arial"/>
          <w:sz w:val="22"/>
          <w:szCs w:val="22"/>
        </w:rPr>
        <w:t xml:space="preserve"> 2013.  </w:t>
      </w:r>
    </w:p>
    <w:p w:rsidR="000C7993" w:rsidRDefault="000C7993" w:rsidP="00767BB2">
      <w:pPr>
        <w:shd w:val="clear" w:color="auto" w:fill="FFFFFF" w:themeFill="background1"/>
        <w:spacing w:before="40"/>
        <w:rPr>
          <w:rFonts w:ascii="Arial" w:hAnsi="Arial" w:cs="Arial"/>
          <w:sz w:val="22"/>
          <w:szCs w:val="22"/>
        </w:rPr>
      </w:pPr>
      <w:r w:rsidRPr="00767BB2">
        <w:rPr>
          <w:rFonts w:ascii="Arial" w:hAnsi="Arial" w:cs="Arial"/>
          <w:sz w:val="22"/>
          <w:szCs w:val="22"/>
        </w:rPr>
        <w:t xml:space="preserve">Comments were received from </w:t>
      </w:r>
      <w:r w:rsidR="00767BB2" w:rsidRPr="00767BB2">
        <w:rPr>
          <w:rFonts w:ascii="Arial" w:hAnsi="Arial" w:cs="Arial"/>
          <w:sz w:val="22"/>
          <w:szCs w:val="22"/>
        </w:rPr>
        <w:t>the Australian Council of Trade Unions and from the Law Society of New South Wales</w:t>
      </w:r>
      <w:r w:rsidRPr="00767BB2">
        <w:rPr>
          <w:rFonts w:ascii="Arial" w:hAnsi="Arial" w:cs="Arial"/>
          <w:sz w:val="22"/>
          <w:szCs w:val="22"/>
        </w:rPr>
        <w:t>.</w:t>
      </w:r>
    </w:p>
    <w:p w:rsidR="000C7993" w:rsidRDefault="000C7993" w:rsidP="00C21F22">
      <w:pPr>
        <w:spacing w:before="40"/>
        <w:rPr>
          <w:rFonts w:ascii="Arial" w:hAnsi="Arial" w:cs="Arial"/>
          <w:sz w:val="22"/>
          <w:szCs w:val="22"/>
        </w:rPr>
      </w:pPr>
      <w:r>
        <w:rPr>
          <w:rFonts w:ascii="Arial" w:hAnsi="Arial" w:cs="Arial"/>
          <w:sz w:val="22"/>
          <w:szCs w:val="22"/>
        </w:rPr>
        <w:t>Following consultation both with Members of the Commission and with the general public, the President is satisfied that</w:t>
      </w:r>
      <w:r w:rsidR="00645F24">
        <w:rPr>
          <w:rFonts w:ascii="Arial" w:hAnsi="Arial" w:cs="Arial"/>
          <w:sz w:val="22"/>
          <w:szCs w:val="22"/>
        </w:rPr>
        <w:t xml:space="preserve"> the comments which have been received have been incorporated, where appropriate, in the Rules.  </w:t>
      </w:r>
    </w:p>
    <w:p w:rsidR="00645F24" w:rsidRDefault="00645F24" w:rsidP="00C21F22">
      <w:pPr>
        <w:spacing w:before="40"/>
        <w:rPr>
          <w:rFonts w:ascii="Arial" w:hAnsi="Arial" w:cs="Arial"/>
          <w:sz w:val="22"/>
          <w:szCs w:val="22"/>
        </w:rPr>
      </w:pPr>
      <w:r>
        <w:rPr>
          <w:rFonts w:ascii="Arial" w:hAnsi="Arial" w:cs="Arial"/>
          <w:sz w:val="22"/>
          <w:szCs w:val="22"/>
        </w:rPr>
        <w:t>The President does not believe that the Rules will have a substantial direct, or substantial indirect, effect on business or restrict competition.</w:t>
      </w:r>
    </w:p>
    <w:p w:rsidR="00645F24" w:rsidRDefault="00D841D5" w:rsidP="00C21F22">
      <w:pPr>
        <w:spacing w:before="40"/>
        <w:rPr>
          <w:rFonts w:ascii="Arial" w:hAnsi="Arial" w:cs="Arial"/>
          <w:sz w:val="22"/>
          <w:szCs w:val="22"/>
        </w:rPr>
      </w:pPr>
      <w:r>
        <w:rPr>
          <w:rFonts w:ascii="Arial" w:hAnsi="Arial" w:cs="Arial"/>
          <w:sz w:val="22"/>
          <w:szCs w:val="22"/>
        </w:rPr>
        <w:t>The President is satisfied that the consultation process was suitable, having drawn upon the knowledge of persons with expertise in fields that are relevant to the proposed instrument and having ensured that persons who are likely to be affected by the proposed instrument have had an opportunity to comment.</w:t>
      </w:r>
    </w:p>
    <w:p w:rsidR="00D42038" w:rsidRPr="00A656CF" w:rsidRDefault="00450F78" w:rsidP="00E734CB">
      <w:pPr>
        <w:keepNext/>
        <w:pageBreakBefore/>
        <w:spacing w:before="40"/>
        <w:rPr>
          <w:rFonts w:ascii="Arial" w:hAnsi="Arial" w:cs="Arial"/>
          <w:b/>
          <w:szCs w:val="22"/>
        </w:rPr>
      </w:pPr>
      <w:r w:rsidRPr="00A656CF">
        <w:rPr>
          <w:rFonts w:ascii="Arial" w:hAnsi="Arial" w:cs="Arial"/>
          <w:b/>
          <w:szCs w:val="22"/>
        </w:rPr>
        <w:lastRenderedPageBreak/>
        <w:t>Purpose</w:t>
      </w:r>
    </w:p>
    <w:p w:rsidR="00E903C4" w:rsidRDefault="00573CDB" w:rsidP="00C21F22">
      <w:pPr>
        <w:spacing w:before="40"/>
        <w:rPr>
          <w:rFonts w:ascii="Arial" w:hAnsi="Arial" w:cs="Arial"/>
          <w:sz w:val="22"/>
          <w:szCs w:val="22"/>
        </w:rPr>
      </w:pPr>
      <w:r>
        <w:rPr>
          <w:rFonts w:ascii="Arial" w:hAnsi="Arial" w:cs="Arial"/>
          <w:sz w:val="22"/>
          <w:szCs w:val="22"/>
        </w:rPr>
        <w:t>A</w:t>
      </w:r>
      <w:r w:rsidR="003A2C3D">
        <w:rPr>
          <w:rFonts w:ascii="Arial" w:hAnsi="Arial" w:cs="Arial"/>
          <w:sz w:val="22"/>
          <w:szCs w:val="22"/>
        </w:rPr>
        <w:t xml:space="preserve">mendments have been made to the </w:t>
      </w:r>
      <w:r w:rsidR="003A2C3D">
        <w:rPr>
          <w:rFonts w:ascii="Arial" w:hAnsi="Arial" w:cs="Arial"/>
          <w:i/>
          <w:sz w:val="22"/>
          <w:szCs w:val="22"/>
        </w:rPr>
        <w:t>Fair Work Commission Rules 2013</w:t>
      </w:r>
      <w:r w:rsidR="003A2C3D">
        <w:rPr>
          <w:rFonts w:ascii="Arial" w:hAnsi="Arial" w:cs="Arial"/>
          <w:sz w:val="22"/>
          <w:szCs w:val="22"/>
        </w:rPr>
        <w:t xml:space="preserve"> arising from amendments that were made to the Act by the </w:t>
      </w:r>
      <w:r w:rsidR="003A2C3D">
        <w:rPr>
          <w:rFonts w:ascii="Arial" w:hAnsi="Arial" w:cs="Arial"/>
          <w:i/>
          <w:sz w:val="22"/>
          <w:szCs w:val="22"/>
        </w:rPr>
        <w:t>Fair Work Amendment Act 2013</w:t>
      </w:r>
      <w:r w:rsidR="00767BB2">
        <w:rPr>
          <w:rFonts w:ascii="Arial" w:hAnsi="Arial" w:cs="Arial"/>
          <w:sz w:val="22"/>
          <w:szCs w:val="22"/>
        </w:rPr>
        <w:t xml:space="preserve">.  Amendments to the </w:t>
      </w:r>
      <w:r w:rsidR="00767BB2">
        <w:rPr>
          <w:rFonts w:ascii="Arial" w:hAnsi="Arial" w:cs="Arial"/>
          <w:i/>
          <w:sz w:val="22"/>
          <w:szCs w:val="22"/>
        </w:rPr>
        <w:t>Fair Work Commission Rules 2013</w:t>
      </w:r>
      <w:r w:rsidR="00767BB2">
        <w:rPr>
          <w:rFonts w:ascii="Arial" w:hAnsi="Arial" w:cs="Arial"/>
          <w:sz w:val="22"/>
          <w:szCs w:val="22"/>
        </w:rPr>
        <w:t xml:space="preserve"> principally concern </w:t>
      </w:r>
      <w:r w:rsidR="003A2C3D">
        <w:rPr>
          <w:rFonts w:ascii="Arial" w:hAnsi="Arial" w:cs="Arial"/>
          <w:sz w:val="22"/>
          <w:szCs w:val="22"/>
        </w:rPr>
        <w:t>commencement of the Commission’s anti</w:t>
      </w:r>
      <w:r w:rsidR="003A2C3D">
        <w:rPr>
          <w:rFonts w:ascii="Arial" w:hAnsi="Arial" w:cs="Arial"/>
          <w:sz w:val="22"/>
          <w:szCs w:val="22"/>
        </w:rPr>
        <w:noBreakHyphen/>
        <w:t>bullying jurisdiction</w:t>
      </w:r>
      <w:r w:rsidR="00767BB2">
        <w:rPr>
          <w:rFonts w:ascii="Arial" w:hAnsi="Arial" w:cs="Arial"/>
          <w:sz w:val="22"/>
          <w:szCs w:val="22"/>
        </w:rPr>
        <w:t xml:space="preserve"> on 1 January 2014, although amendments also reflect other provisions of the </w:t>
      </w:r>
      <w:r w:rsidR="00767BB2">
        <w:rPr>
          <w:rFonts w:ascii="Arial" w:hAnsi="Arial" w:cs="Arial"/>
          <w:i/>
          <w:sz w:val="22"/>
          <w:szCs w:val="22"/>
        </w:rPr>
        <w:t>Fair Work Amendment Act 2013</w:t>
      </w:r>
      <w:r w:rsidR="00767BB2">
        <w:rPr>
          <w:rFonts w:ascii="Arial" w:hAnsi="Arial" w:cs="Arial"/>
          <w:sz w:val="22"/>
          <w:szCs w:val="22"/>
        </w:rPr>
        <w:t>, such as the capacity of the Commission to order costs under sections 375B and 779A of the Act from 1 January 2014</w:t>
      </w:r>
      <w:r w:rsidR="003A2C3D">
        <w:rPr>
          <w:rFonts w:ascii="Arial" w:hAnsi="Arial" w:cs="Arial"/>
          <w:sz w:val="22"/>
          <w:szCs w:val="22"/>
        </w:rPr>
        <w:t xml:space="preserve">.  </w:t>
      </w:r>
    </w:p>
    <w:p w:rsidR="003A2C3D" w:rsidRDefault="003A2C3D" w:rsidP="00C21F22">
      <w:pPr>
        <w:spacing w:before="40"/>
        <w:rPr>
          <w:rFonts w:ascii="Arial" w:hAnsi="Arial" w:cs="Arial"/>
          <w:sz w:val="22"/>
          <w:szCs w:val="22"/>
        </w:rPr>
      </w:pPr>
      <w:r>
        <w:rPr>
          <w:rFonts w:ascii="Arial" w:hAnsi="Arial" w:cs="Arial"/>
          <w:sz w:val="22"/>
          <w:szCs w:val="22"/>
        </w:rPr>
        <w:t>After consulting with Commission Members and the general public, the President has made the following procedural Rules.</w:t>
      </w:r>
    </w:p>
    <w:p w:rsidR="00450F78" w:rsidRPr="00C21F22" w:rsidRDefault="00450F78" w:rsidP="00514D37">
      <w:pPr>
        <w:keepNext/>
        <w:spacing w:before="40"/>
        <w:rPr>
          <w:rFonts w:ascii="Arial" w:hAnsi="Arial" w:cs="Arial"/>
          <w:b/>
          <w:sz w:val="22"/>
          <w:szCs w:val="22"/>
        </w:rPr>
      </w:pPr>
      <w:r w:rsidRPr="00C21F22">
        <w:rPr>
          <w:rFonts w:ascii="Arial" w:hAnsi="Arial" w:cs="Arial"/>
          <w:b/>
          <w:sz w:val="22"/>
          <w:szCs w:val="22"/>
        </w:rPr>
        <w:t>Part</w:t>
      </w:r>
      <w:r w:rsidR="003606FB" w:rsidRPr="00C21F22">
        <w:rPr>
          <w:rFonts w:ascii="Arial" w:hAnsi="Arial" w:cs="Arial"/>
          <w:b/>
          <w:sz w:val="22"/>
          <w:szCs w:val="22"/>
        </w:rPr>
        <w:t xml:space="preserve"> </w:t>
      </w:r>
      <w:r w:rsidRPr="00C21F22">
        <w:rPr>
          <w:rFonts w:ascii="Arial" w:hAnsi="Arial" w:cs="Arial"/>
          <w:b/>
          <w:sz w:val="22"/>
          <w:szCs w:val="22"/>
        </w:rPr>
        <w:t>1</w:t>
      </w:r>
      <w:r w:rsidR="003606FB" w:rsidRPr="00C21F22">
        <w:rPr>
          <w:rFonts w:ascii="Arial" w:hAnsi="Arial" w:cs="Arial"/>
          <w:b/>
          <w:sz w:val="22"/>
          <w:szCs w:val="22"/>
        </w:rPr>
        <w:t>—</w:t>
      </w:r>
      <w:r w:rsidRPr="00C21F22">
        <w:rPr>
          <w:rFonts w:ascii="Arial" w:hAnsi="Arial" w:cs="Arial"/>
          <w:b/>
          <w:sz w:val="22"/>
          <w:szCs w:val="22"/>
        </w:rPr>
        <w:t>General</w:t>
      </w:r>
    </w:p>
    <w:p w:rsidR="003A2C3D" w:rsidRPr="00C21F22" w:rsidRDefault="003A2C3D" w:rsidP="003A2C3D">
      <w:pPr>
        <w:spacing w:before="40"/>
        <w:rPr>
          <w:rFonts w:ascii="Arial" w:hAnsi="Arial" w:cs="Arial"/>
          <w:sz w:val="22"/>
          <w:szCs w:val="22"/>
        </w:rPr>
      </w:pPr>
      <w:r w:rsidRPr="00C21F22">
        <w:rPr>
          <w:rFonts w:ascii="Arial" w:hAnsi="Arial" w:cs="Arial"/>
          <w:sz w:val="22"/>
          <w:szCs w:val="22"/>
        </w:rPr>
        <w:t xml:space="preserve">Rule 1 </w:t>
      </w:r>
      <w:r>
        <w:rPr>
          <w:rFonts w:ascii="Arial" w:hAnsi="Arial" w:cs="Arial"/>
          <w:sz w:val="22"/>
          <w:szCs w:val="22"/>
        </w:rPr>
        <w:t>is a formal provision stating the name of the</w:t>
      </w:r>
      <w:r w:rsidRPr="00C21F22">
        <w:rPr>
          <w:rFonts w:ascii="Arial" w:hAnsi="Arial" w:cs="Arial"/>
          <w:sz w:val="22"/>
          <w:szCs w:val="22"/>
        </w:rPr>
        <w:t xml:space="preserve"> Rules.</w:t>
      </w:r>
    </w:p>
    <w:p w:rsidR="003A2C3D" w:rsidRDefault="003A2C3D" w:rsidP="00C21F22">
      <w:pPr>
        <w:spacing w:before="40"/>
        <w:rPr>
          <w:rFonts w:ascii="Arial" w:hAnsi="Arial" w:cs="Arial"/>
          <w:sz w:val="22"/>
          <w:szCs w:val="22"/>
        </w:rPr>
      </w:pPr>
      <w:r>
        <w:rPr>
          <w:rFonts w:ascii="Arial" w:hAnsi="Arial" w:cs="Arial"/>
          <w:sz w:val="22"/>
          <w:szCs w:val="22"/>
        </w:rPr>
        <w:t>Rule 2 provides the date the Rules will commence, being 1 January 2014.</w:t>
      </w:r>
    </w:p>
    <w:p w:rsidR="003A2C3D" w:rsidRDefault="003A2C3D" w:rsidP="003A2C3D">
      <w:pPr>
        <w:spacing w:before="40"/>
        <w:rPr>
          <w:rFonts w:ascii="Arial" w:hAnsi="Arial" w:cs="Arial"/>
          <w:sz w:val="22"/>
          <w:szCs w:val="22"/>
        </w:rPr>
      </w:pPr>
      <w:r w:rsidRPr="00C21F22">
        <w:rPr>
          <w:rFonts w:ascii="Arial" w:hAnsi="Arial" w:cs="Arial"/>
          <w:sz w:val="22"/>
          <w:szCs w:val="22"/>
        </w:rPr>
        <w:t xml:space="preserve">Rule 3 </w:t>
      </w:r>
      <w:r>
        <w:rPr>
          <w:rFonts w:ascii="Arial" w:hAnsi="Arial" w:cs="Arial"/>
          <w:sz w:val="22"/>
          <w:szCs w:val="22"/>
        </w:rPr>
        <w:t>provides that the Rules are made under the Act.</w:t>
      </w:r>
    </w:p>
    <w:p w:rsidR="003A2C3D" w:rsidRDefault="003A2C3D" w:rsidP="00C21F22">
      <w:pPr>
        <w:spacing w:before="40"/>
        <w:rPr>
          <w:rFonts w:ascii="Arial" w:hAnsi="Arial" w:cs="Arial"/>
          <w:sz w:val="22"/>
          <w:szCs w:val="22"/>
        </w:rPr>
      </w:pPr>
      <w:r>
        <w:rPr>
          <w:rFonts w:ascii="Arial" w:hAnsi="Arial" w:cs="Arial"/>
          <w:sz w:val="22"/>
          <w:szCs w:val="22"/>
        </w:rPr>
        <w:t xml:space="preserve">Rule 4 is a formal provision, providing that the </w:t>
      </w:r>
      <w:r>
        <w:rPr>
          <w:rFonts w:ascii="Arial" w:hAnsi="Arial" w:cs="Arial"/>
          <w:i/>
          <w:sz w:val="22"/>
          <w:szCs w:val="22"/>
        </w:rPr>
        <w:t>Fair Work Commission Rules</w:t>
      </w:r>
      <w:r>
        <w:rPr>
          <w:rFonts w:ascii="Arial" w:hAnsi="Arial" w:cs="Arial"/>
          <w:sz w:val="22"/>
          <w:szCs w:val="22"/>
        </w:rPr>
        <w:t xml:space="preserve"> are amended as set out</w:t>
      </w:r>
      <w:r w:rsidR="005C4A62">
        <w:rPr>
          <w:rFonts w:ascii="Arial" w:hAnsi="Arial" w:cs="Arial"/>
          <w:sz w:val="22"/>
          <w:szCs w:val="22"/>
        </w:rPr>
        <w:t xml:space="preserve"> in Schedule 1 to the Rules.</w:t>
      </w:r>
    </w:p>
    <w:p w:rsidR="005C4A62" w:rsidRDefault="005C4A62" w:rsidP="00C21F22">
      <w:pPr>
        <w:spacing w:before="40"/>
        <w:rPr>
          <w:rFonts w:ascii="Arial" w:hAnsi="Arial" w:cs="Arial"/>
          <w:sz w:val="22"/>
          <w:szCs w:val="22"/>
        </w:rPr>
      </w:pPr>
      <w:r>
        <w:rPr>
          <w:rFonts w:ascii="Arial" w:hAnsi="Arial" w:cs="Arial"/>
          <w:b/>
          <w:sz w:val="22"/>
          <w:szCs w:val="22"/>
        </w:rPr>
        <w:t>Schedule 1</w:t>
      </w:r>
    </w:p>
    <w:p w:rsidR="005C4A62" w:rsidRDefault="005C4A62" w:rsidP="00C21F22">
      <w:pPr>
        <w:spacing w:before="40"/>
        <w:rPr>
          <w:rFonts w:ascii="Arial" w:hAnsi="Arial" w:cs="Arial"/>
          <w:sz w:val="22"/>
          <w:szCs w:val="22"/>
        </w:rPr>
      </w:pPr>
      <w:r>
        <w:rPr>
          <w:rFonts w:ascii="Arial" w:hAnsi="Arial" w:cs="Arial"/>
          <w:sz w:val="22"/>
          <w:szCs w:val="22"/>
        </w:rPr>
        <w:t>Clause 1 provides for the substitution of a new heading in rule 6.</w:t>
      </w:r>
    </w:p>
    <w:p w:rsidR="00483B67" w:rsidRDefault="005C4A62" w:rsidP="00C21F22">
      <w:pPr>
        <w:spacing w:before="40"/>
        <w:rPr>
          <w:rFonts w:ascii="Arial" w:hAnsi="Arial" w:cs="Arial"/>
          <w:sz w:val="22"/>
          <w:szCs w:val="22"/>
        </w:rPr>
      </w:pPr>
      <w:r>
        <w:rPr>
          <w:rFonts w:ascii="Arial" w:hAnsi="Arial" w:cs="Arial"/>
          <w:sz w:val="22"/>
          <w:szCs w:val="22"/>
        </w:rPr>
        <w:t>Clause 2 is a clerical provision which re</w:t>
      </w:r>
      <w:r>
        <w:rPr>
          <w:rFonts w:ascii="Arial" w:hAnsi="Arial" w:cs="Arial"/>
          <w:sz w:val="22"/>
          <w:szCs w:val="22"/>
        </w:rPr>
        <w:noBreakHyphen/>
        <w:t xml:space="preserve">numbers rule 6 to become subrule 6(1).  </w:t>
      </w:r>
    </w:p>
    <w:p w:rsidR="005C4A62" w:rsidRDefault="005C4A62" w:rsidP="00C21F22">
      <w:pPr>
        <w:spacing w:before="40"/>
        <w:rPr>
          <w:rFonts w:ascii="Arial" w:hAnsi="Arial" w:cs="Arial"/>
          <w:sz w:val="22"/>
          <w:szCs w:val="22"/>
        </w:rPr>
      </w:pPr>
      <w:r>
        <w:rPr>
          <w:rFonts w:ascii="Arial" w:hAnsi="Arial" w:cs="Arial"/>
          <w:sz w:val="22"/>
          <w:szCs w:val="22"/>
        </w:rPr>
        <w:t>Clause </w:t>
      </w:r>
      <w:r w:rsidR="00483B67">
        <w:rPr>
          <w:rFonts w:ascii="Arial" w:hAnsi="Arial" w:cs="Arial"/>
          <w:sz w:val="22"/>
          <w:szCs w:val="22"/>
        </w:rPr>
        <w:t xml:space="preserve">3 </w:t>
      </w:r>
      <w:r>
        <w:rPr>
          <w:rFonts w:ascii="Arial" w:hAnsi="Arial" w:cs="Arial"/>
          <w:sz w:val="22"/>
          <w:szCs w:val="22"/>
        </w:rPr>
        <w:t>insert</w:t>
      </w:r>
      <w:r w:rsidR="00B9192F">
        <w:rPr>
          <w:rFonts w:ascii="Arial" w:hAnsi="Arial" w:cs="Arial"/>
          <w:sz w:val="22"/>
          <w:szCs w:val="22"/>
        </w:rPr>
        <w:t>s</w:t>
      </w:r>
      <w:r>
        <w:rPr>
          <w:rFonts w:ascii="Arial" w:hAnsi="Arial" w:cs="Arial"/>
          <w:sz w:val="22"/>
          <w:szCs w:val="22"/>
        </w:rPr>
        <w:t xml:space="preserve"> a new subrule 6(2) which provides that the Commission may make an order that is inconsistent with the Rules and, in that event, the order will prevail.  A legislative note states that an order of the Commission can be given in the form of a direction.</w:t>
      </w:r>
    </w:p>
    <w:p w:rsidR="00617E55" w:rsidRPr="00617E55" w:rsidRDefault="00617E55" w:rsidP="00C21F22">
      <w:pPr>
        <w:spacing w:before="40"/>
        <w:rPr>
          <w:rFonts w:ascii="Arial" w:hAnsi="Arial" w:cs="Arial"/>
          <w:sz w:val="22"/>
          <w:szCs w:val="22"/>
        </w:rPr>
      </w:pPr>
      <w:r>
        <w:rPr>
          <w:rFonts w:ascii="Arial" w:hAnsi="Arial" w:cs="Arial"/>
          <w:sz w:val="22"/>
          <w:szCs w:val="22"/>
        </w:rPr>
        <w:t xml:space="preserve">Clause 4 provides for the inclusion of a reference to subregulation 6.07A(8) of the </w:t>
      </w:r>
      <w:r>
        <w:rPr>
          <w:rFonts w:ascii="Arial" w:hAnsi="Arial" w:cs="Arial"/>
          <w:i/>
          <w:sz w:val="22"/>
          <w:szCs w:val="22"/>
        </w:rPr>
        <w:t>Fair Work Regulations 2009</w:t>
      </w:r>
      <w:r>
        <w:rPr>
          <w:rFonts w:ascii="Arial" w:hAnsi="Arial" w:cs="Arial"/>
          <w:sz w:val="22"/>
          <w:szCs w:val="22"/>
        </w:rPr>
        <w:t xml:space="preserve"> in note 3 to subrule 10(2).  Arising from amendments contained in the </w:t>
      </w:r>
      <w:r>
        <w:rPr>
          <w:rFonts w:ascii="Arial" w:hAnsi="Arial" w:cs="Arial"/>
          <w:i/>
          <w:sz w:val="22"/>
          <w:szCs w:val="22"/>
        </w:rPr>
        <w:t xml:space="preserve">Fair Work Amendment (Anti-Bullying) Regulation 2013, </w:t>
      </w:r>
      <w:r>
        <w:rPr>
          <w:rFonts w:ascii="Arial" w:hAnsi="Arial" w:cs="Arial"/>
          <w:sz w:val="22"/>
          <w:szCs w:val="22"/>
        </w:rPr>
        <w:t>from 1 January 2014 regulation 6.07A will provide for the payment of application fees when making an application to the Commission for an order to stop bullying.  Subregulation 6.07</w:t>
      </w:r>
      <w:r w:rsidR="00BA60B6">
        <w:rPr>
          <w:rFonts w:ascii="Arial" w:hAnsi="Arial" w:cs="Arial"/>
          <w:sz w:val="22"/>
          <w:szCs w:val="22"/>
        </w:rPr>
        <w:t>A</w:t>
      </w:r>
      <w:r>
        <w:rPr>
          <w:rFonts w:ascii="Arial" w:hAnsi="Arial" w:cs="Arial"/>
          <w:sz w:val="22"/>
          <w:szCs w:val="22"/>
        </w:rPr>
        <w:t>(8) will provide for the circumstances in which a refund of that application fee is payable.</w:t>
      </w:r>
    </w:p>
    <w:p w:rsidR="00483B67" w:rsidRDefault="00483B67" w:rsidP="00483B67">
      <w:pPr>
        <w:spacing w:before="40"/>
        <w:rPr>
          <w:rFonts w:ascii="Arial" w:hAnsi="Arial" w:cs="Arial"/>
          <w:sz w:val="22"/>
          <w:szCs w:val="22"/>
        </w:rPr>
      </w:pPr>
      <w:r>
        <w:rPr>
          <w:rFonts w:ascii="Arial" w:hAnsi="Arial" w:cs="Arial"/>
          <w:sz w:val="22"/>
          <w:szCs w:val="22"/>
        </w:rPr>
        <w:t>Clause 5 provides for the substitution of a new heading in rule 12.</w:t>
      </w:r>
    </w:p>
    <w:p w:rsidR="00454BA6" w:rsidRDefault="005C4A62" w:rsidP="00C21F22">
      <w:pPr>
        <w:spacing w:before="40"/>
        <w:rPr>
          <w:rFonts w:ascii="Arial" w:hAnsi="Arial" w:cs="Arial"/>
          <w:sz w:val="22"/>
          <w:szCs w:val="22"/>
        </w:rPr>
      </w:pPr>
      <w:r>
        <w:rPr>
          <w:rFonts w:ascii="Arial" w:hAnsi="Arial" w:cs="Arial"/>
          <w:sz w:val="22"/>
          <w:szCs w:val="22"/>
        </w:rPr>
        <w:t>Clause </w:t>
      </w:r>
      <w:r w:rsidR="009D1FB3">
        <w:rPr>
          <w:rFonts w:ascii="Arial" w:hAnsi="Arial" w:cs="Arial"/>
          <w:sz w:val="22"/>
          <w:szCs w:val="22"/>
        </w:rPr>
        <w:t>6</w:t>
      </w:r>
      <w:r w:rsidR="00286170">
        <w:rPr>
          <w:rFonts w:ascii="Arial" w:hAnsi="Arial" w:cs="Arial"/>
          <w:sz w:val="22"/>
          <w:szCs w:val="22"/>
        </w:rPr>
        <w:t xml:space="preserve"> </w:t>
      </w:r>
      <w:r>
        <w:rPr>
          <w:rFonts w:ascii="Arial" w:hAnsi="Arial" w:cs="Arial"/>
          <w:sz w:val="22"/>
          <w:szCs w:val="22"/>
        </w:rPr>
        <w:t xml:space="preserve">provides for the insertion of a new subrule 12(1)(d) which permits a person to be represented by a lawyer or paid agent </w:t>
      </w:r>
      <w:r w:rsidR="00372D49">
        <w:rPr>
          <w:rFonts w:ascii="Arial" w:hAnsi="Arial" w:cs="Arial"/>
          <w:sz w:val="22"/>
          <w:szCs w:val="22"/>
        </w:rPr>
        <w:t>when</w:t>
      </w:r>
      <w:r>
        <w:rPr>
          <w:rFonts w:ascii="Arial" w:hAnsi="Arial" w:cs="Arial"/>
          <w:sz w:val="22"/>
          <w:szCs w:val="22"/>
        </w:rPr>
        <w:t xml:space="preserve"> participating in a conciliation or mediation process </w:t>
      </w:r>
      <w:r w:rsidR="009D1FB3">
        <w:rPr>
          <w:rFonts w:ascii="Arial" w:hAnsi="Arial" w:cs="Arial"/>
          <w:sz w:val="22"/>
          <w:szCs w:val="22"/>
        </w:rPr>
        <w:t xml:space="preserve">that is conducted by a member of staff of the Commission </w:t>
      </w:r>
      <w:r>
        <w:rPr>
          <w:rFonts w:ascii="Arial" w:hAnsi="Arial" w:cs="Arial"/>
          <w:sz w:val="22"/>
          <w:szCs w:val="22"/>
        </w:rPr>
        <w:t xml:space="preserve">concerning an application for an order to stop bullying.  </w:t>
      </w:r>
      <w:r w:rsidR="009D1FB3">
        <w:rPr>
          <w:rFonts w:ascii="Arial" w:hAnsi="Arial" w:cs="Arial"/>
          <w:sz w:val="22"/>
          <w:szCs w:val="22"/>
        </w:rPr>
        <w:t xml:space="preserve">Participation </w:t>
      </w:r>
      <w:r>
        <w:rPr>
          <w:rFonts w:ascii="Arial" w:hAnsi="Arial" w:cs="Arial"/>
          <w:sz w:val="22"/>
          <w:szCs w:val="22"/>
        </w:rPr>
        <w:t xml:space="preserve">in </w:t>
      </w:r>
      <w:r w:rsidR="009D1FB3">
        <w:rPr>
          <w:rFonts w:ascii="Arial" w:hAnsi="Arial" w:cs="Arial"/>
          <w:sz w:val="22"/>
          <w:szCs w:val="22"/>
        </w:rPr>
        <w:t xml:space="preserve">such </w:t>
      </w:r>
      <w:r>
        <w:rPr>
          <w:rFonts w:ascii="Arial" w:hAnsi="Arial" w:cs="Arial"/>
          <w:sz w:val="22"/>
          <w:szCs w:val="22"/>
        </w:rPr>
        <w:t xml:space="preserve">a conciliation or mediation process </w:t>
      </w:r>
      <w:r w:rsidR="00F96A6D">
        <w:rPr>
          <w:rFonts w:ascii="Arial" w:hAnsi="Arial" w:cs="Arial"/>
          <w:sz w:val="22"/>
          <w:szCs w:val="22"/>
        </w:rPr>
        <w:t>includes</w:t>
      </w:r>
      <w:r>
        <w:rPr>
          <w:rFonts w:ascii="Arial" w:hAnsi="Arial" w:cs="Arial"/>
          <w:sz w:val="22"/>
          <w:szCs w:val="22"/>
        </w:rPr>
        <w:t xml:space="preserve"> not only the conciliation or mediation meeting but also, for example, telephone conversations between a lawyer or paid agent and </w:t>
      </w:r>
      <w:r w:rsidR="00483B67">
        <w:rPr>
          <w:rFonts w:ascii="Arial" w:hAnsi="Arial" w:cs="Arial"/>
          <w:sz w:val="22"/>
          <w:szCs w:val="22"/>
        </w:rPr>
        <w:t>a member of staff</w:t>
      </w:r>
      <w:r>
        <w:rPr>
          <w:rFonts w:ascii="Arial" w:hAnsi="Arial" w:cs="Arial"/>
          <w:sz w:val="22"/>
          <w:szCs w:val="22"/>
        </w:rPr>
        <w:t xml:space="preserve"> of the Commission concerning the conciliation or mediation.  The subrule applies whether or not the </w:t>
      </w:r>
      <w:r w:rsidR="00483B67">
        <w:rPr>
          <w:rFonts w:ascii="Arial" w:hAnsi="Arial" w:cs="Arial"/>
          <w:sz w:val="22"/>
          <w:szCs w:val="22"/>
        </w:rPr>
        <w:t>member of staff</w:t>
      </w:r>
      <w:r>
        <w:rPr>
          <w:rFonts w:ascii="Arial" w:hAnsi="Arial" w:cs="Arial"/>
          <w:sz w:val="22"/>
          <w:szCs w:val="22"/>
        </w:rPr>
        <w:t xml:space="preserve"> is acting under a delegation</w:t>
      </w:r>
      <w:r w:rsidR="00286170">
        <w:rPr>
          <w:rFonts w:ascii="Arial" w:hAnsi="Arial" w:cs="Arial"/>
          <w:sz w:val="22"/>
          <w:szCs w:val="22"/>
        </w:rPr>
        <w:t xml:space="preserve"> from the President of the Commission which has been made under section 625 of the Act</w:t>
      </w:r>
      <w:r w:rsidR="00F96A6D">
        <w:rPr>
          <w:rFonts w:ascii="Arial" w:hAnsi="Arial" w:cs="Arial"/>
          <w:sz w:val="22"/>
          <w:szCs w:val="22"/>
        </w:rPr>
        <w:t xml:space="preserve">.  </w:t>
      </w:r>
    </w:p>
    <w:p w:rsidR="00372D49" w:rsidRDefault="00372D49" w:rsidP="00C21F22">
      <w:pPr>
        <w:spacing w:before="40"/>
        <w:rPr>
          <w:rFonts w:ascii="Arial" w:hAnsi="Arial" w:cs="Arial"/>
          <w:sz w:val="22"/>
          <w:szCs w:val="22"/>
        </w:rPr>
      </w:pPr>
      <w:r>
        <w:rPr>
          <w:rFonts w:ascii="Arial" w:hAnsi="Arial" w:cs="Arial"/>
          <w:sz w:val="22"/>
          <w:szCs w:val="22"/>
        </w:rPr>
        <w:t>Clause </w:t>
      </w:r>
      <w:r w:rsidR="009D1FB3">
        <w:rPr>
          <w:rFonts w:ascii="Arial" w:hAnsi="Arial" w:cs="Arial"/>
          <w:sz w:val="22"/>
          <w:szCs w:val="22"/>
        </w:rPr>
        <w:t>7</w:t>
      </w:r>
      <w:r w:rsidR="00286170">
        <w:rPr>
          <w:rFonts w:ascii="Arial" w:hAnsi="Arial" w:cs="Arial"/>
          <w:sz w:val="22"/>
          <w:szCs w:val="22"/>
        </w:rPr>
        <w:t xml:space="preserve"> </w:t>
      </w:r>
      <w:r w:rsidR="009D1FB3">
        <w:rPr>
          <w:rFonts w:ascii="Arial" w:hAnsi="Arial" w:cs="Arial"/>
          <w:sz w:val="22"/>
          <w:szCs w:val="22"/>
        </w:rPr>
        <w:t>is</w:t>
      </w:r>
      <w:r>
        <w:rPr>
          <w:rFonts w:ascii="Arial" w:hAnsi="Arial" w:cs="Arial"/>
          <w:sz w:val="22"/>
          <w:szCs w:val="22"/>
        </w:rPr>
        <w:t xml:space="preserve"> a clerical provision for the renumbering of the note </w:t>
      </w:r>
      <w:r w:rsidR="00483B67">
        <w:rPr>
          <w:rFonts w:ascii="Arial" w:hAnsi="Arial" w:cs="Arial"/>
          <w:sz w:val="22"/>
          <w:szCs w:val="22"/>
        </w:rPr>
        <w:t xml:space="preserve">at the end of subrule 12(1) </w:t>
      </w:r>
      <w:r>
        <w:rPr>
          <w:rFonts w:ascii="Arial" w:hAnsi="Arial" w:cs="Arial"/>
          <w:sz w:val="22"/>
          <w:szCs w:val="22"/>
        </w:rPr>
        <w:t>to become “Note</w:t>
      </w:r>
      <w:r w:rsidR="00286170">
        <w:rPr>
          <w:rFonts w:ascii="Arial" w:hAnsi="Arial" w:cs="Arial"/>
          <w:sz w:val="22"/>
          <w:szCs w:val="22"/>
        </w:rPr>
        <w:t> </w:t>
      </w:r>
      <w:r>
        <w:rPr>
          <w:rFonts w:ascii="Arial" w:hAnsi="Arial" w:cs="Arial"/>
          <w:sz w:val="22"/>
          <w:szCs w:val="22"/>
        </w:rPr>
        <w:t>1”.</w:t>
      </w:r>
    </w:p>
    <w:p w:rsidR="005C4A62" w:rsidRPr="005C4A62" w:rsidRDefault="00454BA6" w:rsidP="00C21F22">
      <w:pPr>
        <w:spacing w:before="40"/>
        <w:rPr>
          <w:rFonts w:ascii="Arial" w:hAnsi="Arial" w:cs="Arial"/>
          <w:sz w:val="22"/>
          <w:szCs w:val="22"/>
        </w:rPr>
      </w:pPr>
      <w:r>
        <w:rPr>
          <w:rFonts w:ascii="Arial" w:hAnsi="Arial" w:cs="Arial"/>
          <w:sz w:val="22"/>
          <w:szCs w:val="22"/>
        </w:rPr>
        <w:t>Clause </w:t>
      </w:r>
      <w:r w:rsidR="009D1FB3">
        <w:rPr>
          <w:rFonts w:ascii="Arial" w:hAnsi="Arial" w:cs="Arial"/>
          <w:sz w:val="22"/>
          <w:szCs w:val="22"/>
        </w:rPr>
        <w:t xml:space="preserve">8 </w:t>
      </w:r>
      <w:r>
        <w:rPr>
          <w:rFonts w:ascii="Arial" w:hAnsi="Arial" w:cs="Arial"/>
          <w:sz w:val="22"/>
          <w:szCs w:val="22"/>
        </w:rPr>
        <w:t>provides for the insertion of a second legislative note at the end of subrule 12(1)</w:t>
      </w:r>
      <w:r w:rsidR="009D1FB3">
        <w:rPr>
          <w:rFonts w:ascii="Arial" w:hAnsi="Arial" w:cs="Arial"/>
          <w:sz w:val="22"/>
          <w:szCs w:val="22"/>
        </w:rPr>
        <w:t xml:space="preserve"> stating </w:t>
      </w:r>
      <w:r w:rsidR="00F96A6D">
        <w:rPr>
          <w:rFonts w:ascii="Arial" w:hAnsi="Arial" w:cs="Arial"/>
          <w:sz w:val="22"/>
          <w:szCs w:val="22"/>
        </w:rPr>
        <w:t>that subrule 12(3) deals with representation of parties in a conference or hearing before a Member of the Commission.</w:t>
      </w:r>
    </w:p>
    <w:p w:rsidR="003A2C3D" w:rsidRDefault="00454BA6" w:rsidP="00C21F22">
      <w:pPr>
        <w:spacing w:before="40"/>
        <w:rPr>
          <w:rFonts w:ascii="Arial" w:hAnsi="Arial" w:cs="Arial"/>
          <w:sz w:val="22"/>
          <w:szCs w:val="22"/>
        </w:rPr>
      </w:pPr>
      <w:r>
        <w:rPr>
          <w:rFonts w:ascii="Arial" w:hAnsi="Arial" w:cs="Arial"/>
          <w:sz w:val="22"/>
          <w:szCs w:val="22"/>
        </w:rPr>
        <w:t>Clause </w:t>
      </w:r>
      <w:r w:rsidR="00872CE5">
        <w:rPr>
          <w:rFonts w:ascii="Arial" w:hAnsi="Arial" w:cs="Arial"/>
          <w:sz w:val="22"/>
          <w:szCs w:val="22"/>
        </w:rPr>
        <w:t xml:space="preserve">9 </w:t>
      </w:r>
      <w:r>
        <w:rPr>
          <w:rFonts w:ascii="Arial" w:hAnsi="Arial" w:cs="Arial"/>
          <w:sz w:val="22"/>
          <w:szCs w:val="22"/>
        </w:rPr>
        <w:t xml:space="preserve">provides for the amendment of subrule 12(3) so that it provides that nothing in rule 12 is taken as permitting a lawyer or paid agent to represent a party in a conference or hearing before a Commission Member.  </w:t>
      </w:r>
      <w:r w:rsidR="001A5F3D">
        <w:rPr>
          <w:rFonts w:ascii="Arial" w:hAnsi="Arial" w:cs="Arial"/>
          <w:sz w:val="22"/>
          <w:szCs w:val="22"/>
        </w:rPr>
        <w:t>The</w:t>
      </w:r>
      <w:r>
        <w:rPr>
          <w:rFonts w:ascii="Arial" w:hAnsi="Arial" w:cs="Arial"/>
          <w:sz w:val="22"/>
          <w:szCs w:val="22"/>
        </w:rPr>
        <w:t xml:space="preserve"> amendment ensure</w:t>
      </w:r>
      <w:r w:rsidR="001A5F3D">
        <w:rPr>
          <w:rFonts w:ascii="Arial" w:hAnsi="Arial" w:cs="Arial"/>
          <w:sz w:val="22"/>
          <w:szCs w:val="22"/>
        </w:rPr>
        <w:t>s</w:t>
      </w:r>
      <w:r>
        <w:rPr>
          <w:rFonts w:ascii="Arial" w:hAnsi="Arial" w:cs="Arial"/>
          <w:sz w:val="22"/>
          <w:szCs w:val="22"/>
        </w:rPr>
        <w:t xml:space="preserve"> that subrule 12(3) </w:t>
      </w:r>
      <w:r w:rsidR="00E903C4">
        <w:rPr>
          <w:rFonts w:ascii="Arial" w:hAnsi="Arial" w:cs="Arial"/>
          <w:sz w:val="22"/>
          <w:szCs w:val="22"/>
        </w:rPr>
        <w:t xml:space="preserve">is not </w:t>
      </w:r>
      <w:r w:rsidR="00BA60B6">
        <w:rPr>
          <w:rFonts w:ascii="Arial" w:hAnsi="Arial" w:cs="Arial"/>
          <w:sz w:val="22"/>
          <w:szCs w:val="22"/>
        </w:rPr>
        <w:t>inconsistent with</w:t>
      </w:r>
      <w:r w:rsidR="00E903C4">
        <w:rPr>
          <w:rFonts w:ascii="Arial" w:hAnsi="Arial" w:cs="Arial"/>
          <w:sz w:val="22"/>
          <w:szCs w:val="22"/>
        </w:rPr>
        <w:t xml:space="preserve"> subrule 12(1)(d)</w:t>
      </w:r>
      <w:r>
        <w:rPr>
          <w:rFonts w:ascii="Arial" w:hAnsi="Arial" w:cs="Arial"/>
          <w:sz w:val="22"/>
          <w:szCs w:val="22"/>
        </w:rPr>
        <w:t xml:space="preserve"> </w:t>
      </w:r>
      <w:r w:rsidR="00BA60B6">
        <w:rPr>
          <w:rFonts w:ascii="Arial" w:hAnsi="Arial" w:cs="Arial"/>
          <w:sz w:val="22"/>
          <w:szCs w:val="22"/>
        </w:rPr>
        <w:t>in the event that</w:t>
      </w:r>
      <w:r>
        <w:rPr>
          <w:rFonts w:ascii="Arial" w:hAnsi="Arial" w:cs="Arial"/>
          <w:sz w:val="22"/>
          <w:szCs w:val="22"/>
        </w:rPr>
        <w:t xml:space="preserve"> </w:t>
      </w:r>
      <w:r w:rsidR="004203C1">
        <w:rPr>
          <w:rFonts w:ascii="Arial" w:hAnsi="Arial" w:cs="Arial"/>
          <w:sz w:val="22"/>
          <w:szCs w:val="22"/>
        </w:rPr>
        <w:t>a member of staff</w:t>
      </w:r>
      <w:r>
        <w:rPr>
          <w:rFonts w:ascii="Arial" w:hAnsi="Arial" w:cs="Arial"/>
          <w:sz w:val="22"/>
          <w:szCs w:val="22"/>
        </w:rPr>
        <w:t xml:space="preserve"> of the Commission is acting under a delegation from the President under section 625 of the Act.</w:t>
      </w:r>
    </w:p>
    <w:p w:rsidR="00F609C0" w:rsidRDefault="00F609C0" w:rsidP="00F609C0">
      <w:pPr>
        <w:keepNext/>
        <w:spacing w:before="40"/>
        <w:rPr>
          <w:rFonts w:ascii="Arial" w:hAnsi="Arial" w:cs="Arial"/>
          <w:sz w:val="22"/>
          <w:szCs w:val="22"/>
        </w:rPr>
      </w:pPr>
      <w:r>
        <w:rPr>
          <w:rFonts w:ascii="Arial" w:hAnsi="Arial" w:cs="Arial"/>
          <w:sz w:val="22"/>
          <w:szCs w:val="22"/>
        </w:rPr>
        <w:t>Clause </w:t>
      </w:r>
      <w:r w:rsidR="007F39FB">
        <w:rPr>
          <w:rFonts w:ascii="Arial" w:hAnsi="Arial" w:cs="Arial"/>
          <w:sz w:val="22"/>
          <w:szCs w:val="22"/>
        </w:rPr>
        <w:t xml:space="preserve">10 </w:t>
      </w:r>
      <w:r>
        <w:rPr>
          <w:rFonts w:ascii="Arial" w:hAnsi="Arial" w:cs="Arial"/>
          <w:sz w:val="22"/>
          <w:szCs w:val="22"/>
        </w:rPr>
        <w:t>provides for the insertion of a new rule 23A concerning the lodgment of a response to an application for an order to stop bullying.</w:t>
      </w:r>
    </w:p>
    <w:p w:rsidR="00F609C0" w:rsidRDefault="00A22B94" w:rsidP="00C21F22">
      <w:pPr>
        <w:spacing w:before="40"/>
        <w:rPr>
          <w:rFonts w:ascii="Arial" w:hAnsi="Arial" w:cs="Arial"/>
          <w:sz w:val="22"/>
          <w:szCs w:val="22"/>
        </w:rPr>
      </w:pPr>
      <w:r>
        <w:rPr>
          <w:rFonts w:ascii="Arial" w:hAnsi="Arial" w:cs="Arial"/>
          <w:sz w:val="22"/>
          <w:szCs w:val="22"/>
        </w:rPr>
        <w:t>S</w:t>
      </w:r>
      <w:r w:rsidR="00F609C0">
        <w:rPr>
          <w:rFonts w:ascii="Arial" w:hAnsi="Arial" w:cs="Arial"/>
          <w:sz w:val="22"/>
          <w:szCs w:val="22"/>
        </w:rPr>
        <w:t>ubrule 23A(1) provides that a person named as an employer or principal in an application for an order to stop bullying (Form F72) must lodge with the Commission a response to the application within 7 calendar days after the day on which the person is served with the application.  A legislative note provides that the response must be in the approved form (Form F73).</w:t>
      </w:r>
      <w:r w:rsidR="005830B0">
        <w:rPr>
          <w:rFonts w:ascii="Arial" w:hAnsi="Arial" w:cs="Arial"/>
          <w:sz w:val="22"/>
          <w:szCs w:val="22"/>
        </w:rPr>
        <w:t xml:space="preserve">  A second legislative note advises that a person </w:t>
      </w:r>
      <w:r w:rsidR="007F39FB">
        <w:rPr>
          <w:rFonts w:ascii="Arial" w:hAnsi="Arial" w:cs="Arial"/>
          <w:sz w:val="22"/>
          <w:szCs w:val="22"/>
        </w:rPr>
        <w:t xml:space="preserve">can </w:t>
      </w:r>
      <w:r w:rsidR="005830B0">
        <w:rPr>
          <w:rFonts w:ascii="Arial" w:hAnsi="Arial" w:cs="Arial"/>
          <w:sz w:val="22"/>
          <w:szCs w:val="22"/>
        </w:rPr>
        <w:t xml:space="preserve">be named in an application as an employer or principal of both the applicant and the person(s) who are alleged to have engaged in bullying behaviour.  The subrule requires the employer or respondent to lodge a response in </w:t>
      </w:r>
      <w:r w:rsidR="003D4A47">
        <w:rPr>
          <w:rFonts w:ascii="Arial" w:hAnsi="Arial" w:cs="Arial"/>
          <w:sz w:val="22"/>
          <w:szCs w:val="22"/>
        </w:rPr>
        <w:t>either case</w:t>
      </w:r>
      <w:r w:rsidR="005830B0">
        <w:rPr>
          <w:rFonts w:ascii="Arial" w:hAnsi="Arial" w:cs="Arial"/>
          <w:sz w:val="22"/>
          <w:szCs w:val="22"/>
        </w:rPr>
        <w:t>.</w:t>
      </w:r>
    </w:p>
    <w:p w:rsidR="005830B0" w:rsidRDefault="00A22B94" w:rsidP="00C21F22">
      <w:pPr>
        <w:spacing w:before="40"/>
        <w:rPr>
          <w:rFonts w:ascii="Arial" w:hAnsi="Arial" w:cs="Arial"/>
          <w:sz w:val="22"/>
          <w:szCs w:val="22"/>
        </w:rPr>
      </w:pPr>
      <w:r>
        <w:rPr>
          <w:rFonts w:ascii="Arial" w:hAnsi="Arial" w:cs="Arial"/>
          <w:sz w:val="22"/>
          <w:szCs w:val="22"/>
        </w:rPr>
        <w:t>Subrule 23A(2) provides that, if two or more application</w:t>
      </w:r>
      <w:r w:rsidR="001A5F3D">
        <w:rPr>
          <w:rFonts w:ascii="Arial" w:hAnsi="Arial" w:cs="Arial"/>
          <w:sz w:val="22"/>
          <w:szCs w:val="22"/>
        </w:rPr>
        <w:t>s</w:t>
      </w:r>
      <w:r>
        <w:rPr>
          <w:rFonts w:ascii="Arial" w:hAnsi="Arial" w:cs="Arial"/>
          <w:sz w:val="22"/>
          <w:szCs w:val="22"/>
        </w:rPr>
        <w:t xml:space="preserve"> </w:t>
      </w:r>
      <w:r w:rsidR="00F60C36">
        <w:rPr>
          <w:rFonts w:ascii="Arial" w:hAnsi="Arial" w:cs="Arial"/>
          <w:sz w:val="22"/>
          <w:szCs w:val="22"/>
        </w:rPr>
        <w:t xml:space="preserve">which name the same employer or principal </w:t>
      </w:r>
      <w:r>
        <w:rPr>
          <w:rFonts w:ascii="Arial" w:hAnsi="Arial" w:cs="Arial"/>
          <w:sz w:val="22"/>
          <w:szCs w:val="22"/>
        </w:rPr>
        <w:t xml:space="preserve">are made </w:t>
      </w:r>
      <w:r w:rsidR="00F60C36">
        <w:rPr>
          <w:rFonts w:ascii="Arial" w:hAnsi="Arial" w:cs="Arial"/>
          <w:sz w:val="22"/>
          <w:szCs w:val="22"/>
        </w:rPr>
        <w:t xml:space="preserve">at the same time </w:t>
      </w:r>
      <w:r>
        <w:rPr>
          <w:rFonts w:ascii="Arial" w:hAnsi="Arial" w:cs="Arial"/>
          <w:sz w:val="22"/>
          <w:szCs w:val="22"/>
        </w:rPr>
        <w:t>for an order to stop bullying and those applications concern the same or substantially similar conduct</w:t>
      </w:r>
      <w:r w:rsidR="00F60C36">
        <w:rPr>
          <w:rFonts w:ascii="Arial" w:hAnsi="Arial" w:cs="Arial"/>
          <w:sz w:val="22"/>
          <w:szCs w:val="22"/>
        </w:rPr>
        <w:t>,</w:t>
      </w:r>
      <w:r>
        <w:rPr>
          <w:rFonts w:ascii="Arial" w:hAnsi="Arial" w:cs="Arial"/>
          <w:sz w:val="22"/>
          <w:szCs w:val="22"/>
        </w:rPr>
        <w:t xml:space="preserve"> and </w:t>
      </w:r>
      <w:r w:rsidR="00F60C36">
        <w:rPr>
          <w:rFonts w:ascii="Arial" w:hAnsi="Arial" w:cs="Arial"/>
          <w:sz w:val="22"/>
          <w:szCs w:val="22"/>
        </w:rPr>
        <w:t xml:space="preserve">if </w:t>
      </w:r>
      <w:r>
        <w:rPr>
          <w:rFonts w:ascii="Arial" w:hAnsi="Arial" w:cs="Arial"/>
          <w:sz w:val="22"/>
          <w:szCs w:val="22"/>
        </w:rPr>
        <w:t>the substance of the employer or principal’s response is the same for each application, subrule 23A(1) is satisfied if only one response is lodged with the Commission.</w:t>
      </w:r>
      <w:r w:rsidR="00F60C36">
        <w:rPr>
          <w:rFonts w:ascii="Arial" w:hAnsi="Arial" w:cs="Arial"/>
          <w:sz w:val="22"/>
          <w:szCs w:val="22"/>
        </w:rPr>
        <w:t xml:space="preserve">  </w:t>
      </w:r>
    </w:p>
    <w:p w:rsidR="00F609C0" w:rsidRDefault="00A22B94" w:rsidP="00C21F22">
      <w:pPr>
        <w:spacing w:before="40"/>
        <w:rPr>
          <w:rFonts w:ascii="Arial" w:hAnsi="Arial" w:cs="Arial"/>
          <w:sz w:val="22"/>
          <w:szCs w:val="22"/>
        </w:rPr>
      </w:pPr>
      <w:r>
        <w:rPr>
          <w:rFonts w:ascii="Arial" w:hAnsi="Arial" w:cs="Arial"/>
          <w:sz w:val="22"/>
          <w:szCs w:val="22"/>
        </w:rPr>
        <w:t xml:space="preserve">Subrule 23A(3) provides that a person who is named in an application for an order to stop bullying (Form F72) as allegedly engaging in bullying behaviour may lodge a response to the application.  Any response must be lodged within 7 calendar days after the day on which the person was served with the application.  A legislative note provides that the response must be in the approved form (Form F74).  A second legislative note states that a person who is named as allegedly engaging in bullying behaviour is not required to lodge a response.  If the person chooses to lodge a response with the Commission, however, the person must also serve a copy of the response in accordance with the requirements that are set out in Schedule 1 to the </w:t>
      </w:r>
      <w:r w:rsidR="001A5F3D" w:rsidRPr="001A5F3D">
        <w:rPr>
          <w:rFonts w:ascii="Arial" w:hAnsi="Arial" w:cs="Arial"/>
          <w:i/>
          <w:sz w:val="22"/>
          <w:szCs w:val="22"/>
        </w:rPr>
        <w:t xml:space="preserve">Fair Work Commission </w:t>
      </w:r>
      <w:r w:rsidRPr="001A5F3D">
        <w:rPr>
          <w:rFonts w:ascii="Arial" w:hAnsi="Arial" w:cs="Arial"/>
          <w:i/>
          <w:sz w:val="22"/>
          <w:szCs w:val="22"/>
        </w:rPr>
        <w:t>Rules</w:t>
      </w:r>
      <w:r w:rsidR="001A5F3D" w:rsidRPr="001A5F3D">
        <w:rPr>
          <w:rFonts w:ascii="Arial" w:hAnsi="Arial" w:cs="Arial"/>
          <w:i/>
          <w:sz w:val="22"/>
          <w:szCs w:val="22"/>
        </w:rPr>
        <w:t xml:space="preserve"> 2013</w:t>
      </w:r>
      <w:r>
        <w:rPr>
          <w:rFonts w:ascii="Arial" w:hAnsi="Arial" w:cs="Arial"/>
          <w:sz w:val="22"/>
          <w:szCs w:val="22"/>
        </w:rPr>
        <w:t>.</w:t>
      </w:r>
    </w:p>
    <w:p w:rsidR="00A22B94" w:rsidRDefault="007D0197" w:rsidP="00C21F22">
      <w:pPr>
        <w:spacing w:before="40"/>
        <w:rPr>
          <w:rFonts w:ascii="Arial" w:hAnsi="Arial" w:cs="Arial"/>
          <w:sz w:val="22"/>
          <w:szCs w:val="22"/>
        </w:rPr>
      </w:pPr>
      <w:r>
        <w:rPr>
          <w:rFonts w:ascii="Arial" w:hAnsi="Arial" w:cs="Arial"/>
          <w:sz w:val="22"/>
          <w:szCs w:val="22"/>
        </w:rPr>
        <w:t>Clause </w:t>
      </w:r>
      <w:r w:rsidR="00F60C36">
        <w:rPr>
          <w:rFonts w:ascii="Arial" w:hAnsi="Arial" w:cs="Arial"/>
          <w:sz w:val="22"/>
          <w:szCs w:val="22"/>
        </w:rPr>
        <w:t xml:space="preserve">11 </w:t>
      </w:r>
      <w:r>
        <w:rPr>
          <w:rFonts w:ascii="Arial" w:hAnsi="Arial" w:cs="Arial"/>
          <w:sz w:val="22"/>
          <w:szCs w:val="22"/>
        </w:rPr>
        <w:t xml:space="preserve">provides for the </w:t>
      </w:r>
      <w:r w:rsidR="003D4A47">
        <w:rPr>
          <w:rFonts w:ascii="Arial" w:hAnsi="Arial" w:cs="Arial"/>
          <w:sz w:val="22"/>
          <w:szCs w:val="22"/>
        </w:rPr>
        <w:t>insertion</w:t>
      </w:r>
      <w:r>
        <w:rPr>
          <w:rFonts w:ascii="Arial" w:hAnsi="Arial" w:cs="Arial"/>
          <w:sz w:val="22"/>
          <w:szCs w:val="22"/>
        </w:rPr>
        <w:t xml:space="preserve"> of a new sub</w:t>
      </w:r>
      <w:r>
        <w:rPr>
          <w:rFonts w:ascii="Arial" w:hAnsi="Arial" w:cs="Arial"/>
          <w:sz w:val="22"/>
          <w:szCs w:val="22"/>
        </w:rPr>
        <w:noBreakHyphen/>
        <w:t>heading</w:t>
      </w:r>
      <w:r w:rsidR="003D4A47" w:rsidRPr="003D4A47">
        <w:rPr>
          <w:rFonts w:ascii="Arial" w:hAnsi="Arial" w:cs="Arial"/>
          <w:sz w:val="22"/>
          <w:szCs w:val="22"/>
        </w:rPr>
        <w:t xml:space="preserve"> </w:t>
      </w:r>
      <w:r w:rsidR="003D4A47">
        <w:rPr>
          <w:rFonts w:ascii="Arial" w:hAnsi="Arial" w:cs="Arial"/>
          <w:sz w:val="22"/>
          <w:szCs w:val="22"/>
        </w:rPr>
        <w:t>before (newly numbered) subrule 45(1)</w:t>
      </w:r>
      <w:r>
        <w:rPr>
          <w:rFonts w:ascii="Arial" w:hAnsi="Arial" w:cs="Arial"/>
          <w:sz w:val="22"/>
          <w:szCs w:val="22"/>
        </w:rPr>
        <w:t>.</w:t>
      </w:r>
    </w:p>
    <w:p w:rsidR="00454BA6" w:rsidRDefault="007D0197" w:rsidP="00C21F22">
      <w:pPr>
        <w:spacing w:before="40"/>
        <w:rPr>
          <w:rFonts w:ascii="Arial" w:hAnsi="Arial" w:cs="Arial"/>
          <w:sz w:val="22"/>
          <w:szCs w:val="22"/>
        </w:rPr>
      </w:pPr>
      <w:r>
        <w:rPr>
          <w:rFonts w:ascii="Arial" w:hAnsi="Arial" w:cs="Arial"/>
          <w:sz w:val="22"/>
          <w:szCs w:val="22"/>
        </w:rPr>
        <w:t>Clause </w:t>
      </w:r>
      <w:r w:rsidR="00F60C36">
        <w:rPr>
          <w:rFonts w:ascii="Arial" w:hAnsi="Arial" w:cs="Arial"/>
          <w:sz w:val="22"/>
          <w:szCs w:val="22"/>
        </w:rPr>
        <w:t xml:space="preserve">12 </w:t>
      </w:r>
      <w:r>
        <w:rPr>
          <w:rFonts w:ascii="Arial" w:hAnsi="Arial" w:cs="Arial"/>
          <w:sz w:val="22"/>
          <w:szCs w:val="22"/>
        </w:rPr>
        <w:t>is a clerical provision which re</w:t>
      </w:r>
      <w:r>
        <w:rPr>
          <w:rFonts w:ascii="Arial" w:hAnsi="Arial" w:cs="Arial"/>
          <w:sz w:val="22"/>
          <w:szCs w:val="22"/>
        </w:rPr>
        <w:noBreakHyphen/>
        <w:t xml:space="preserve">numbers rule 45 to become subrule 45(1).  </w:t>
      </w:r>
    </w:p>
    <w:p w:rsidR="007D0197" w:rsidRDefault="007D0197" w:rsidP="00C21F22">
      <w:pPr>
        <w:spacing w:before="40"/>
        <w:rPr>
          <w:rFonts w:ascii="Arial" w:hAnsi="Arial" w:cs="Arial"/>
          <w:sz w:val="22"/>
          <w:szCs w:val="22"/>
        </w:rPr>
      </w:pPr>
      <w:r>
        <w:rPr>
          <w:rFonts w:ascii="Arial" w:hAnsi="Arial" w:cs="Arial"/>
          <w:sz w:val="22"/>
          <w:szCs w:val="22"/>
        </w:rPr>
        <w:t>Clause </w:t>
      </w:r>
      <w:r w:rsidR="00F60C36">
        <w:rPr>
          <w:rFonts w:ascii="Arial" w:hAnsi="Arial" w:cs="Arial"/>
          <w:sz w:val="22"/>
          <w:szCs w:val="22"/>
        </w:rPr>
        <w:t xml:space="preserve">13 </w:t>
      </w:r>
      <w:r>
        <w:rPr>
          <w:rFonts w:ascii="Arial" w:hAnsi="Arial" w:cs="Arial"/>
          <w:sz w:val="22"/>
          <w:szCs w:val="22"/>
        </w:rPr>
        <w:t>adds a new subrule 45(2)</w:t>
      </w:r>
      <w:r w:rsidR="004203C1">
        <w:rPr>
          <w:rFonts w:ascii="Arial" w:hAnsi="Arial" w:cs="Arial"/>
          <w:sz w:val="22"/>
          <w:szCs w:val="22"/>
        </w:rPr>
        <w:t xml:space="preserve"> which</w:t>
      </w:r>
      <w:r>
        <w:rPr>
          <w:rFonts w:ascii="Arial" w:hAnsi="Arial" w:cs="Arial"/>
          <w:sz w:val="22"/>
          <w:szCs w:val="22"/>
        </w:rPr>
        <w:t xml:space="preserve"> provides that, if the Commission is required to serve an application for an order to stop bullying, the Commission must serve a copy of the application excluding that part of the application that deals with the application fee.</w:t>
      </w:r>
    </w:p>
    <w:p w:rsidR="00C52FC8" w:rsidRDefault="00B9192F" w:rsidP="00C21F22">
      <w:pPr>
        <w:spacing w:before="40"/>
        <w:rPr>
          <w:rFonts w:ascii="Arial" w:hAnsi="Arial" w:cs="Arial"/>
          <w:sz w:val="22"/>
          <w:szCs w:val="22"/>
        </w:rPr>
      </w:pPr>
      <w:r>
        <w:rPr>
          <w:rFonts w:ascii="Arial" w:hAnsi="Arial" w:cs="Arial"/>
          <w:sz w:val="22"/>
          <w:szCs w:val="22"/>
        </w:rPr>
        <w:t>Clause </w:t>
      </w:r>
      <w:r w:rsidR="00F60C36">
        <w:rPr>
          <w:rFonts w:ascii="Arial" w:hAnsi="Arial" w:cs="Arial"/>
          <w:sz w:val="22"/>
          <w:szCs w:val="22"/>
        </w:rPr>
        <w:t xml:space="preserve">14 </w:t>
      </w:r>
      <w:r w:rsidR="00BE1BC8">
        <w:rPr>
          <w:rFonts w:ascii="Arial" w:hAnsi="Arial" w:cs="Arial"/>
          <w:sz w:val="22"/>
          <w:szCs w:val="22"/>
        </w:rPr>
        <w:t>is a clerical provision which re</w:t>
      </w:r>
      <w:r w:rsidR="00BE1BC8">
        <w:rPr>
          <w:rFonts w:ascii="Arial" w:hAnsi="Arial" w:cs="Arial"/>
          <w:sz w:val="22"/>
          <w:szCs w:val="22"/>
        </w:rPr>
        <w:noBreakHyphen/>
        <w:t xml:space="preserve">numbers the note at the end of clause 1 of Schedule 1 </w:t>
      </w:r>
      <w:r w:rsidR="001A5F3D">
        <w:rPr>
          <w:rFonts w:ascii="Arial" w:hAnsi="Arial" w:cs="Arial"/>
          <w:sz w:val="22"/>
          <w:szCs w:val="22"/>
        </w:rPr>
        <w:t xml:space="preserve">to the </w:t>
      </w:r>
      <w:r w:rsidR="001A5F3D" w:rsidRPr="001A5F3D">
        <w:rPr>
          <w:rFonts w:ascii="Arial" w:hAnsi="Arial" w:cs="Arial"/>
          <w:i/>
          <w:sz w:val="22"/>
          <w:szCs w:val="22"/>
        </w:rPr>
        <w:t>Fair Work Commission Rules 2013</w:t>
      </w:r>
      <w:r w:rsidR="001A5F3D">
        <w:rPr>
          <w:rFonts w:ascii="Arial" w:hAnsi="Arial" w:cs="Arial"/>
          <w:i/>
          <w:sz w:val="22"/>
          <w:szCs w:val="22"/>
        </w:rPr>
        <w:t xml:space="preserve"> </w:t>
      </w:r>
      <w:r w:rsidR="00BE1BC8">
        <w:rPr>
          <w:rFonts w:ascii="Arial" w:hAnsi="Arial" w:cs="Arial"/>
          <w:sz w:val="22"/>
          <w:szCs w:val="22"/>
        </w:rPr>
        <w:t xml:space="preserve">to “Note 1”.  </w:t>
      </w:r>
    </w:p>
    <w:p w:rsidR="00B9192F" w:rsidRDefault="00BE1BC8" w:rsidP="00C21F22">
      <w:pPr>
        <w:spacing w:before="40"/>
        <w:rPr>
          <w:rFonts w:ascii="Arial" w:hAnsi="Arial" w:cs="Arial"/>
          <w:sz w:val="22"/>
          <w:szCs w:val="22"/>
        </w:rPr>
      </w:pPr>
      <w:r>
        <w:rPr>
          <w:rFonts w:ascii="Arial" w:hAnsi="Arial" w:cs="Arial"/>
          <w:sz w:val="22"/>
          <w:szCs w:val="22"/>
        </w:rPr>
        <w:t>Clause </w:t>
      </w:r>
      <w:r w:rsidR="00C52FC8">
        <w:rPr>
          <w:rFonts w:ascii="Arial" w:hAnsi="Arial" w:cs="Arial"/>
          <w:sz w:val="22"/>
          <w:szCs w:val="22"/>
        </w:rPr>
        <w:t xml:space="preserve">15 </w:t>
      </w:r>
      <w:r>
        <w:rPr>
          <w:rFonts w:ascii="Arial" w:hAnsi="Arial" w:cs="Arial"/>
          <w:sz w:val="22"/>
          <w:szCs w:val="22"/>
        </w:rPr>
        <w:t xml:space="preserve">inserts a second legislative note </w:t>
      </w:r>
      <w:r w:rsidR="00C52FC8">
        <w:rPr>
          <w:rFonts w:ascii="Arial" w:hAnsi="Arial" w:cs="Arial"/>
          <w:sz w:val="22"/>
          <w:szCs w:val="22"/>
        </w:rPr>
        <w:t xml:space="preserve">at the end of clause 1 of Schedule 1 </w:t>
      </w:r>
      <w:r w:rsidR="00BA60B6">
        <w:rPr>
          <w:rFonts w:ascii="Arial" w:hAnsi="Arial" w:cs="Arial"/>
          <w:sz w:val="22"/>
          <w:szCs w:val="22"/>
        </w:rPr>
        <w:t xml:space="preserve">to the </w:t>
      </w:r>
      <w:r w:rsidR="00BA60B6" w:rsidRPr="001A5F3D">
        <w:rPr>
          <w:rFonts w:ascii="Arial" w:hAnsi="Arial" w:cs="Arial"/>
          <w:i/>
          <w:sz w:val="22"/>
          <w:szCs w:val="22"/>
        </w:rPr>
        <w:t>Fair Work Commission Rules 2013</w:t>
      </w:r>
      <w:r w:rsidR="00BA60B6">
        <w:rPr>
          <w:rFonts w:ascii="Arial" w:hAnsi="Arial" w:cs="Arial"/>
          <w:i/>
          <w:sz w:val="22"/>
          <w:szCs w:val="22"/>
        </w:rPr>
        <w:t xml:space="preserve"> </w:t>
      </w:r>
      <w:r>
        <w:rPr>
          <w:rFonts w:ascii="Arial" w:hAnsi="Arial" w:cs="Arial"/>
          <w:sz w:val="22"/>
          <w:szCs w:val="22"/>
        </w:rPr>
        <w:t xml:space="preserve">which advises that, under subrules 6(1) and (2), the instructions as to service that are set out in Schedule 1 </w:t>
      </w:r>
      <w:r w:rsidR="001A5F3D">
        <w:rPr>
          <w:rFonts w:ascii="Arial" w:hAnsi="Arial" w:cs="Arial"/>
          <w:sz w:val="22"/>
          <w:szCs w:val="22"/>
        </w:rPr>
        <w:t xml:space="preserve">to the </w:t>
      </w:r>
      <w:r w:rsidR="001A5F3D" w:rsidRPr="001A5F3D">
        <w:rPr>
          <w:rFonts w:ascii="Arial" w:hAnsi="Arial" w:cs="Arial"/>
          <w:i/>
          <w:sz w:val="22"/>
          <w:szCs w:val="22"/>
        </w:rPr>
        <w:t>Fair Work Commission Rules 2013</w:t>
      </w:r>
      <w:r w:rsidR="001A5F3D">
        <w:rPr>
          <w:rFonts w:ascii="Arial" w:hAnsi="Arial" w:cs="Arial"/>
          <w:i/>
          <w:sz w:val="22"/>
          <w:szCs w:val="22"/>
        </w:rPr>
        <w:t xml:space="preserve"> </w:t>
      </w:r>
      <w:r>
        <w:rPr>
          <w:rFonts w:ascii="Arial" w:hAnsi="Arial" w:cs="Arial"/>
          <w:sz w:val="22"/>
          <w:szCs w:val="22"/>
        </w:rPr>
        <w:t>may be dispense</w:t>
      </w:r>
      <w:r w:rsidR="009F4933">
        <w:rPr>
          <w:rFonts w:ascii="Arial" w:hAnsi="Arial" w:cs="Arial"/>
          <w:sz w:val="22"/>
          <w:szCs w:val="22"/>
        </w:rPr>
        <w:t>d</w:t>
      </w:r>
      <w:r>
        <w:rPr>
          <w:rFonts w:ascii="Arial" w:hAnsi="Arial" w:cs="Arial"/>
          <w:sz w:val="22"/>
          <w:szCs w:val="22"/>
        </w:rPr>
        <w:t xml:space="preserve"> with or varied by an order or direction of the Commission in a matter.  The note also advises that the issuing of an order dispensing with or varying instructions as to service is most likely to occur in relation to applications for an order to stop bullying.</w:t>
      </w:r>
    </w:p>
    <w:p w:rsidR="00454BA6" w:rsidRDefault="00F34B40" w:rsidP="00C21F22">
      <w:pPr>
        <w:spacing w:before="40"/>
        <w:rPr>
          <w:rFonts w:ascii="Arial" w:hAnsi="Arial" w:cs="Arial"/>
          <w:sz w:val="22"/>
          <w:szCs w:val="22"/>
        </w:rPr>
      </w:pPr>
      <w:r>
        <w:rPr>
          <w:rFonts w:ascii="Arial" w:hAnsi="Arial" w:cs="Arial"/>
          <w:sz w:val="22"/>
          <w:szCs w:val="22"/>
        </w:rPr>
        <w:t>Clause </w:t>
      </w:r>
      <w:r w:rsidR="00C52FC8">
        <w:rPr>
          <w:rFonts w:ascii="Arial" w:hAnsi="Arial" w:cs="Arial"/>
          <w:sz w:val="22"/>
          <w:szCs w:val="22"/>
        </w:rPr>
        <w:t xml:space="preserve">16 </w:t>
      </w:r>
      <w:r>
        <w:rPr>
          <w:rFonts w:ascii="Arial" w:hAnsi="Arial" w:cs="Arial"/>
          <w:sz w:val="22"/>
          <w:szCs w:val="22"/>
        </w:rPr>
        <w:t xml:space="preserve">provides for the inclusion of references to sections 375B and 779A in </w:t>
      </w:r>
      <w:r w:rsidR="00C05C03">
        <w:rPr>
          <w:rFonts w:ascii="Arial" w:hAnsi="Arial" w:cs="Arial"/>
          <w:sz w:val="22"/>
          <w:szCs w:val="22"/>
        </w:rPr>
        <w:t>column 4 (headed “Provision”) of the table row</w:t>
      </w:r>
      <w:r>
        <w:rPr>
          <w:rFonts w:ascii="Arial" w:hAnsi="Arial" w:cs="Arial"/>
          <w:sz w:val="22"/>
          <w:szCs w:val="22"/>
        </w:rPr>
        <w:t xml:space="preserve"> in Schedule 1 </w:t>
      </w:r>
      <w:r w:rsidR="001A5F3D">
        <w:rPr>
          <w:rFonts w:ascii="Arial" w:hAnsi="Arial" w:cs="Arial"/>
          <w:sz w:val="22"/>
          <w:szCs w:val="22"/>
        </w:rPr>
        <w:t xml:space="preserve">to the </w:t>
      </w:r>
      <w:r w:rsidR="001A5F3D" w:rsidRPr="001A5F3D">
        <w:rPr>
          <w:rFonts w:ascii="Arial" w:hAnsi="Arial" w:cs="Arial"/>
          <w:i/>
          <w:sz w:val="22"/>
          <w:szCs w:val="22"/>
        </w:rPr>
        <w:t>Fair Work Commission Rules 2013</w:t>
      </w:r>
      <w:r w:rsidR="001A5F3D">
        <w:rPr>
          <w:rFonts w:ascii="Arial" w:hAnsi="Arial" w:cs="Arial"/>
          <w:i/>
          <w:sz w:val="22"/>
          <w:szCs w:val="22"/>
        </w:rPr>
        <w:t xml:space="preserve"> </w:t>
      </w:r>
      <w:r>
        <w:rPr>
          <w:rFonts w:ascii="Arial" w:hAnsi="Arial" w:cs="Arial"/>
          <w:sz w:val="22"/>
          <w:szCs w:val="22"/>
        </w:rPr>
        <w:t>concerning Form F6—Application for Costs.</w:t>
      </w:r>
    </w:p>
    <w:p w:rsidR="00454BA6" w:rsidRDefault="009F4933" w:rsidP="00C21F22">
      <w:pPr>
        <w:spacing w:before="40"/>
        <w:rPr>
          <w:rFonts w:ascii="Arial" w:hAnsi="Arial" w:cs="Arial"/>
          <w:sz w:val="22"/>
          <w:szCs w:val="22"/>
        </w:rPr>
      </w:pPr>
      <w:r>
        <w:rPr>
          <w:rFonts w:ascii="Arial" w:hAnsi="Arial" w:cs="Arial"/>
          <w:sz w:val="22"/>
          <w:szCs w:val="22"/>
        </w:rPr>
        <w:t>Clause </w:t>
      </w:r>
      <w:r w:rsidR="00C52FC8">
        <w:rPr>
          <w:rFonts w:ascii="Arial" w:hAnsi="Arial" w:cs="Arial"/>
          <w:sz w:val="22"/>
          <w:szCs w:val="22"/>
        </w:rPr>
        <w:t xml:space="preserve">17 </w:t>
      </w:r>
      <w:r w:rsidR="00C05C03">
        <w:rPr>
          <w:rFonts w:ascii="Arial" w:hAnsi="Arial" w:cs="Arial"/>
          <w:sz w:val="22"/>
          <w:szCs w:val="22"/>
        </w:rPr>
        <w:t xml:space="preserve">inserts new rows at the end of the table in Schedule 1 to the </w:t>
      </w:r>
      <w:r w:rsidR="00C05C03">
        <w:rPr>
          <w:rFonts w:ascii="Arial" w:hAnsi="Arial" w:cs="Arial"/>
          <w:i/>
          <w:sz w:val="22"/>
          <w:szCs w:val="22"/>
        </w:rPr>
        <w:t>Fair Work Commission Rules 2013</w:t>
      </w:r>
      <w:r w:rsidR="00C05C03">
        <w:rPr>
          <w:rFonts w:ascii="Arial" w:hAnsi="Arial" w:cs="Arial"/>
          <w:sz w:val="22"/>
          <w:szCs w:val="22"/>
        </w:rPr>
        <w:t xml:space="preserve"> which set out </w:t>
      </w:r>
      <w:r>
        <w:rPr>
          <w:rFonts w:ascii="Arial" w:hAnsi="Arial" w:cs="Arial"/>
          <w:sz w:val="22"/>
          <w:szCs w:val="22"/>
        </w:rPr>
        <w:t>the requirements as to service for three new forms, namely Form F72—Application for an Order to Stop Bullying, Form F73—</w:t>
      </w:r>
      <w:r w:rsidR="001A5F3D">
        <w:rPr>
          <w:rFonts w:ascii="Arial" w:hAnsi="Arial" w:cs="Arial"/>
          <w:sz w:val="22"/>
          <w:szCs w:val="22"/>
        </w:rPr>
        <w:t>R</w:t>
      </w:r>
      <w:r>
        <w:rPr>
          <w:rFonts w:ascii="Arial" w:hAnsi="Arial" w:cs="Arial"/>
          <w:sz w:val="22"/>
          <w:szCs w:val="22"/>
        </w:rPr>
        <w:t>esponse from an Employer/Principal to an Application for an Order to Stop Bullying and Form F74—Response from a person against whom Bullying has been Alleged to an Application for an Order to Stop Bullying.</w:t>
      </w:r>
    </w:p>
    <w:p w:rsidR="00BF5445" w:rsidRDefault="00BF5445" w:rsidP="00C21F22">
      <w:pPr>
        <w:spacing w:before="40"/>
        <w:rPr>
          <w:rFonts w:ascii="Arial" w:hAnsi="Arial" w:cs="Arial"/>
          <w:i/>
          <w:sz w:val="22"/>
          <w:szCs w:val="22"/>
        </w:rPr>
      </w:pPr>
    </w:p>
    <w:p w:rsidR="00F444F5" w:rsidRDefault="00F444F5" w:rsidP="00C21F22">
      <w:pPr>
        <w:spacing w:before="40"/>
        <w:rPr>
          <w:rFonts w:ascii="Arial" w:hAnsi="Arial" w:cs="Arial"/>
          <w:sz w:val="22"/>
          <w:szCs w:val="22"/>
          <w:u w:val="single"/>
        </w:rPr>
        <w:sectPr w:rsidR="00F444F5" w:rsidSect="00AB2989">
          <w:footerReference w:type="default" r:id="rId7"/>
          <w:pgSz w:w="11906" w:h="16838"/>
          <w:pgMar w:top="1440" w:right="1440" w:bottom="1440" w:left="1440" w:header="708" w:footer="708" w:gutter="0"/>
          <w:cols w:space="708"/>
          <w:docGrid w:linePitch="360"/>
        </w:sectPr>
      </w:pPr>
    </w:p>
    <w:p w:rsidR="00F444F5" w:rsidRPr="00F444F5" w:rsidRDefault="00F444F5" w:rsidP="00F444F5">
      <w:pPr>
        <w:spacing w:before="40"/>
        <w:jc w:val="center"/>
        <w:rPr>
          <w:rFonts w:ascii="Arial" w:hAnsi="Arial" w:cs="Arial"/>
          <w:b/>
          <w:sz w:val="22"/>
          <w:szCs w:val="22"/>
        </w:rPr>
      </w:pPr>
      <w:r w:rsidRPr="00F444F5">
        <w:rPr>
          <w:rFonts w:ascii="Arial" w:hAnsi="Arial" w:cs="Arial"/>
          <w:b/>
          <w:sz w:val="22"/>
          <w:szCs w:val="22"/>
        </w:rPr>
        <w:t>Statement of Compatibility with Human Rights</w:t>
      </w:r>
    </w:p>
    <w:p w:rsidR="00F444F5" w:rsidRPr="00F444F5" w:rsidRDefault="00F444F5" w:rsidP="00F444F5">
      <w:pPr>
        <w:spacing w:before="40"/>
        <w:jc w:val="center"/>
        <w:rPr>
          <w:rFonts w:ascii="Arial" w:hAnsi="Arial" w:cs="Arial"/>
          <w:sz w:val="22"/>
          <w:szCs w:val="22"/>
        </w:rPr>
      </w:pPr>
      <w:r w:rsidRPr="005D45C9">
        <w:rPr>
          <w:rFonts w:ascii="Arial" w:hAnsi="Arial" w:cs="Arial"/>
          <w:sz w:val="22"/>
          <w:szCs w:val="22"/>
        </w:rPr>
        <w:t>Prepared in accordance with part 3 of the</w:t>
      </w:r>
      <w:r w:rsidRPr="00F444F5">
        <w:rPr>
          <w:rFonts w:ascii="Arial" w:hAnsi="Arial" w:cs="Arial"/>
          <w:i/>
          <w:sz w:val="22"/>
          <w:szCs w:val="22"/>
        </w:rPr>
        <w:t xml:space="preserve"> </w:t>
      </w:r>
      <w:r w:rsidRPr="00F444F5">
        <w:rPr>
          <w:rFonts w:ascii="Arial" w:hAnsi="Arial" w:cs="Arial"/>
          <w:i/>
          <w:sz w:val="22"/>
          <w:szCs w:val="22"/>
        </w:rPr>
        <w:br/>
        <w:t>Human Rights (Parliamentary Scrutiny) Act 2011</w:t>
      </w:r>
      <w:r w:rsidRPr="00F444F5">
        <w:rPr>
          <w:rFonts w:ascii="Arial" w:hAnsi="Arial" w:cs="Arial"/>
          <w:sz w:val="22"/>
          <w:szCs w:val="22"/>
        </w:rPr>
        <w:t xml:space="preserve"> (Cth)</w:t>
      </w:r>
    </w:p>
    <w:p w:rsidR="00F444F5" w:rsidRPr="00F444F5" w:rsidRDefault="00F444F5" w:rsidP="00F444F5">
      <w:pPr>
        <w:spacing w:before="40"/>
        <w:jc w:val="center"/>
        <w:rPr>
          <w:rFonts w:ascii="Arial" w:hAnsi="Arial" w:cs="Arial"/>
          <w:i/>
          <w:sz w:val="22"/>
          <w:szCs w:val="22"/>
        </w:rPr>
      </w:pPr>
    </w:p>
    <w:p w:rsidR="00F444F5" w:rsidRPr="00F444F5" w:rsidRDefault="00F444F5" w:rsidP="00F444F5">
      <w:pPr>
        <w:spacing w:before="40"/>
        <w:jc w:val="center"/>
        <w:rPr>
          <w:rFonts w:ascii="Arial" w:hAnsi="Arial" w:cs="Arial"/>
          <w:b/>
          <w:sz w:val="22"/>
          <w:szCs w:val="22"/>
        </w:rPr>
      </w:pPr>
      <w:r>
        <w:rPr>
          <w:rFonts w:ascii="Arial" w:hAnsi="Arial" w:cs="Arial"/>
          <w:b/>
          <w:i/>
          <w:sz w:val="22"/>
          <w:szCs w:val="22"/>
        </w:rPr>
        <w:t>Fair Work Commission</w:t>
      </w:r>
      <w:r w:rsidRPr="00F444F5">
        <w:rPr>
          <w:rFonts w:ascii="Arial" w:hAnsi="Arial" w:cs="Arial"/>
          <w:b/>
          <w:i/>
          <w:sz w:val="22"/>
          <w:szCs w:val="22"/>
        </w:rPr>
        <w:t xml:space="preserve"> </w:t>
      </w:r>
      <w:r w:rsidR="0059229B">
        <w:rPr>
          <w:rFonts w:ascii="Arial" w:hAnsi="Arial" w:cs="Arial"/>
          <w:b/>
          <w:i/>
          <w:sz w:val="22"/>
          <w:szCs w:val="22"/>
        </w:rPr>
        <w:t>Amendment (Anti-bullying</w:t>
      </w:r>
      <w:r w:rsidR="00F3362E">
        <w:rPr>
          <w:rFonts w:ascii="Arial" w:hAnsi="Arial" w:cs="Arial"/>
          <w:b/>
          <w:i/>
          <w:sz w:val="22"/>
          <w:szCs w:val="22"/>
        </w:rPr>
        <w:t xml:space="preserve"> and Other Measures</w:t>
      </w:r>
      <w:r w:rsidR="0059229B">
        <w:rPr>
          <w:rFonts w:ascii="Arial" w:hAnsi="Arial" w:cs="Arial"/>
          <w:b/>
          <w:i/>
          <w:sz w:val="22"/>
          <w:szCs w:val="22"/>
        </w:rPr>
        <w:t xml:space="preserve">) </w:t>
      </w:r>
      <w:r w:rsidRPr="00F444F5">
        <w:rPr>
          <w:rFonts w:ascii="Arial" w:hAnsi="Arial" w:cs="Arial"/>
          <w:b/>
          <w:i/>
          <w:sz w:val="22"/>
          <w:szCs w:val="22"/>
        </w:rPr>
        <w:t xml:space="preserve">Rules 2013 </w:t>
      </w:r>
    </w:p>
    <w:p w:rsidR="00F444F5" w:rsidRPr="00F444F5" w:rsidRDefault="00F444F5" w:rsidP="00F444F5">
      <w:pPr>
        <w:spacing w:before="40"/>
        <w:rPr>
          <w:rFonts w:ascii="Arial" w:hAnsi="Arial" w:cs="Arial"/>
          <w:i/>
          <w:sz w:val="22"/>
          <w:szCs w:val="22"/>
        </w:rPr>
      </w:pPr>
      <w:r w:rsidRPr="00F444F5">
        <w:rPr>
          <w:rFonts w:ascii="Arial" w:hAnsi="Arial" w:cs="Arial"/>
          <w:sz w:val="22"/>
          <w:szCs w:val="22"/>
        </w:rPr>
        <w:t xml:space="preserve">This instrument is compatible with the human rights and freedoms recognised or declared in the international instruments listed in section 3 of the </w:t>
      </w:r>
      <w:r w:rsidRPr="00F444F5">
        <w:rPr>
          <w:rFonts w:ascii="Arial" w:hAnsi="Arial" w:cs="Arial"/>
          <w:i/>
          <w:sz w:val="22"/>
          <w:szCs w:val="22"/>
        </w:rPr>
        <w:t xml:space="preserve">Human Rights (Parliamentary Scrutiny) Act 2011 </w:t>
      </w:r>
      <w:r w:rsidRPr="00F444F5">
        <w:rPr>
          <w:rFonts w:ascii="Arial" w:hAnsi="Arial" w:cs="Arial"/>
          <w:sz w:val="22"/>
          <w:szCs w:val="22"/>
        </w:rPr>
        <w:t>(Cth)</w:t>
      </w:r>
      <w:r w:rsidRPr="00F444F5">
        <w:rPr>
          <w:rFonts w:ascii="Arial" w:hAnsi="Arial" w:cs="Arial"/>
          <w:i/>
          <w:sz w:val="22"/>
          <w:szCs w:val="22"/>
        </w:rPr>
        <w:t>.</w:t>
      </w:r>
    </w:p>
    <w:p w:rsidR="00F444F5" w:rsidRPr="00F444F5" w:rsidRDefault="00F444F5" w:rsidP="00F444F5">
      <w:pPr>
        <w:spacing w:before="40"/>
        <w:rPr>
          <w:rFonts w:ascii="Arial" w:hAnsi="Arial" w:cs="Arial"/>
          <w:b/>
          <w:sz w:val="22"/>
          <w:szCs w:val="22"/>
        </w:rPr>
      </w:pPr>
      <w:r w:rsidRPr="00F444F5">
        <w:rPr>
          <w:rFonts w:ascii="Arial" w:hAnsi="Arial" w:cs="Arial"/>
          <w:b/>
          <w:sz w:val="22"/>
          <w:szCs w:val="22"/>
        </w:rPr>
        <w:t>Overview of the Legislative Instrument</w:t>
      </w:r>
    </w:p>
    <w:p w:rsidR="005D45C9" w:rsidRDefault="005D45C9" w:rsidP="00F444F5">
      <w:pPr>
        <w:spacing w:before="40"/>
        <w:rPr>
          <w:rFonts w:ascii="Arial" w:hAnsi="Arial" w:cs="Arial"/>
          <w:sz w:val="22"/>
          <w:szCs w:val="22"/>
        </w:rPr>
      </w:pPr>
      <w:r>
        <w:rPr>
          <w:rFonts w:ascii="Arial" w:hAnsi="Arial" w:cs="Arial"/>
          <w:sz w:val="22"/>
          <w:szCs w:val="22"/>
        </w:rPr>
        <w:t xml:space="preserve">The </w:t>
      </w:r>
      <w:r>
        <w:rPr>
          <w:rFonts w:ascii="Arial" w:hAnsi="Arial" w:cs="Arial"/>
          <w:i/>
          <w:sz w:val="22"/>
          <w:szCs w:val="22"/>
        </w:rPr>
        <w:t xml:space="preserve">Fair Work Commission </w:t>
      </w:r>
      <w:r w:rsidR="0059229B">
        <w:rPr>
          <w:rFonts w:ascii="Arial" w:hAnsi="Arial" w:cs="Arial"/>
          <w:i/>
          <w:sz w:val="22"/>
          <w:szCs w:val="22"/>
        </w:rPr>
        <w:t>Amendment (Anti-bullying</w:t>
      </w:r>
      <w:r w:rsidR="00F3362E">
        <w:rPr>
          <w:rFonts w:ascii="Arial" w:hAnsi="Arial" w:cs="Arial"/>
          <w:i/>
          <w:sz w:val="22"/>
          <w:szCs w:val="22"/>
        </w:rPr>
        <w:t xml:space="preserve"> and Other Measures</w:t>
      </w:r>
      <w:r w:rsidR="0059229B">
        <w:rPr>
          <w:rFonts w:ascii="Arial" w:hAnsi="Arial" w:cs="Arial"/>
          <w:i/>
          <w:sz w:val="22"/>
          <w:szCs w:val="22"/>
        </w:rPr>
        <w:t xml:space="preserve">) </w:t>
      </w:r>
      <w:r>
        <w:rPr>
          <w:rFonts w:ascii="Arial" w:hAnsi="Arial" w:cs="Arial"/>
          <w:i/>
          <w:sz w:val="22"/>
          <w:szCs w:val="22"/>
        </w:rPr>
        <w:t>Rules 2013</w:t>
      </w:r>
      <w:r>
        <w:rPr>
          <w:rFonts w:ascii="Arial" w:hAnsi="Arial" w:cs="Arial"/>
          <w:sz w:val="22"/>
          <w:szCs w:val="22"/>
        </w:rPr>
        <w:t xml:space="preserve"> (Rules) are procedural rules made by the President of the Fair Work Commission under section 609 of the </w:t>
      </w:r>
      <w:r>
        <w:rPr>
          <w:rFonts w:ascii="Arial" w:hAnsi="Arial" w:cs="Arial"/>
          <w:i/>
          <w:sz w:val="22"/>
          <w:szCs w:val="22"/>
        </w:rPr>
        <w:t>Fair Work Act 2009</w:t>
      </w:r>
      <w:r>
        <w:rPr>
          <w:rFonts w:ascii="Arial" w:hAnsi="Arial" w:cs="Arial"/>
          <w:sz w:val="22"/>
          <w:szCs w:val="22"/>
        </w:rPr>
        <w:t>.  The Rules are in relation to the practice and procedure that is to be followed by the Commission and the conduct of business in relation to matters allowed or required to be dealt with by the Commission.</w:t>
      </w:r>
    </w:p>
    <w:p w:rsidR="00F444F5" w:rsidRPr="00F444F5" w:rsidRDefault="00F444F5" w:rsidP="00F444F5">
      <w:pPr>
        <w:spacing w:before="40"/>
        <w:rPr>
          <w:rFonts w:ascii="Arial" w:hAnsi="Arial" w:cs="Arial"/>
          <w:b/>
          <w:sz w:val="22"/>
          <w:szCs w:val="22"/>
        </w:rPr>
      </w:pPr>
      <w:r w:rsidRPr="00F444F5">
        <w:rPr>
          <w:rFonts w:ascii="Arial" w:hAnsi="Arial" w:cs="Arial"/>
          <w:b/>
          <w:sz w:val="22"/>
          <w:szCs w:val="22"/>
        </w:rPr>
        <w:t>Human Rights Implications</w:t>
      </w:r>
    </w:p>
    <w:p w:rsidR="00F444F5" w:rsidRPr="00F444F5" w:rsidRDefault="00F444F5" w:rsidP="00F444F5">
      <w:pPr>
        <w:spacing w:before="40"/>
        <w:rPr>
          <w:rFonts w:ascii="Arial" w:hAnsi="Arial" w:cs="Arial"/>
          <w:sz w:val="22"/>
          <w:szCs w:val="22"/>
        </w:rPr>
      </w:pPr>
      <w:r w:rsidRPr="00F444F5">
        <w:rPr>
          <w:rFonts w:ascii="Arial" w:hAnsi="Arial" w:cs="Arial"/>
          <w:sz w:val="22"/>
          <w:szCs w:val="22"/>
        </w:rPr>
        <w:t xml:space="preserve">The </w:t>
      </w:r>
      <w:r w:rsidR="005D45C9">
        <w:rPr>
          <w:rFonts w:ascii="Arial" w:hAnsi="Arial" w:cs="Arial"/>
          <w:sz w:val="22"/>
          <w:szCs w:val="22"/>
        </w:rPr>
        <w:t>Rules</w:t>
      </w:r>
      <w:r w:rsidRPr="00F444F5">
        <w:rPr>
          <w:rFonts w:ascii="Arial" w:hAnsi="Arial" w:cs="Arial"/>
          <w:sz w:val="22"/>
          <w:szCs w:val="22"/>
        </w:rPr>
        <w:t xml:space="preserve"> do not engage any of the applicable rights or freedoms.</w:t>
      </w:r>
    </w:p>
    <w:p w:rsidR="00F444F5" w:rsidRPr="00F444F5" w:rsidRDefault="00F444F5" w:rsidP="00F444F5">
      <w:pPr>
        <w:spacing w:before="40"/>
        <w:rPr>
          <w:rFonts w:ascii="Arial" w:hAnsi="Arial" w:cs="Arial"/>
          <w:b/>
          <w:sz w:val="22"/>
          <w:szCs w:val="22"/>
        </w:rPr>
      </w:pPr>
      <w:r w:rsidRPr="00F444F5">
        <w:rPr>
          <w:rFonts w:ascii="Arial" w:hAnsi="Arial" w:cs="Arial"/>
          <w:b/>
          <w:sz w:val="22"/>
          <w:szCs w:val="22"/>
        </w:rPr>
        <w:t>Conclusion</w:t>
      </w:r>
    </w:p>
    <w:p w:rsidR="00F444F5" w:rsidRPr="00F444F5" w:rsidRDefault="005D45C9" w:rsidP="00F444F5">
      <w:pPr>
        <w:spacing w:before="40"/>
        <w:rPr>
          <w:rFonts w:ascii="Arial" w:hAnsi="Arial" w:cs="Arial"/>
          <w:sz w:val="22"/>
          <w:szCs w:val="22"/>
        </w:rPr>
      </w:pPr>
      <w:r>
        <w:rPr>
          <w:rFonts w:ascii="Arial" w:hAnsi="Arial" w:cs="Arial"/>
          <w:sz w:val="22"/>
          <w:szCs w:val="22"/>
        </w:rPr>
        <w:t>The Rules are</w:t>
      </w:r>
      <w:r w:rsidR="00F444F5" w:rsidRPr="00F444F5">
        <w:rPr>
          <w:rFonts w:ascii="Arial" w:hAnsi="Arial" w:cs="Arial"/>
          <w:sz w:val="22"/>
          <w:szCs w:val="22"/>
        </w:rPr>
        <w:t xml:space="preserve"> compatible with human rights as </w:t>
      </w:r>
      <w:r>
        <w:rPr>
          <w:rFonts w:ascii="Arial" w:hAnsi="Arial" w:cs="Arial"/>
          <w:sz w:val="22"/>
          <w:szCs w:val="22"/>
        </w:rPr>
        <w:t>they do</w:t>
      </w:r>
      <w:r w:rsidR="00F444F5" w:rsidRPr="00F444F5">
        <w:rPr>
          <w:rFonts w:ascii="Arial" w:hAnsi="Arial" w:cs="Arial"/>
          <w:sz w:val="22"/>
          <w:szCs w:val="22"/>
        </w:rPr>
        <w:t xml:space="preserve"> not raise any human rights issues. </w:t>
      </w:r>
    </w:p>
    <w:p w:rsidR="00F444F5" w:rsidRDefault="00F444F5" w:rsidP="00F444F5">
      <w:pPr>
        <w:autoSpaceDE w:val="0"/>
        <w:autoSpaceDN w:val="0"/>
        <w:adjustRightInd w:val="0"/>
        <w:spacing w:before="40"/>
        <w:rPr>
          <w:rFonts w:ascii="Arial" w:hAnsi="Arial" w:cs="Arial"/>
          <w:sz w:val="22"/>
          <w:szCs w:val="22"/>
        </w:rPr>
      </w:pPr>
    </w:p>
    <w:p w:rsidR="0059229B" w:rsidRDefault="0059229B" w:rsidP="00F444F5">
      <w:pPr>
        <w:autoSpaceDE w:val="0"/>
        <w:autoSpaceDN w:val="0"/>
        <w:adjustRightInd w:val="0"/>
        <w:spacing w:before="40"/>
        <w:rPr>
          <w:rFonts w:ascii="Arial" w:hAnsi="Arial" w:cs="Arial"/>
          <w:sz w:val="22"/>
          <w:szCs w:val="22"/>
        </w:rPr>
      </w:pPr>
    </w:p>
    <w:p w:rsidR="0059229B" w:rsidRDefault="0059229B" w:rsidP="00F444F5">
      <w:pPr>
        <w:autoSpaceDE w:val="0"/>
        <w:autoSpaceDN w:val="0"/>
        <w:adjustRightInd w:val="0"/>
        <w:spacing w:before="40"/>
        <w:rPr>
          <w:rFonts w:ascii="Arial" w:hAnsi="Arial" w:cs="Arial"/>
          <w:sz w:val="22"/>
          <w:szCs w:val="22"/>
        </w:rPr>
      </w:pPr>
    </w:p>
    <w:p w:rsidR="0059229B" w:rsidRDefault="0059229B" w:rsidP="00F444F5">
      <w:pPr>
        <w:autoSpaceDE w:val="0"/>
        <w:autoSpaceDN w:val="0"/>
        <w:adjustRightInd w:val="0"/>
        <w:spacing w:before="40"/>
        <w:rPr>
          <w:rFonts w:ascii="Arial" w:hAnsi="Arial" w:cs="Arial"/>
          <w:sz w:val="22"/>
          <w:szCs w:val="22"/>
        </w:rPr>
      </w:pPr>
    </w:p>
    <w:p w:rsidR="0059229B" w:rsidRDefault="0059229B" w:rsidP="00F444F5">
      <w:pPr>
        <w:autoSpaceDE w:val="0"/>
        <w:autoSpaceDN w:val="0"/>
        <w:adjustRightInd w:val="0"/>
        <w:spacing w:before="40"/>
        <w:rPr>
          <w:rFonts w:ascii="Arial" w:hAnsi="Arial" w:cs="Arial"/>
          <w:sz w:val="22"/>
          <w:szCs w:val="22"/>
        </w:rPr>
      </w:pPr>
    </w:p>
    <w:p w:rsidR="0059229B" w:rsidRDefault="0059229B" w:rsidP="00F444F5">
      <w:pPr>
        <w:autoSpaceDE w:val="0"/>
        <w:autoSpaceDN w:val="0"/>
        <w:adjustRightInd w:val="0"/>
        <w:spacing w:before="40"/>
        <w:rPr>
          <w:rFonts w:ascii="Arial" w:hAnsi="Arial" w:cs="Arial"/>
          <w:sz w:val="22"/>
          <w:szCs w:val="22"/>
        </w:rPr>
      </w:pPr>
    </w:p>
    <w:p w:rsidR="0059229B" w:rsidRDefault="0059229B" w:rsidP="00F444F5">
      <w:pPr>
        <w:autoSpaceDE w:val="0"/>
        <w:autoSpaceDN w:val="0"/>
        <w:adjustRightInd w:val="0"/>
        <w:spacing w:before="40"/>
        <w:rPr>
          <w:rFonts w:ascii="Arial" w:hAnsi="Arial" w:cs="Arial"/>
          <w:sz w:val="22"/>
          <w:szCs w:val="22"/>
        </w:rPr>
      </w:pPr>
    </w:p>
    <w:p w:rsidR="0059229B" w:rsidRDefault="0059229B" w:rsidP="00F444F5">
      <w:pPr>
        <w:autoSpaceDE w:val="0"/>
        <w:autoSpaceDN w:val="0"/>
        <w:adjustRightInd w:val="0"/>
        <w:spacing w:before="40"/>
        <w:rPr>
          <w:rFonts w:ascii="Arial" w:hAnsi="Arial" w:cs="Arial"/>
          <w:sz w:val="22"/>
          <w:szCs w:val="22"/>
        </w:rPr>
      </w:pPr>
    </w:p>
    <w:p w:rsidR="0059229B" w:rsidRDefault="0059229B" w:rsidP="00F444F5">
      <w:pPr>
        <w:autoSpaceDE w:val="0"/>
        <w:autoSpaceDN w:val="0"/>
        <w:adjustRightInd w:val="0"/>
        <w:spacing w:before="40"/>
        <w:rPr>
          <w:rFonts w:ascii="Arial" w:hAnsi="Arial" w:cs="Arial"/>
          <w:sz w:val="22"/>
          <w:szCs w:val="22"/>
        </w:rPr>
      </w:pPr>
    </w:p>
    <w:p w:rsidR="0059229B" w:rsidRDefault="0059229B" w:rsidP="00F444F5">
      <w:pPr>
        <w:autoSpaceDE w:val="0"/>
        <w:autoSpaceDN w:val="0"/>
        <w:adjustRightInd w:val="0"/>
        <w:spacing w:before="40"/>
        <w:rPr>
          <w:rFonts w:ascii="Arial" w:hAnsi="Arial" w:cs="Arial"/>
          <w:sz w:val="22"/>
          <w:szCs w:val="22"/>
        </w:rPr>
      </w:pPr>
    </w:p>
    <w:p w:rsidR="0059229B" w:rsidRDefault="0059229B" w:rsidP="00F444F5">
      <w:pPr>
        <w:autoSpaceDE w:val="0"/>
        <w:autoSpaceDN w:val="0"/>
        <w:adjustRightInd w:val="0"/>
        <w:spacing w:before="40"/>
        <w:rPr>
          <w:rFonts w:ascii="Arial" w:hAnsi="Arial" w:cs="Arial"/>
          <w:sz w:val="22"/>
          <w:szCs w:val="22"/>
        </w:rPr>
      </w:pPr>
    </w:p>
    <w:p w:rsidR="0059229B" w:rsidRPr="00F444F5" w:rsidRDefault="007240BD" w:rsidP="00F444F5">
      <w:pPr>
        <w:autoSpaceDE w:val="0"/>
        <w:autoSpaceDN w:val="0"/>
        <w:adjustRightInd w:val="0"/>
        <w:spacing w:before="40"/>
        <w:rPr>
          <w:rFonts w:ascii="Arial" w:hAnsi="Arial" w:cs="Arial"/>
          <w:sz w:val="22"/>
          <w:szCs w:val="22"/>
        </w:rPr>
      </w:pPr>
      <w:r>
        <w:rPr>
          <w:rFonts w:ascii="Arial" w:hAnsi="Arial" w:cs="Arial"/>
          <w:sz w:val="22"/>
          <w:szCs w:val="22"/>
        </w:rPr>
        <w:t>Justice Iain Ross AO</w:t>
      </w:r>
      <w:r>
        <w:rPr>
          <w:rFonts w:ascii="Arial" w:hAnsi="Arial" w:cs="Arial"/>
          <w:sz w:val="22"/>
          <w:szCs w:val="22"/>
        </w:rPr>
        <w:br/>
        <w:t>President</w:t>
      </w:r>
      <w:r>
        <w:rPr>
          <w:rFonts w:ascii="Arial" w:hAnsi="Arial" w:cs="Arial"/>
          <w:sz w:val="22"/>
          <w:szCs w:val="22"/>
        </w:rPr>
        <w:br/>
        <w:t>Fair Work Commission</w:t>
      </w:r>
    </w:p>
    <w:sectPr w:rsidR="0059229B" w:rsidRPr="00F444F5" w:rsidSect="00AB2989">
      <w:pgSz w:w="11906" w:h="16838"/>
      <w:pgMar w:top="1440" w:right="1440" w:bottom="1440" w:left="144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903C4" w:rsidRDefault="00E903C4" w:rsidP="00C27B1D">
      <w:pPr>
        <w:spacing w:after="0" w:line="240" w:lineRule="auto"/>
      </w:pPr>
      <w:r>
        <w:separator/>
      </w:r>
    </w:p>
  </w:endnote>
  <w:endnote w:type="continuationSeparator" w:id="0">
    <w:p w:rsidR="00E903C4" w:rsidRDefault="00E903C4" w:rsidP="00C27B1D">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903C4" w:rsidRDefault="00F623AB">
    <w:pPr>
      <w:pStyle w:val="Footer"/>
      <w:jc w:val="right"/>
    </w:pPr>
    <w:fldSimple w:instr=" PAGE   \* MERGEFORMAT ">
      <w:r w:rsidR="00BA60B6">
        <w:rPr>
          <w:noProof/>
        </w:rPr>
        <w:t>3</w:t>
      </w:r>
    </w:fldSimple>
  </w:p>
  <w:p w:rsidR="00E903C4" w:rsidRPr="00C10100" w:rsidRDefault="00E903C4" w:rsidP="00C10100">
    <w:pPr>
      <w:pStyle w:val="Footer"/>
      <w:pBdr>
        <w:top w:val="single" w:sz="4" w:space="1" w:color="auto"/>
      </w:pBdr>
      <w:rPr>
        <w:rFonts w:ascii="Arial" w:hAnsi="Arial" w:cs="Arial"/>
        <w:i/>
        <w:sz w:val="16"/>
        <w:szCs w:val="16"/>
      </w:rPr>
    </w:pPr>
    <w:r w:rsidRPr="00C10100">
      <w:rPr>
        <w:rFonts w:ascii="Arial" w:hAnsi="Arial" w:cs="Arial"/>
        <w:i/>
        <w:sz w:val="16"/>
        <w:szCs w:val="16"/>
      </w:rPr>
      <w:t xml:space="preserve">Fair Work </w:t>
    </w:r>
    <w:r>
      <w:rPr>
        <w:rFonts w:ascii="Arial" w:hAnsi="Arial" w:cs="Arial"/>
        <w:i/>
        <w:sz w:val="16"/>
        <w:szCs w:val="16"/>
      </w:rPr>
      <w:t>Commission</w:t>
    </w:r>
    <w:r w:rsidRPr="00C10100">
      <w:rPr>
        <w:rFonts w:ascii="Arial" w:hAnsi="Arial" w:cs="Arial"/>
        <w:i/>
        <w:sz w:val="16"/>
        <w:szCs w:val="16"/>
      </w:rPr>
      <w:t xml:space="preserve"> </w:t>
    </w:r>
    <w:r>
      <w:rPr>
        <w:rFonts w:ascii="Arial" w:hAnsi="Arial" w:cs="Arial"/>
        <w:i/>
        <w:sz w:val="16"/>
        <w:szCs w:val="16"/>
      </w:rPr>
      <w:t>Amendment (Anti-</w:t>
    </w:r>
    <w:r w:rsidR="00CB1DD1">
      <w:rPr>
        <w:rFonts w:ascii="Arial" w:hAnsi="Arial" w:cs="Arial"/>
        <w:i/>
        <w:sz w:val="16"/>
        <w:szCs w:val="16"/>
      </w:rPr>
      <w:t>B</w:t>
    </w:r>
    <w:r>
      <w:rPr>
        <w:rFonts w:ascii="Arial" w:hAnsi="Arial" w:cs="Arial"/>
        <w:i/>
        <w:sz w:val="16"/>
        <w:szCs w:val="16"/>
      </w:rPr>
      <w:t xml:space="preserve">ullying and Other Measures) </w:t>
    </w:r>
    <w:r w:rsidRPr="00C10100">
      <w:rPr>
        <w:rFonts w:ascii="Arial" w:hAnsi="Arial" w:cs="Arial"/>
        <w:i/>
        <w:sz w:val="16"/>
        <w:szCs w:val="16"/>
      </w:rPr>
      <w:t>Rules 201</w:t>
    </w:r>
    <w:r>
      <w:rPr>
        <w:rFonts w:ascii="Arial" w:hAnsi="Arial" w:cs="Arial"/>
        <w:i/>
        <w:sz w:val="16"/>
        <w:szCs w:val="16"/>
      </w:rPr>
      <w:t>3</w:t>
    </w:r>
    <w:r w:rsidRPr="00C10100">
      <w:rPr>
        <w:rFonts w:ascii="Arial" w:hAnsi="Arial" w:cs="Arial"/>
        <w:i/>
        <w:sz w:val="16"/>
        <w:szCs w:val="16"/>
      </w:rPr>
      <w:t>: Explanatory Statement</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903C4" w:rsidRDefault="00E903C4" w:rsidP="00C27B1D">
      <w:pPr>
        <w:spacing w:after="0" w:line="240" w:lineRule="auto"/>
      </w:pPr>
      <w:r>
        <w:separator/>
      </w:r>
    </w:p>
  </w:footnote>
  <w:footnote w:type="continuationSeparator" w:id="0">
    <w:p w:rsidR="00E903C4" w:rsidRDefault="00E903C4" w:rsidP="00C27B1D">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removePersonalInformation/>
  <w:removeDateAndTime/>
  <w:defaultTabStop w:val="720"/>
  <w:characterSpacingControl w:val="doNotCompress"/>
  <w:hdrShapeDefaults>
    <o:shapedefaults v:ext="edit" spidmax="4097"/>
  </w:hdrShapeDefaults>
  <w:footnotePr>
    <w:footnote w:id="-1"/>
    <w:footnote w:id="0"/>
  </w:footnotePr>
  <w:endnotePr>
    <w:endnote w:id="-1"/>
    <w:endnote w:id="0"/>
  </w:endnotePr>
  <w:compat/>
  <w:rsids>
    <w:rsidRoot w:val="00D42038"/>
    <w:rsid w:val="00016E74"/>
    <w:rsid w:val="0002632E"/>
    <w:rsid w:val="000268B0"/>
    <w:rsid w:val="00034AD0"/>
    <w:rsid w:val="00036990"/>
    <w:rsid w:val="00036A33"/>
    <w:rsid w:val="0004426C"/>
    <w:rsid w:val="00044E18"/>
    <w:rsid w:val="00051BCB"/>
    <w:rsid w:val="00062695"/>
    <w:rsid w:val="00067E54"/>
    <w:rsid w:val="00093061"/>
    <w:rsid w:val="000A4BAD"/>
    <w:rsid w:val="000B6935"/>
    <w:rsid w:val="000C6365"/>
    <w:rsid w:val="000C7993"/>
    <w:rsid w:val="000D4AA3"/>
    <w:rsid w:val="000D76F4"/>
    <w:rsid w:val="000E1545"/>
    <w:rsid w:val="000E5496"/>
    <w:rsid w:val="000E6F23"/>
    <w:rsid w:val="00114F04"/>
    <w:rsid w:val="00131C0C"/>
    <w:rsid w:val="00132473"/>
    <w:rsid w:val="00172EF3"/>
    <w:rsid w:val="00181DD0"/>
    <w:rsid w:val="001920E3"/>
    <w:rsid w:val="00195798"/>
    <w:rsid w:val="00196003"/>
    <w:rsid w:val="001A5F3D"/>
    <w:rsid w:val="001A6B85"/>
    <w:rsid w:val="001C2BDA"/>
    <w:rsid w:val="001D59FF"/>
    <w:rsid w:val="001E530F"/>
    <w:rsid w:val="001F2265"/>
    <w:rsid w:val="001F2712"/>
    <w:rsid w:val="00205D53"/>
    <w:rsid w:val="0021782E"/>
    <w:rsid w:val="002255C0"/>
    <w:rsid w:val="00237BE6"/>
    <w:rsid w:val="00237E6F"/>
    <w:rsid w:val="00270F1A"/>
    <w:rsid w:val="00286170"/>
    <w:rsid w:val="0029218B"/>
    <w:rsid w:val="002B5569"/>
    <w:rsid w:val="002B7BAD"/>
    <w:rsid w:val="002C4688"/>
    <w:rsid w:val="002D5BA9"/>
    <w:rsid w:val="002F48BB"/>
    <w:rsid w:val="0030144F"/>
    <w:rsid w:val="00316F88"/>
    <w:rsid w:val="00332AD5"/>
    <w:rsid w:val="003336B2"/>
    <w:rsid w:val="00350165"/>
    <w:rsid w:val="003548B1"/>
    <w:rsid w:val="003606FB"/>
    <w:rsid w:val="00367ACA"/>
    <w:rsid w:val="00371A9A"/>
    <w:rsid w:val="00372D49"/>
    <w:rsid w:val="003819CE"/>
    <w:rsid w:val="0038555C"/>
    <w:rsid w:val="00392CB4"/>
    <w:rsid w:val="003A2C3D"/>
    <w:rsid w:val="003C41B8"/>
    <w:rsid w:val="003C5CA3"/>
    <w:rsid w:val="003D1A45"/>
    <w:rsid w:val="003D4A47"/>
    <w:rsid w:val="003D5A5D"/>
    <w:rsid w:val="003E0CF3"/>
    <w:rsid w:val="003E54F9"/>
    <w:rsid w:val="003E7B79"/>
    <w:rsid w:val="003F31F4"/>
    <w:rsid w:val="003F7A52"/>
    <w:rsid w:val="00405422"/>
    <w:rsid w:val="004203C1"/>
    <w:rsid w:val="00430BA0"/>
    <w:rsid w:val="00447C76"/>
    <w:rsid w:val="00450F78"/>
    <w:rsid w:val="00454BA6"/>
    <w:rsid w:val="004622C4"/>
    <w:rsid w:val="004661AF"/>
    <w:rsid w:val="004725D7"/>
    <w:rsid w:val="00482E44"/>
    <w:rsid w:val="00483B67"/>
    <w:rsid w:val="00484885"/>
    <w:rsid w:val="004937D4"/>
    <w:rsid w:val="004A3202"/>
    <w:rsid w:val="004A4923"/>
    <w:rsid w:val="004B39FB"/>
    <w:rsid w:val="004B6BF2"/>
    <w:rsid w:val="004C0ACD"/>
    <w:rsid w:val="004C244E"/>
    <w:rsid w:val="004C274E"/>
    <w:rsid w:val="004D5803"/>
    <w:rsid w:val="004D63A6"/>
    <w:rsid w:val="0050721E"/>
    <w:rsid w:val="0051159C"/>
    <w:rsid w:val="00513F0D"/>
    <w:rsid w:val="00514D37"/>
    <w:rsid w:val="00515E1A"/>
    <w:rsid w:val="00525651"/>
    <w:rsid w:val="00525D23"/>
    <w:rsid w:val="00527203"/>
    <w:rsid w:val="00533CD2"/>
    <w:rsid w:val="005362DA"/>
    <w:rsid w:val="005607AB"/>
    <w:rsid w:val="00566542"/>
    <w:rsid w:val="005704AC"/>
    <w:rsid w:val="00571DC1"/>
    <w:rsid w:val="00573CDB"/>
    <w:rsid w:val="005829B5"/>
    <w:rsid w:val="005830B0"/>
    <w:rsid w:val="0059131C"/>
    <w:rsid w:val="0059229B"/>
    <w:rsid w:val="005C4A62"/>
    <w:rsid w:val="005C590A"/>
    <w:rsid w:val="005D1BD0"/>
    <w:rsid w:val="005D45C9"/>
    <w:rsid w:val="005E0CCF"/>
    <w:rsid w:val="005E634D"/>
    <w:rsid w:val="00601DA8"/>
    <w:rsid w:val="00602467"/>
    <w:rsid w:val="006051B8"/>
    <w:rsid w:val="00617E55"/>
    <w:rsid w:val="006212A2"/>
    <w:rsid w:val="006215CB"/>
    <w:rsid w:val="006356F2"/>
    <w:rsid w:val="0064498B"/>
    <w:rsid w:val="00645F24"/>
    <w:rsid w:val="00657541"/>
    <w:rsid w:val="0066098A"/>
    <w:rsid w:val="006713AF"/>
    <w:rsid w:val="0069116A"/>
    <w:rsid w:val="006A64DB"/>
    <w:rsid w:val="006D6505"/>
    <w:rsid w:val="006D6BF7"/>
    <w:rsid w:val="006E073B"/>
    <w:rsid w:val="006E3CCD"/>
    <w:rsid w:val="006E7183"/>
    <w:rsid w:val="006F1AB8"/>
    <w:rsid w:val="006F294C"/>
    <w:rsid w:val="006F4C74"/>
    <w:rsid w:val="00700C77"/>
    <w:rsid w:val="00706318"/>
    <w:rsid w:val="007240BD"/>
    <w:rsid w:val="007247D1"/>
    <w:rsid w:val="00726AD6"/>
    <w:rsid w:val="00727E22"/>
    <w:rsid w:val="007625C8"/>
    <w:rsid w:val="00764918"/>
    <w:rsid w:val="00767BB2"/>
    <w:rsid w:val="00773F88"/>
    <w:rsid w:val="007751F6"/>
    <w:rsid w:val="00793509"/>
    <w:rsid w:val="007A4B27"/>
    <w:rsid w:val="007B1561"/>
    <w:rsid w:val="007B2764"/>
    <w:rsid w:val="007C2540"/>
    <w:rsid w:val="007C7517"/>
    <w:rsid w:val="007D0197"/>
    <w:rsid w:val="007D6001"/>
    <w:rsid w:val="007F13FB"/>
    <w:rsid w:val="007F39FB"/>
    <w:rsid w:val="007F3E91"/>
    <w:rsid w:val="00805C87"/>
    <w:rsid w:val="00821BEA"/>
    <w:rsid w:val="00844B13"/>
    <w:rsid w:val="008457C8"/>
    <w:rsid w:val="00847491"/>
    <w:rsid w:val="00852CA7"/>
    <w:rsid w:val="0086057D"/>
    <w:rsid w:val="00872CE5"/>
    <w:rsid w:val="008756DE"/>
    <w:rsid w:val="008964C5"/>
    <w:rsid w:val="0089659E"/>
    <w:rsid w:val="008A4EA0"/>
    <w:rsid w:val="008C0C15"/>
    <w:rsid w:val="008D3797"/>
    <w:rsid w:val="008E0DAE"/>
    <w:rsid w:val="008E474C"/>
    <w:rsid w:val="008E4A70"/>
    <w:rsid w:val="008F3522"/>
    <w:rsid w:val="0090046B"/>
    <w:rsid w:val="009209DC"/>
    <w:rsid w:val="00960C1A"/>
    <w:rsid w:val="009721FE"/>
    <w:rsid w:val="00973E20"/>
    <w:rsid w:val="00976616"/>
    <w:rsid w:val="0099422B"/>
    <w:rsid w:val="009A2451"/>
    <w:rsid w:val="009A49C0"/>
    <w:rsid w:val="009A7FEE"/>
    <w:rsid w:val="009B4E15"/>
    <w:rsid w:val="009C158B"/>
    <w:rsid w:val="009C1733"/>
    <w:rsid w:val="009C46DB"/>
    <w:rsid w:val="009C63E3"/>
    <w:rsid w:val="009D1FB3"/>
    <w:rsid w:val="009E31BC"/>
    <w:rsid w:val="009F4933"/>
    <w:rsid w:val="00A010C4"/>
    <w:rsid w:val="00A01613"/>
    <w:rsid w:val="00A03B87"/>
    <w:rsid w:val="00A119D9"/>
    <w:rsid w:val="00A22B94"/>
    <w:rsid w:val="00A374B7"/>
    <w:rsid w:val="00A46DF7"/>
    <w:rsid w:val="00A656CF"/>
    <w:rsid w:val="00A67EEC"/>
    <w:rsid w:val="00A7459B"/>
    <w:rsid w:val="00A77891"/>
    <w:rsid w:val="00AB23B6"/>
    <w:rsid w:val="00AB2989"/>
    <w:rsid w:val="00AB6A58"/>
    <w:rsid w:val="00AD754F"/>
    <w:rsid w:val="00AE1113"/>
    <w:rsid w:val="00AF1D4F"/>
    <w:rsid w:val="00AF2A0C"/>
    <w:rsid w:val="00B26288"/>
    <w:rsid w:val="00B310B5"/>
    <w:rsid w:val="00B3136E"/>
    <w:rsid w:val="00B40D7E"/>
    <w:rsid w:val="00B436B5"/>
    <w:rsid w:val="00B67AA4"/>
    <w:rsid w:val="00B9192F"/>
    <w:rsid w:val="00B92B7C"/>
    <w:rsid w:val="00BA30EA"/>
    <w:rsid w:val="00BA60B6"/>
    <w:rsid w:val="00BA6542"/>
    <w:rsid w:val="00BA6AD8"/>
    <w:rsid w:val="00BB2F9B"/>
    <w:rsid w:val="00BD19D7"/>
    <w:rsid w:val="00BD3BD0"/>
    <w:rsid w:val="00BE1BC8"/>
    <w:rsid w:val="00BF2709"/>
    <w:rsid w:val="00BF5445"/>
    <w:rsid w:val="00C05C03"/>
    <w:rsid w:val="00C10100"/>
    <w:rsid w:val="00C14A08"/>
    <w:rsid w:val="00C21F22"/>
    <w:rsid w:val="00C27B1D"/>
    <w:rsid w:val="00C43A31"/>
    <w:rsid w:val="00C477D7"/>
    <w:rsid w:val="00C52FC8"/>
    <w:rsid w:val="00C67740"/>
    <w:rsid w:val="00C67B2A"/>
    <w:rsid w:val="00C72E7B"/>
    <w:rsid w:val="00C82887"/>
    <w:rsid w:val="00C83FC0"/>
    <w:rsid w:val="00C91A5A"/>
    <w:rsid w:val="00C946A1"/>
    <w:rsid w:val="00CA7827"/>
    <w:rsid w:val="00CB1DD1"/>
    <w:rsid w:val="00CB5F83"/>
    <w:rsid w:val="00CC127D"/>
    <w:rsid w:val="00CD3302"/>
    <w:rsid w:val="00CE2FF7"/>
    <w:rsid w:val="00CF1448"/>
    <w:rsid w:val="00D00B10"/>
    <w:rsid w:val="00D0530C"/>
    <w:rsid w:val="00D12FBE"/>
    <w:rsid w:val="00D23BE7"/>
    <w:rsid w:val="00D243B9"/>
    <w:rsid w:val="00D27CDA"/>
    <w:rsid w:val="00D41544"/>
    <w:rsid w:val="00D42038"/>
    <w:rsid w:val="00D603A0"/>
    <w:rsid w:val="00D75D63"/>
    <w:rsid w:val="00D841D5"/>
    <w:rsid w:val="00D842A3"/>
    <w:rsid w:val="00DB1256"/>
    <w:rsid w:val="00DD3357"/>
    <w:rsid w:val="00DE2179"/>
    <w:rsid w:val="00DE5516"/>
    <w:rsid w:val="00DF72C2"/>
    <w:rsid w:val="00E23E21"/>
    <w:rsid w:val="00E24478"/>
    <w:rsid w:val="00E26B6E"/>
    <w:rsid w:val="00E31F3E"/>
    <w:rsid w:val="00E330AF"/>
    <w:rsid w:val="00E60E54"/>
    <w:rsid w:val="00E62311"/>
    <w:rsid w:val="00E71238"/>
    <w:rsid w:val="00E734CB"/>
    <w:rsid w:val="00E75C39"/>
    <w:rsid w:val="00E778AA"/>
    <w:rsid w:val="00E8243E"/>
    <w:rsid w:val="00E82CEB"/>
    <w:rsid w:val="00E903C4"/>
    <w:rsid w:val="00E931F6"/>
    <w:rsid w:val="00E95C80"/>
    <w:rsid w:val="00E96CC7"/>
    <w:rsid w:val="00E976D3"/>
    <w:rsid w:val="00EA1ACF"/>
    <w:rsid w:val="00EA62BB"/>
    <w:rsid w:val="00EA6B98"/>
    <w:rsid w:val="00EB10C3"/>
    <w:rsid w:val="00EE24B7"/>
    <w:rsid w:val="00F16BA0"/>
    <w:rsid w:val="00F21E60"/>
    <w:rsid w:val="00F27354"/>
    <w:rsid w:val="00F27CD5"/>
    <w:rsid w:val="00F3362E"/>
    <w:rsid w:val="00F34B40"/>
    <w:rsid w:val="00F41DC6"/>
    <w:rsid w:val="00F444F5"/>
    <w:rsid w:val="00F51206"/>
    <w:rsid w:val="00F609C0"/>
    <w:rsid w:val="00F60C36"/>
    <w:rsid w:val="00F623AB"/>
    <w:rsid w:val="00F96A6D"/>
    <w:rsid w:val="00FA3E1A"/>
    <w:rsid w:val="00FC68E2"/>
    <w:rsid w:val="00FD0B98"/>
    <w:rsid w:val="00FE5D34"/>
  </w:rsids>
  <m:mathPr>
    <m:mathFont m:val="Cambria Math"/>
    <m:brkBin m:val="before"/>
    <m:brkBinSub m:val="--"/>
    <m:smallFrac m:val="off"/>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Calibri" w:hAnsi="Times New Roman" w:cs="Times New Roman"/>
        <w:lang w:val="en-AU" w:eastAsia="en-A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B2989"/>
    <w:pPr>
      <w:spacing w:after="200" w:line="276" w:lineRule="auto"/>
    </w:pPr>
    <w:rPr>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graph">
    <w:name w:val="paragraph"/>
    <w:aliases w:val="a"/>
    <w:rsid w:val="00450F78"/>
    <w:pPr>
      <w:tabs>
        <w:tab w:val="right" w:pos="1531"/>
      </w:tabs>
      <w:spacing w:before="40"/>
      <w:ind w:left="1644" w:hanging="1644"/>
    </w:pPr>
    <w:rPr>
      <w:rFonts w:eastAsia="Times New Roman"/>
      <w:sz w:val="22"/>
      <w:szCs w:val="24"/>
    </w:rPr>
  </w:style>
  <w:style w:type="paragraph" w:customStyle="1" w:styleId="subsection">
    <w:name w:val="subsection"/>
    <w:aliases w:val="ss"/>
    <w:link w:val="subsectionChar"/>
    <w:rsid w:val="00450F78"/>
    <w:pPr>
      <w:tabs>
        <w:tab w:val="right" w:pos="1021"/>
      </w:tabs>
      <w:spacing w:before="180"/>
      <w:ind w:left="1134" w:hanging="1134"/>
    </w:pPr>
    <w:rPr>
      <w:rFonts w:eastAsia="Times New Roman"/>
      <w:sz w:val="22"/>
      <w:szCs w:val="24"/>
    </w:rPr>
  </w:style>
  <w:style w:type="character" w:customStyle="1" w:styleId="subsectionChar">
    <w:name w:val="subsection Char"/>
    <w:aliases w:val="ss Char"/>
    <w:basedOn w:val="DefaultParagraphFont"/>
    <w:link w:val="subsection"/>
    <w:rsid w:val="00450F78"/>
    <w:rPr>
      <w:rFonts w:eastAsia="Times New Roman"/>
      <w:sz w:val="22"/>
      <w:szCs w:val="24"/>
      <w:lang w:val="en-AU" w:eastAsia="en-AU" w:bidi="ar-SA"/>
    </w:rPr>
  </w:style>
  <w:style w:type="paragraph" w:styleId="Header">
    <w:name w:val="header"/>
    <w:basedOn w:val="Normal"/>
    <w:link w:val="HeaderChar"/>
    <w:uiPriority w:val="99"/>
    <w:semiHidden/>
    <w:unhideWhenUsed/>
    <w:rsid w:val="00C27B1D"/>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C27B1D"/>
  </w:style>
  <w:style w:type="paragraph" w:styleId="Footer">
    <w:name w:val="footer"/>
    <w:basedOn w:val="Normal"/>
    <w:link w:val="FooterChar"/>
    <w:uiPriority w:val="99"/>
    <w:unhideWhenUsed/>
    <w:rsid w:val="00C27B1D"/>
    <w:pPr>
      <w:tabs>
        <w:tab w:val="center" w:pos="4513"/>
        <w:tab w:val="right" w:pos="9026"/>
      </w:tabs>
      <w:spacing w:after="0" w:line="240" w:lineRule="auto"/>
    </w:pPr>
  </w:style>
  <w:style w:type="character" w:customStyle="1" w:styleId="FooterChar">
    <w:name w:val="Footer Char"/>
    <w:basedOn w:val="DefaultParagraphFont"/>
    <w:link w:val="Footer"/>
    <w:uiPriority w:val="99"/>
    <w:rsid w:val="00C27B1D"/>
  </w:style>
  <w:style w:type="character" w:styleId="Hyperlink">
    <w:name w:val="Hyperlink"/>
    <w:basedOn w:val="DefaultParagraphFont"/>
    <w:uiPriority w:val="99"/>
    <w:unhideWhenUsed/>
    <w:rsid w:val="00F444F5"/>
    <w:rPr>
      <w:color w:val="0000FF" w:themeColor="hyperlink"/>
      <w:u w:val="single"/>
    </w:rPr>
  </w:style>
  <w:style w:type="character" w:styleId="CommentReference">
    <w:name w:val="annotation reference"/>
    <w:basedOn w:val="DefaultParagraphFont"/>
    <w:uiPriority w:val="99"/>
    <w:semiHidden/>
    <w:unhideWhenUsed/>
    <w:rsid w:val="00767BB2"/>
    <w:rPr>
      <w:sz w:val="16"/>
      <w:szCs w:val="16"/>
    </w:rPr>
  </w:style>
  <w:style w:type="paragraph" w:styleId="CommentText">
    <w:name w:val="annotation text"/>
    <w:basedOn w:val="Normal"/>
    <w:link w:val="CommentTextChar"/>
    <w:uiPriority w:val="99"/>
    <w:semiHidden/>
    <w:unhideWhenUsed/>
    <w:rsid w:val="00767BB2"/>
    <w:pPr>
      <w:spacing w:line="240" w:lineRule="auto"/>
    </w:pPr>
    <w:rPr>
      <w:sz w:val="20"/>
      <w:szCs w:val="20"/>
    </w:rPr>
  </w:style>
  <w:style w:type="character" w:customStyle="1" w:styleId="CommentTextChar">
    <w:name w:val="Comment Text Char"/>
    <w:basedOn w:val="DefaultParagraphFont"/>
    <w:link w:val="CommentText"/>
    <w:uiPriority w:val="99"/>
    <w:semiHidden/>
    <w:rsid w:val="00767BB2"/>
    <w:rPr>
      <w:lang w:eastAsia="en-US"/>
    </w:rPr>
  </w:style>
  <w:style w:type="paragraph" w:styleId="CommentSubject">
    <w:name w:val="annotation subject"/>
    <w:basedOn w:val="CommentText"/>
    <w:next w:val="CommentText"/>
    <w:link w:val="CommentSubjectChar"/>
    <w:uiPriority w:val="99"/>
    <w:semiHidden/>
    <w:unhideWhenUsed/>
    <w:rsid w:val="00767BB2"/>
    <w:rPr>
      <w:b/>
      <w:bCs/>
    </w:rPr>
  </w:style>
  <w:style w:type="character" w:customStyle="1" w:styleId="CommentSubjectChar">
    <w:name w:val="Comment Subject Char"/>
    <w:basedOn w:val="CommentTextChar"/>
    <w:link w:val="CommentSubject"/>
    <w:uiPriority w:val="99"/>
    <w:semiHidden/>
    <w:rsid w:val="00767BB2"/>
    <w:rPr>
      <w:b/>
      <w:bCs/>
    </w:rPr>
  </w:style>
  <w:style w:type="paragraph" w:styleId="BalloonText">
    <w:name w:val="Balloon Text"/>
    <w:basedOn w:val="Normal"/>
    <w:link w:val="BalloonTextChar"/>
    <w:uiPriority w:val="99"/>
    <w:semiHidden/>
    <w:unhideWhenUsed/>
    <w:rsid w:val="00767BB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67BB2"/>
    <w:rPr>
      <w:rFonts w:ascii="Tahoma" w:hAnsi="Tahoma" w:cs="Tahoma"/>
      <w:sz w:val="16"/>
      <w:szCs w:val="16"/>
      <w:lang w:eastAsia="en-US"/>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36C9B5B-7E72-4673-9836-5BE7B95670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1731</Words>
  <Characters>9870</Characters>
  <Application>Microsoft Office Word</Application>
  <DocSecurity>0</DocSecurity>
  <Lines>82</Lines>
  <Paragraphs>23</Paragraphs>
  <ScaleCrop>false</ScaleCrop>
  <HeadingPairs>
    <vt:vector size="2" baseType="variant">
      <vt:variant>
        <vt:lpstr>Title</vt:lpstr>
      </vt:variant>
      <vt:variant>
        <vt:i4>1</vt:i4>
      </vt:variant>
    </vt:vector>
  </HeadingPairs>
  <TitlesOfParts>
    <vt:vector size="1" baseType="lpstr">
      <vt:lpstr>Fair Work Australia Rules 2010</vt:lpstr>
    </vt:vector>
  </TitlesOfParts>
  <LinksUpToDate>false</LinksUpToDate>
  <CharactersWithSpaces>11578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Fair Work Australia Rules 2010</dc:title>
  <dc:creator/>
  <cp:lastModifiedBy/>
  <cp:revision>1</cp:revision>
  <cp:lastPrinted>2010-09-01T23:32:00Z</cp:lastPrinted>
  <dcterms:created xsi:type="dcterms:W3CDTF">2013-12-02T02:15:00Z</dcterms:created>
  <dcterms:modified xsi:type="dcterms:W3CDTF">2013-12-16T21:54:00Z</dcterms:modified>
</cp:coreProperties>
</file>