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343D4F" w:rsidRDefault="00E62E09" w:rsidP="00113C3C">
      <w:pPr>
        <w:pStyle w:val="Heading"/>
        <w:spacing w:after="240"/>
        <w:jc w:val="center"/>
        <w:rPr>
          <w:rFonts w:ascii="Times New Roman" w:hAnsi="Times New Roman"/>
          <w:sz w:val="24"/>
          <w:szCs w:val="24"/>
        </w:rPr>
      </w:pPr>
      <w:bookmarkStart w:id="0" w:name="_GoBack"/>
      <w:bookmarkEnd w:id="0"/>
      <w:r w:rsidRPr="00343D4F">
        <w:rPr>
          <w:rFonts w:ascii="Times New Roman" w:hAnsi="Times New Roman"/>
          <w:sz w:val="24"/>
          <w:szCs w:val="24"/>
        </w:rPr>
        <w:t>Financial Sector (Collection of Data) (reporting standard)</w:t>
      </w:r>
      <w:r w:rsidR="001A2ADB" w:rsidRPr="00343D4F">
        <w:rPr>
          <w:rFonts w:ascii="Times New Roman" w:hAnsi="Times New Roman"/>
          <w:sz w:val="24"/>
          <w:szCs w:val="24"/>
        </w:rPr>
        <w:t xml:space="preserve"> </w:t>
      </w:r>
      <w:r w:rsidR="002436BD" w:rsidRPr="00343D4F">
        <w:rPr>
          <w:rFonts w:ascii="Times New Roman" w:hAnsi="Times New Roman"/>
          <w:sz w:val="24"/>
          <w:szCs w:val="24"/>
        </w:rPr>
        <w:t>determination</w:t>
      </w:r>
      <w:r w:rsidR="0022611E" w:rsidRPr="00343D4F">
        <w:rPr>
          <w:rFonts w:ascii="Times New Roman" w:hAnsi="Times New Roman"/>
          <w:sz w:val="24"/>
          <w:szCs w:val="24"/>
        </w:rPr>
        <w:t>s</w:t>
      </w:r>
      <w:r w:rsidR="002436BD" w:rsidRPr="00343D4F">
        <w:rPr>
          <w:rFonts w:ascii="Times New Roman" w:hAnsi="Times New Roman"/>
          <w:sz w:val="24"/>
          <w:szCs w:val="24"/>
        </w:rPr>
        <w:t xml:space="preserve"> No</w:t>
      </w:r>
      <w:r w:rsidR="0022611E" w:rsidRPr="00343D4F">
        <w:rPr>
          <w:rFonts w:ascii="Times New Roman" w:hAnsi="Times New Roman"/>
          <w:sz w:val="24"/>
          <w:szCs w:val="24"/>
        </w:rPr>
        <w:t xml:space="preserve">s. </w:t>
      </w:r>
      <w:r w:rsidR="008B543F" w:rsidRPr="00343D4F">
        <w:rPr>
          <w:rFonts w:ascii="Times New Roman" w:hAnsi="Times New Roman"/>
          <w:sz w:val="24"/>
          <w:szCs w:val="24"/>
        </w:rPr>
        <w:t>101 to 104</w:t>
      </w:r>
      <w:r w:rsidR="0022611E" w:rsidRPr="00343D4F">
        <w:rPr>
          <w:rFonts w:ascii="Times New Roman" w:hAnsi="Times New Roman"/>
          <w:sz w:val="24"/>
          <w:szCs w:val="24"/>
        </w:rPr>
        <w:t xml:space="preserve"> of 2013</w:t>
      </w:r>
    </w:p>
    <w:p w:rsidR="002436BD" w:rsidRPr="00343D4F" w:rsidRDefault="002436BD" w:rsidP="00113C3C">
      <w:pPr>
        <w:pStyle w:val="Heading"/>
        <w:tabs>
          <w:tab w:val="left" w:pos="360"/>
        </w:tabs>
        <w:spacing w:after="240"/>
        <w:jc w:val="center"/>
        <w:rPr>
          <w:rFonts w:ascii="Times New Roman" w:hAnsi="Times New Roman"/>
          <w:sz w:val="24"/>
          <w:szCs w:val="24"/>
          <w:u w:val="single"/>
        </w:rPr>
      </w:pPr>
      <w:bookmarkStart w:id="1" w:name="bkInstrumentSubTitle"/>
      <w:bookmarkEnd w:id="1"/>
      <w:r w:rsidRPr="00343D4F">
        <w:rPr>
          <w:rFonts w:ascii="Times New Roman" w:hAnsi="Times New Roman"/>
          <w:sz w:val="24"/>
          <w:szCs w:val="24"/>
          <w:u w:val="single"/>
        </w:rPr>
        <w:t>EXPLANATORY STATEMENT</w:t>
      </w:r>
    </w:p>
    <w:p w:rsidR="002436BD" w:rsidRPr="00343D4F" w:rsidRDefault="002436BD" w:rsidP="00113C3C">
      <w:pPr>
        <w:pStyle w:val="Heading"/>
        <w:spacing w:after="240"/>
        <w:jc w:val="center"/>
        <w:rPr>
          <w:rFonts w:ascii="Times New Roman" w:hAnsi="Times New Roman"/>
          <w:sz w:val="24"/>
          <w:szCs w:val="24"/>
        </w:rPr>
      </w:pPr>
      <w:r w:rsidRPr="00343D4F">
        <w:rPr>
          <w:rFonts w:ascii="Times New Roman" w:hAnsi="Times New Roman"/>
          <w:sz w:val="24"/>
          <w:szCs w:val="24"/>
        </w:rPr>
        <w:t>Prepared by the Australian Prudential Regulation Authority (APRA)</w:t>
      </w:r>
    </w:p>
    <w:p w:rsidR="001A2ADB" w:rsidRPr="00343D4F" w:rsidRDefault="001A2ADB" w:rsidP="00113C3C">
      <w:pPr>
        <w:pStyle w:val="heading0"/>
        <w:spacing w:before="0" w:beforeAutospacing="0" w:after="240" w:afterAutospacing="0"/>
        <w:jc w:val="center"/>
        <w:rPr>
          <w:rFonts w:ascii="Helvetica Neue" w:hAnsi="Helvetica Neue"/>
          <w:sz w:val="19"/>
          <w:szCs w:val="19"/>
        </w:rPr>
      </w:pPr>
      <w:r w:rsidRPr="00343D4F">
        <w:rPr>
          <w:i/>
          <w:iCs/>
        </w:rPr>
        <w:t>Financial Sector (Collection of Data) Act 2001</w:t>
      </w:r>
      <w:r w:rsidRPr="00343D4F">
        <w:t>, sections 13 and 15</w:t>
      </w:r>
    </w:p>
    <w:p w:rsidR="002436BD" w:rsidRPr="00343D4F" w:rsidRDefault="002436BD" w:rsidP="001317F6">
      <w:pPr>
        <w:widowControl w:val="0"/>
        <w:spacing w:after="240"/>
        <w:jc w:val="both"/>
        <w:rPr>
          <w:rFonts w:ascii="Times New Roman" w:hAnsi="Times New Roman"/>
          <w:sz w:val="24"/>
          <w:szCs w:val="24"/>
        </w:rPr>
      </w:pPr>
      <w:bookmarkStart w:id="2" w:name="bkAct"/>
      <w:bookmarkStart w:id="3" w:name="bkExplanatory"/>
      <w:bookmarkEnd w:id="2"/>
      <w:bookmarkEnd w:id="3"/>
      <w:r w:rsidRPr="00343D4F">
        <w:rPr>
          <w:rFonts w:ascii="Times New Roman" w:hAnsi="Times New Roman"/>
          <w:sz w:val="24"/>
          <w:szCs w:val="24"/>
        </w:rPr>
        <w:t xml:space="preserve">Under subsection </w:t>
      </w:r>
      <w:r w:rsidR="001A2ADB" w:rsidRPr="00343D4F">
        <w:rPr>
          <w:rFonts w:ascii="Times New Roman" w:hAnsi="Times New Roman"/>
          <w:sz w:val="24"/>
          <w:szCs w:val="24"/>
        </w:rPr>
        <w:t>13</w:t>
      </w:r>
      <w:r w:rsidRPr="00343D4F">
        <w:rPr>
          <w:rFonts w:ascii="Times New Roman" w:hAnsi="Times New Roman"/>
          <w:sz w:val="24"/>
          <w:szCs w:val="24"/>
        </w:rPr>
        <w:t xml:space="preserve">(1) of the </w:t>
      </w:r>
      <w:r w:rsidR="001A2ADB" w:rsidRPr="00343D4F">
        <w:rPr>
          <w:rFonts w:ascii="Times New Roman" w:hAnsi="Times New Roman"/>
          <w:i/>
          <w:sz w:val="24"/>
          <w:szCs w:val="24"/>
        </w:rPr>
        <w:t>Financial Sector (Collection of Data) Act 2001</w:t>
      </w:r>
      <w:r w:rsidRPr="00343D4F">
        <w:rPr>
          <w:rFonts w:ascii="Times New Roman" w:hAnsi="Times New Roman"/>
          <w:sz w:val="24"/>
          <w:szCs w:val="24"/>
        </w:rPr>
        <w:t xml:space="preserve"> (the Act), APRA </w:t>
      </w:r>
      <w:r w:rsidR="001A2ADB" w:rsidRPr="00343D4F">
        <w:rPr>
          <w:rFonts w:ascii="Times New Roman" w:hAnsi="Times New Roman"/>
          <w:sz w:val="24"/>
          <w:szCs w:val="24"/>
        </w:rPr>
        <w:t>has the power to determine reporting standards, in writing, with which financia</w:t>
      </w:r>
      <w:r w:rsidR="00B540E8" w:rsidRPr="00343D4F">
        <w:rPr>
          <w:rFonts w:ascii="Times New Roman" w:hAnsi="Times New Roman"/>
          <w:sz w:val="24"/>
          <w:szCs w:val="24"/>
        </w:rPr>
        <w:t xml:space="preserve">l sector entities must comply. </w:t>
      </w:r>
      <w:r w:rsidR="001A2ADB" w:rsidRPr="00343D4F">
        <w:rPr>
          <w:rFonts w:ascii="Times New Roman" w:hAnsi="Times New Roman"/>
          <w:sz w:val="24"/>
          <w:szCs w:val="24"/>
        </w:rPr>
        <w:t>Such standards relate to reporting financial or accounting data and other information regarding the business or activities of the entities.</w:t>
      </w:r>
      <w:r w:rsidR="00BD6360" w:rsidRPr="00343D4F">
        <w:rPr>
          <w:rFonts w:ascii="Times New Roman" w:hAnsi="Times New Roman"/>
          <w:sz w:val="24"/>
          <w:szCs w:val="24"/>
        </w:rPr>
        <w:t xml:space="preserve"> </w:t>
      </w:r>
    </w:p>
    <w:p w:rsidR="00246723" w:rsidRPr="00343D4F" w:rsidRDefault="00246723" w:rsidP="001317F6">
      <w:pPr>
        <w:spacing w:after="240"/>
        <w:jc w:val="both"/>
        <w:rPr>
          <w:rFonts w:ascii="Times New Roman" w:hAnsi="Times New Roman"/>
          <w:sz w:val="24"/>
          <w:szCs w:val="24"/>
        </w:rPr>
      </w:pPr>
      <w:r w:rsidRPr="00343D4F">
        <w:rPr>
          <w:rFonts w:ascii="Times New Roman" w:hAnsi="Times New Roman"/>
          <w:sz w:val="24"/>
          <w:szCs w:val="24"/>
        </w:rPr>
        <w:t xml:space="preserve">On </w:t>
      </w:r>
      <w:r w:rsidR="000450FA" w:rsidRPr="00343D4F">
        <w:rPr>
          <w:rFonts w:ascii="Times New Roman" w:hAnsi="Times New Roman"/>
          <w:sz w:val="24"/>
          <w:szCs w:val="24"/>
        </w:rPr>
        <w:t>13 December 2013</w:t>
      </w:r>
      <w:r w:rsidRPr="00343D4F">
        <w:rPr>
          <w:rFonts w:ascii="Times New Roman" w:hAnsi="Times New Roman"/>
          <w:sz w:val="24"/>
          <w:szCs w:val="24"/>
        </w:rPr>
        <w:t>, APRA made the following determinations (the instruments):</w:t>
      </w:r>
    </w:p>
    <w:p w:rsidR="00AC7A56" w:rsidRPr="00343D4F" w:rsidRDefault="000B14BD" w:rsidP="001317F6">
      <w:pPr>
        <w:widowControl w:val="0"/>
        <w:numPr>
          <w:ilvl w:val="0"/>
          <w:numId w:val="4"/>
        </w:numPr>
        <w:spacing w:after="240"/>
        <w:ind w:left="567" w:hanging="567"/>
        <w:jc w:val="both"/>
        <w:rPr>
          <w:rFonts w:ascii="Times New Roman" w:hAnsi="Times New Roman"/>
          <w:sz w:val="24"/>
          <w:szCs w:val="24"/>
        </w:rPr>
      </w:pPr>
      <w:r w:rsidRPr="00343D4F">
        <w:rPr>
          <w:rFonts w:ascii="Times New Roman" w:hAnsi="Times New Roman"/>
          <w:sz w:val="24"/>
          <w:szCs w:val="24"/>
        </w:rPr>
        <w:t>Financial Sector (Collection of Data) (reportin</w:t>
      </w:r>
      <w:r w:rsidR="00736D41" w:rsidRPr="00343D4F">
        <w:rPr>
          <w:rFonts w:ascii="Times New Roman" w:hAnsi="Times New Roman"/>
          <w:sz w:val="24"/>
          <w:szCs w:val="24"/>
        </w:rPr>
        <w:t xml:space="preserve">g standard) determination No. </w:t>
      </w:r>
      <w:r w:rsidR="008B543F" w:rsidRPr="00343D4F">
        <w:rPr>
          <w:rFonts w:ascii="Times New Roman" w:hAnsi="Times New Roman"/>
          <w:sz w:val="24"/>
          <w:szCs w:val="24"/>
        </w:rPr>
        <w:t>101</w:t>
      </w:r>
      <w:r w:rsidR="00736D41" w:rsidRPr="00343D4F">
        <w:rPr>
          <w:rFonts w:ascii="Times New Roman" w:hAnsi="Times New Roman"/>
          <w:sz w:val="24"/>
          <w:szCs w:val="24"/>
        </w:rPr>
        <w:t xml:space="preserve"> </w:t>
      </w:r>
      <w:r w:rsidRPr="00343D4F">
        <w:rPr>
          <w:rFonts w:ascii="Times New Roman" w:hAnsi="Times New Roman"/>
          <w:sz w:val="24"/>
          <w:szCs w:val="24"/>
        </w:rPr>
        <w:t>of 20</w:t>
      </w:r>
      <w:r w:rsidR="008B543F" w:rsidRPr="00343D4F">
        <w:rPr>
          <w:rFonts w:ascii="Times New Roman" w:hAnsi="Times New Roman"/>
          <w:sz w:val="24"/>
          <w:szCs w:val="24"/>
        </w:rPr>
        <w:t>13</w:t>
      </w:r>
      <w:r w:rsidRPr="00343D4F">
        <w:rPr>
          <w:rFonts w:ascii="Times New Roman" w:hAnsi="Times New Roman"/>
          <w:sz w:val="24"/>
          <w:szCs w:val="24"/>
        </w:rPr>
        <w:t xml:space="preserve"> which</w:t>
      </w:r>
      <w:r w:rsidR="003678FC" w:rsidRPr="00343D4F">
        <w:rPr>
          <w:rFonts w:ascii="Times New Roman" w:hAnsi="Times New Roman"/>
          <w:sz w:val="24"/>
          <w:szCs w:val="24"/>
        </w:rPr>
        <w:t xml:space="preserve"> </w:t>
      </w:r>
      <w:r w:rsidRPr="00343D4F">
        <w:rPr>
          <w:rFonts w:ascii="Times New Roman" w:hAnsi="Times New Roman"/>
          <w:sz w:val="24"/>
          <w:szCs w:val="24"/>
        </w:rPr>
        <w:t xml:space="preserve">determines </w:t>
      </w:r>
      <w:r w:rsidRPr="00343D4F">
        <w:rPr>
          <w:rFonts w:ascii="Times New Roman" w:hAnsi="Times New Roman"/>
          <w:i/>
          <w:sz w:val="24"/>
          <w:szCs w:val="24"/>
        </w:rPr>
        <w:t xml:space="preserve">Reporting Standard </w:t>
      </w:r>
      <w:r w:rsidR="008B543F" w:rsidRPr="00343D4F">
        <w:rPr>
          <w:rFonts w:ascii="Times New Roman" w:hAnsi="Times New Roman"/>
          <w:i/>
          <w:sz w:val="24"/>
          <w:szCs w:val="24"/>
        </w:rPr>
        <w:t>GRS 460.0</w:t>
      </w:r>
      <w:r w:rsidRPr="00343D4F">
        <w:rPr>
          <w:rFonts w:ascii="Times New Roman" w:hAnsi="Times New Roman"/>
          <w:i/>
          <w:sz w:val="24"/>
          <w:szCs w:val="24"/>
        </w:rPr>
        <w:t xml:space="preserve"> </w:t>
      </w:r>
      <w:r w:rsidR="008B543F" w:rsidRPr="00343D4F">
        <w:rPr>
          <w:rFonts w:ascii="Times New Roman" w:hAnsi="Times New Roman"/>
          <w:i/>
          <w:sz w:val="24"/>
          <w:szCs w:val="24"/>
        </w:rPr>
        <w:t>Reinsurance Assets by Counterparty</w:t>
      </w:r>
      <w:r w:rsidR="008B543F" w:rsidRPr="00343D4F">
        <w:rPr>
          <w:rFonts w:ascii="Times New Roman" w:hAnsi="Times New Roman"/>
          <w:sz w:val="24"/>
          <w:szCs w:val="24"/>
        </w:rPr>
        <w:t xml:space="preserve"> (GRS 460.0</w:t>
      </w:r>
      <w:r w:rsidRPr="00343D4F">
        <w:rPr>
          <w:rFonts w:ascii="Times New Roman" w:hAnsi="Times New Roman"/>
          <w:sz w:val="24"/>
          <w:szCs w:val="24"/>
        </w:rPr>
        <w:t>)</w:t>
      </w:r>
      <w:r w:rsidR="00AC7A56" w:rsidRPr="00343D4F">
        <w:rPr>
          <w:rFonts w:ascii="Times New Roman" w:hAnsi="Times New Roman"/>
          <w:sz w:val="24"/>
          <w:szCs w:val="24"/>
        </w:rPr>
        <w:t>;</w:t>
      </w:r>
    </w:p>
    <w:p w:rsidR="00D624AF" w:rsidRPr="00343D4F" w:rsidRDefault="00D624AF" w:rsidP="00D624AF">
      <w:pPr>
        <w:widowControl w:val="0"/>
        <w:numPr>
          <w:ilvl w:val="0"/>
          <w:numId w:val="4"/>
        </w:numPr>
        <w:spacing w:after="240"/>
        <w:ind w:left="567" w:hanging="567"/>
        <w:jc w:val="both"/>
        <w:rPr>
          <w:rFonts w:ascii="Times New Roman" w:hAnsi="Times New Roman"/>
          <w:sz w:val="24"/>
          <w:szCs w:val="24"/>
        </w:rPr>
      </w:pPr>
      <w:r w:rsidRPr="00343D4F">
        <w:rPr>
          <w:rFonts w:ascii="Times New Roman" w:hAnsi="Times New Roman"/>
          <w:sz w:val="24"/>
          <w:szCs w:val="24"/>
        </w:rPr>
        <w:t xml:space="preserve">Financial Sector (Collection of Data) (reporting standard) determination No. 102 of 2013 which determines </w:t>
      </w:r>
      <w:r w:rsidRPr="00343D4F">
        <w:rPr>
          <w:rFonts w:ascii="Times New Roman" w:hAnsi="Times New Roman"/>
          <w:i/>
          <w:sz w:val="24"/>
          <w:szCs w:val="24"/>
        </w:rPr>
        <w:t>Reporting Standard GRS 460.1 Exposure Analysis by Reinsurance Counterparty</w:t>
      </w:r>
      <w:r w:rsidRPr="00343D4F">
        <w:rPr>
          <w:rFonts w:ascii="Times New Roman" w:hAnsi="Times New Roman"/>
          <w:sz w:val="24"/>
          <w:szCs w:val="24"/>
        </w:rPr>
        <w:t xml:space="preserve"> (GRS 460.1);</w:t>
      </w:r>
    </w:p>
    <w:p w:rsidR="00D624AF" w:rsidRPr="00343D4F" w:rsidRDefault="00D624AF" w:rsidP="00D624AF">
      <w:pPr>
        <w:widowControl w:val="0"/>
        <w:numPr>
          <w:ilvl w:val="0"/>
          <w:numId w:val="4"/>
        </w:numPr>
        <w:spacing w:after="240"/>
        <w:ind w:left="567" w:hanging="567"/>
        <w:jc w:val="both"/>
        <w:rPr>
          <w:rFonts w:ascii="Times New Roman" w:hAnsi="Times New Roman"/>
          <w:sz w:val="24"/>
          <w:szCs w:val="24"/>
        </w:rPr>
      </w:pPr>
      <w:r w:rsidRPr="00343D4F">
        <w:rPr>
          <w:rFonts w:ascii="Times New Roman" w:hAnsi="Times New Roman"/>
          <w:sz w:val="24"/>
          <w:szCs w:val="24"/>
        </w:rPr>
        <w:t xml:space="preserve">Financial Sector (Collection of Data) (reporting standard) determination No. 103 of 2013 which determines </w:t>
      </w:r>
      <w:r w:rsidRPr="00343D4F">
        <w:rPr>
          <w:rFonts w:ascii="Times New Roman" w:hAnsi="Times New Roman"/>
          <w:i/>
          <w:sz w:val="24"/>
          <w:szCs w:val="24"/>
        </w:rPr>
        <w:t>Reporting Standard GRS 460.0</w:t>
      </w:r>
      <w:r w:rsidR="00B540E8" w:rsidRPr="00343D4F">
        <w:rPr>
          <w:rFonts w:ascii="Times New Roman" w:hAnsi="Times New Roman"/>
          <w:i/>
          <w:sz w:val="24"/>
          <w:szCs w:val="24"/>
        </w:rPr>
        <w:t>_G</w:t>
      </w:r>
      <w:r w:rsidRPr="00343D4F">
        <w:rPr>
          <w:rFonts w:ascii="Times New Roman" w:hAnsi="Times New Roman"/>
          <w:i/>
          <w:sz w:val="24"/>
          <w:szCs w:val="24"/>
        </w:rPr>
        <w:t xml:space="preserve"> Reinsurance Assets by Counterparty</w:t>
      </w:r>
      <w:r w:rsidR="00B540E8" w:rsidRPr="00343D4F">
        <w:rPr>
          <w:rFonts w:ascii="Times New Roman" w:hAnsi="Times New Roman"/>
          <w:i/>
          <w:sz w:val="24"/>
          <w:szCs w:val="24"/>
        </w:rPr>
        <w:t xml:space="preserve"> (Level 2 Insurance Group)</w:t>
      </w:r>
      <w:r w:rsidRPr="00343D4F">
        <w:rPr>
          <w:rFonts w:ascii="Times New Roman" w:hAnsi="Times New Roman"/>
          <w:sz w:val="24"/>
          <w:szCs w:val="24"/>
        </w:rPr>
        <w:t xml:space="preserve"> (GRS 460.0</w:t>
      </w:r>
      <w:r w:rsidR="00B540E8" w:rsidRPr="00343D4F">
        <w:rPr>
          <w:rFonts w:ascii="Times New Roman" w:hAnsi="Times New Roman"/>
          <w:sz w:val="24"/>
          <w:szCs w:val="24"/>
        </w:rPr>
        <w:t>_G</w:t>
      </w:r>
      <w:r w:rsidRPr="00343D4F">
        <w:rPr>
          <w:rFonts w:ascii="Times New Roman" w:hAnsi="Times New Roman"/>
          <w:sz w:val="24"/>
          <w:szCs w:val="24"/>
        </w:rPr>
        <w:t>);</w:t>
      </w:r>
      <w:r w:rsidR="00B540E8" w:rsidRPr="00343D4F">
        <w:rPr>
          <w:rFonts w:ascii="Times New Roman" w:hAnsi="Times New Roman"/>
          <w:sz w:val="24"/>
          <w:szCs w:val="24"/>
        </w:rPr>
        <w:t xml:space="preserve"> and</w:t>
      </w:r>
    </w:p>
    <w:p w:rsidR="00AC7A56" w:rsidRPr="00343D4F" w:rsidRDefault="00D624AF" w:rsidP="00D624AF">
      <w:pPr>
        <w:widowControl w:val="0"/>
        <w:numPr>
          <w:ilvl w:val="0"/>
          <w:numId w:val="4"/>
        </w:numPr>
        <w:spacing w:after="240"/>
        <w:ind w:left="567" w:hanging="567"/>
        <w:jc w:val="both"/>
        <w:rPr>
          <w:rFonts w:ascii="Times New Roman" w:hAnsi="Times New Roman"/>
          <w:sz w:val="24"/>
          <w:szCs w:val="24"/>
        </w:rPr>
      </w:pPr>
      <w:r w:rsidRPr="00343D4F">
        <w:rPr>
          <w:rFonts w:ascii="Times New Roman" w:hAnsi="Times New Roman"/>
          <w:sz w:val="24"/>
          <w:szCs w:val="24"/>
        </w:rPr>
        <w:t xml:space="preserve">Financial Sector (Collection of Data) (reporting standard) determination No. 104 of 2013 which determines </w:t>
      </w:r>
      <w:r w:rsidRPr="00343D4F">
        <w:rPr>
          <w:rFonts w:ascii="Times New Roman" w:hAnsi="Times New Roman"/>
          <w:i/>
          <w:sz w:val="24"/>
          <w:szCs w:val="24"/>
        </w:rPr>
        <w:t xml:space="preserve">Reporting Standard GRS </w:t>
      </w:r>
      <w:r w:rsidR="00B540E8" w:rsidRPr="00343D4F">
        <w:rPr>
          <w:rFonts w:ascii="Times New Roman" w:hAnsi="Times New Roman"/>
          <w:i/>
          <w:sz w:val="24"/>
          <w:szCs w:val="24"/>
        </w:rPr>
        <w:t>460.1_G</w:t>
      </w:r>
      <w:r w:rsidRPr="00343D4F">
        <w:rPr>
          <w:rFonts w:ascii="Times New Roman" w:hAnsi="Times New Roman"/>
          <w:i/>
          <w:sz w:val="24"/>
          <w:szCs w:val="24"/>
        </w:rPr>
        <w:t xml:space="preserve"> </w:t>
      </w:r>
      <w:r w:rsidR="00731AF9" w:rsidRPr="00343D4F">
        <w:rPr>
          <w:rFonts w:ascii="Times New Roman" w:hAnsi="Times New Roman"/>
          <w:i/>
          <w:sz w:val="24"/>
          <w:szCs w:val="24"/>
        </w:rPr>
        <w:t xml:space="preserve">Exposure Analysis by </w:t>
      </w:r>
      <w:r w:rsidRPr="00343D4F">
        <w:rPr>
          <w:rFonts w:ascii="Times New Roman" w:hAnsi="Times New Roman"/>
          <w:i/>
          <w:sz w:val="24"/>
          <w:szCs w:val="24"/>
        </w:rPr>
        <w:t>Reinsurance Counterparty</w:t>
      </w:r>
      <w:r w:rsidR="00B540E8" w:rsidRPr="00343D4F">
        <w:rPr>
          <w:rFonts w:ascii="Times New Roman" w:hAnsi="Times New Roman"/>
          <w:i/>
          <w:sz w:val="24"/>
          <w:szCs w:val="24"/>
        </w:rPr>
        <w:t xml:space="preserve"> (Level 2 Insurance Group)</w:t>
      </w:r>
      <w:r w:rsidRPr="00343D4F">
        <w:rPr>
          <w:rFonts w:ascii="Times New Roman" w:hAnsi="Times New Roman"/>
          <w:sz w:val="24"/>
          <w:szCs w:val="24"/>
        </w:rPr>
        <w:t xml:space="preserve"> (GRS 460.</w:t>
      </w:r>
      <w:r w:rsidR="00B540E8" w:rsidRPr="00343D4F">
        <w:rPr>
          <w:rFonts w:ascii="Times New Roman" w:hAnsi="Times New Roman"/>
          <w:sz w:val="24"/>
          <w:szCs w:val="24"/>
        </w:rPr>
        <w:t>1_G</w:t>
      </w:r>
      <w:r w:rsidRPr="00343D4F">
        <w:rPr>
          <w:rFonts w:ascii="Times New Roman" w:hAnsi="Times New Roman"/>
          <w:sz w:val="24"/>
          <w:szCs w:val="24"/>
        </w:rPr>
        <w:t>)</w:t>
      </w:r>
      <w:r w:rsidR="00B540E8" w:rsidRPr="00343D4F">
        <w:rPr>
          <w:rFonts w:ascii="Times New Roman" w:hAnsi="Times New Roman"/>
          <w:sz w:val="24"/>
          <w:szCs w:val="24"/>
        </w:rPr>
        <w:t>.</w:t>
      </w:r>
    </w:p>
    <w:p w:rsidR="00246723" w:rsidRPr="00343D4F" w:rsidRDefault="00AC7A56" w:rsidP="001317F6">
      <w:pPr>
        <w:widowControl w:val="0"/>
        <w:spacing w:after="240"/>
        <w:jc w:val="both"/>
        <w:rPr>
          <w:rFonts w:ascii="Times New Roman" w:hAnsi="Times New Roman"/>
          <w:sz w:val="24"/>
          <w:szCs w:val="24"/>
        </w:rPr>
      </w:pPr>
      <w:r w:rsidRPr="00343D4F">
        <w:rPr>
          <w:rFonts w:ascii="Times New Roman" w:hAnsi="Times New Roman"/>
          <w:sz w:val="24"/>
          <w:szCs w:val="24"/>
        </w:rPr>
        <w:t xml:space="preserve">The instruments commence on </w:t>
      </w:r>
      <w:r w:rsidR="00AD0845" w:rsidRPr="00343D4F">
        <w:rPr>
          <w:rFonts w:ascii="Times New Roman" w:hAnsi="Times New Roman"/>
          <w:sz w:val="24"/>
          <w:szCs w:val="24"/>
        </w:rPr>
        <w:t>31 December</w:t>
      </w:r>
      <w:r w:rsidR="00B540E8" w:rsidRPr="00343D4F">
        <w:rPr>
          <w:rFonts w:ascii="Times New Roman" w:hAnsi="Times New Roman"/>
          <w:sz w:val="24"/>
          <w:szCs w:val="24"/>
        </w:rPr>
        <w:t xml:space="preserve"> 2013</w:t>
      </w:r>
      <w:r w:rsidRPr="00343D4F">
        <w:rPr>
          <w:rFonts w:ascii="Times New Roman" w:hAnsi="Times New Roman"/>
          <w:sz w:val="24"/>
          <w:szCs w:val="24"/>
        </w:rPr>
        <w:t>.</w:t>
      </w:r>
      <w:r w:rsidRPr="00343D4F">
        <w:rPr>
          <w:rFonts w:ascii="Times New Roman" w:hAnsi="Times New Roman"/>
          <w:sz w:val="24"/>
          <w:szCs w:val="24"/>
        </w:rPr>
        <w:tab/>
      </w:r>
    </w:p>
    <w:p w:rsidR="002436BD" w:rsidRPr="00343D4F" w:rsidRDefault="002436BD" w:rsidP="001317F6">
      <w:pPr>
        <w:pStyle w:val="Heading"/>
        <w:keepNext/>
        <w:numPr>
          <w:ilvl w:val="0"/>
          <w:numId w:val="2"/>
        </w:numPr>
        <w:spacing w:after="240"/>
        <w:ind w:left="0" w:firstLine="0"/>
        <w:outlineLvl w:val="0"/>
        <w:rPr>
          <w:rFonts w:ascii="Times New Roman" w:hAnsi="Times New Roman"/>
          <w:sz w:val="24"/>
          <w:szCs w:val="24"/>
        </w:rPr>
      </w:pPr>
      <w:r w:rsidRPr="00343D4F">
        <w:rPr>
          <w:rFonts w:ascii="Times New Roman" w:hAnsi="Times New Roman"/>
          <w:sz w:val="24"/>
          <w:szCs w:val="24"/>
        </w:rPr>
        <w:t>Background</w:t>
      </w:r>
    </w:p>
    <w:p w:rsidR="00B540E8" w:rsidRPr="00343D4F" w:rsidRDefault="00B540E8" w:rsidP="00B540E8">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 xml:space="preserve">The exposure of the general insurance industry to reinsurers is a material source of counterparty risk and that risk may be heightened after domestic or global catastrophes. APRA undertook a voluntary data collection in 2010/11 to assess the degree of exposure to particular reinsurers. This data collection provided APRA with valuable information on the industry position and concentrations of exposures. APRA considered that a permanent data collection would be beneficial. </w:t>
      </w:r>
    </w:p>
    <w:p w:rsidR="00B540E8" w:rsidRPr="00343D4F" w:rsidRDefault="00B540E8" w:rsidP="00B540E8">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In June 2012, as part of the life and general insurance capital review, APRA consulted with the general insurance industry on proposals to collect reinsurance counterparty data on a permanent basis. The data collection would apply equally to general insurers and Level 2 insurance groups (collectively referred to as ‘insurers’).</w:t>
      </w:r>
    </w:p>
    <w:p w:rsidR="00310CF8" w:rsidRPr="00343D4F" w:rsidRDefault="00B540E8" w:rsidP="00B540E8">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 xml:space="preserve">The primary aim of the data collection is to enhance APRA’s ability to assess the impact of a reinsurer downgrade or failure on the prescribed capital amount, capital </w:t>
      </w:r>
      <w:r w:rsidRPr="00343D4F">
        <w:rPr>
          <w:rFonts w:ascii="Times New Roman" w:hAnsi="Times New Roman"/>
          <w:b w:val="0"/>
          <w:sz w:val="24"/>
          <w:szCs w:val="24"/>
        </w:rPr>
        <w:lastRenderedPageBreak/>
        <w:t>base and hence capital coverage, for individual insurers and the general insurance industry.</w:t>
      </w:r>
    </w:p>
    <w:p w:rsidR="00FC57AD" w:rsidRPr="00343D4F" w:rsidRDefault="00FC57AD" w:rsidP="00FC57AD">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In June 2013, APRA issued revised proposals for consultation which took into account feedback received on the consultation in June 2012, including proposals to:</w:t>
      </w:r>
    </w:p>
    <w:p w:rsidR="00FC57AD" w:rsidRPr="00343D4F" w:rsidRDefault="00FC57AD" w:rsidP="00FC57AD">
      <w:pPr>
        <w:pStyle w:val="Heading"/>
        <w:keepNext/>
        <w:numPr>
          <w:ilvl w:val="0"/>
          <w:numId w:val="8"/>
        </w:numPr>
        <w:spacing w:after="240"/>
        <w:ind w:left="567" w:hanging="567"/>
        <w:outlineLvl w:val="0"/>
        <w:rPr>
          <w:rFonts w:ascii="Times New Roman" w:hAnsi="Times New Roman"/>
          <w:b w:val="0"/>
          <w:sz w:val="24"/>
          <w:szCs w:val="24"/>
        </w:rPr>
      </w:pPr>
      <w:r w:rsidRPr="00343D4F">
        <w:rPr>
          <w:rFonts w:ascii="Times New Roman" w:hAnsi="Times New Roman"/>
          <w:b w:val="0"/>
          <w:sz w:val="24"/>
          <w:szCs w:val="24"/>
        </w:rPr>
        <w:t xml:space="preserve">collect reinsurance counterparty information in the Reinsurance Arrangements Statements (RAS) submitted to APRA by insurers; and </w:t>
      </w:r>
    </w:p>
    <w:p w:rsidR="00FC57AD" w:rsidRPr="00343D4F" w:rsidRDefault="00FC57AD" w:rsidP="00FC57AD">
      <w:pPr>
        <w:pStyle w:val="Heading"/>
        <w:keepNext/>
        <w:numPr>
          <w:ilvl w:val="0"/>
          <w:numId w:val="8"/>
        </w:numPr>
        <w:spacing w:after="240"/>
        <w:ind w:left="567" w:hanging="567"/>
        <w:outlineLvl w:val="0"/>
        <w:rPr>
          <w:rFonts w:ascii="Times New Roman" w:hAnsi="Times New Roman"/>
          <w:b w:val="0"/>
          <w:sz w:val="24"/>
          <w:szCs w:val="24"/>
        </w:rPr>
      </w:pPr>
      <w:r w:rsidRPr="00343D4F">
        <w:rPr>
          <w:rFonts w:ascii="Times New Roman" w:hAnsi="Times New Roman"/>
          <w:b w:val="0"/>
          <w:sz w:val="24"/>
          <w:szCs w:val="24"/>
        </w:rPr>
        <w:t>exempt information contained in the reporting standards introduced with this data collection from the usual annual audit requirements of the Appointed Auditor of a general insurer or the Group Auditor of a Level 2 insurance group.</w:t>
      </w:r>
    </w:p>
    <w:p w:rsidR="00FC57AD" w:rsidRPr="00343D4F" w:rsidRDefault="00FC57AD" w:rsidP="00FC57AD">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 xml:space="preserve">Amendments are required to </w:t>
      </w:r>
      <w:r w:rsidR="00F0199E" w:rsidRPr="00343D4F">
        <w:rPr>
          <w:rFonts w:ascii="Times New Roman" w:hAnsi="Times New Roman"/>
          <w:b w:val="0"/>
          <w:sz w:val="24"/>
          <w:szCs w:val="24"/>
        </w:rPr>
        <w:t>reporting</w:t>
      </w:r>
      <w:r w:rsidRPr="00343D4F">
        <w:rPr>
          <w:rFonts w:ascii="Times New Roman" w:hAnsi="Times New Roman"/>
          <w:b w:val="0"/>
          <w:sz w:val="24"/>
          <w:szCs w:val="24"/>
        </w:rPr>
        <w:t xml:space="preserve"> requirements through instruments which are outlined in Section 2 below.</w:t>
      </w:r>
    </w:p>
    <w:p w:rsidR="002436BD" w:rsidRPr="00343D4F" w:rsidRDefault="002436BD" w:rsidP="001317F6">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343D4F">
        <w:rPr>
          <w:rFonts w:ascii="Times New Roman" w:hAnsi="Times New Roman"/>
          <w:sz w:val="24"/>
          <w:szCs w:val="24"/>
        </w:rPr>
        <w:t xml:space="preserve">Purpose </w:t>
      </w:r>
      <w:r w:rsidR="00DF524E" w:rsidRPr="00343D4F">
        <w:rPr>
          <w:rFonts w:ascii="Times New Roman" w:hAnsi="Times New Roman"/>
          <w:sz w:val="24"/>
          <w:szCs w:val="24"/>
        </w:rPr>
        <w:t xml:space="preserve">and operation </w:t>
      </w:r>
      <w:r w:rsidRPr="00343D4F">
        <w:rPr>
          <w:rFonts w:ascii="Times New Roman" w:hAnsi="Times New Roman"/>
          <w:sz w:val="24"/>
          <w:szCs w:val="24"/>
        </w:rPr>
        <w:t>of the instrument</w:t>
      </w:r>
    </w:p>
    <w:p w:rsidR="00634C6E" w:rsidRPr="00343D4F" w:rsidRDefault="00BA329B" w:rsidP="00BA329B">
      <w:pPr>
        <w:pStyle w:val="Heading"/>
        <w:keepNext/>
        <w:spacing w:after="240"/>
        <w:outlineLvl w:val="0"/>
        <w:rPr>
          <w:rFonts w:ascii="Times New Roman" w:hAnsi="Times New Roman"/>
          <w:b w:val="0"/>
          <w:sz w:val="24"/>
          <w:szCs w:val="24"/>
        </w:rPr>
      </w:pPr>
      <w:r w:rsidRPr="00343D4F">
        <w:rPr>
          <w:rFonts w:ascii="Times New Roman" w:hAnsi="Times New Roman"/>
          <w:b w:val="0"/>
          <w:sz w:val="24"/>
          <w:szCs w:val="24"/>
        </w:rPr>
        <w:t xml:space="preserve">The purpose of making these instruments is to introduce </w:t>
      </w:r>
      <w:r w:rsidR="00634C6E" w:rsidRPr="00343D4F">
        <w:rPr>
          <w:rFonts w:ascii="Times New Roman" w:hAnsi="Times New Roman"/>
          <w:b w:val="0"/>
          <w:sz w:val="24"/>
          <w:szCs w:val="24"/>
        </w:rPr>
        <w:t>new reporting</w:t>
      </w:r>
      <w:r w:rsidRPr="00343D4F">
        <w:rPr>
          <w:rFonts w:ascii="Times New Roman" w:hAnsi="Times New Roman"/>
          <w:b w:val="0"/>
          <w:sz w:val="24"/>
          <w:szCs w:val="24"/>
        </w:rPr>
        <w:t xml:space="preserve"> standards to </w:t>
      </w:r>
      <w:r w:rsidR="00634C6E" w:rsidRPr="00343D4F">
        <w:rPr>
          <w:rFonts w:ascii="Times New Roman" w:hAnsi="Times New Roman"/>
          <w:b w:val="0"/>
          <w:sz w:val="24"/>
          <w:szCs w:val="24"/>
        </w:rPr>
        <w:t>implement the proposals to collect reinsurance counterparty information.</w:t>
      </w:r>
    </w:p>
    <w:p w:rsidR="00634C6E" w:rsidRPr="00343D4F" w:rsidRDefault="00634C6E" w:rsidP="00634C6E">
      <w:pPr>
        <w:spacing w:before="100" w:beforeAutospacing="1" w:after="100" w:afterAutospacing="1"/>
        <w:jc w:val="both"/>
        <w:rPr>
          <w:rFonts w:ascii="Times New Roman" w:hAnsi="Times New Roman"/>
          <w:sz w:val="24"/>
          <w:szCs w:val="24"/>
        </w:rPr>
      </w:pPr>
      <w:r w:rsidRPr="00343D4F">
        <w:rPr>
          <w:rFonts w:ascii="Times New Roman" w:hAnsi="Times New Roman"/>
          <w:sz w:val="24"/>
          <w:szCs w:val="24"/>
        </w:rPr>
        <w:t xml:space="preserve">The new reporting standards and associated reporting forms are issued under FSCODA. These reporting standards enable the reporting requirements </w:t>
      </w:r>
      <w:r w:rsidR="002F1134" w:rsidRPr="00343D4F">
        <w:rPr>
          <w:rFonts w:ascii="Times New Roman" w:hAnsi="Times New Roman"/>
          <w:sz w:val="24"/>
          <w:szCs w:val="24"/>
        </w:rPr>
        <w:t>under the new reporting framework</w:t>
      </w:r>
      <w:r w:rsidRPr="00343D4F">
        <w:rPr>
          <w:rFonts w:ascii="Times New Roman" w:hAnsi="Times New Roman"/>
          <w:sz w:val="24"/>
          <w:szCs w:val="24"/>
        </w:rPr>
        <w:t xml:space="preserve"> to take effect. </w:t>
      </w:r>
    </w:p>
    <w:p w:rsidR="00BA329B" w:rsidRPr="00343D4F" w:rsidRDefault="00634C6E" w:rsidP="00634C6E">
      <w:pPr>
        <w:spacing w:before="100" w:beforeAutospacing="1" w:after="100" w:afterAutospacing="1"/>
        <w:jc w:val="both"/>
        <w:rPr>
          <w:rFonts w:ascii="Times New Roman" w:hAnsi="Times New Roman"/>
          <w:sz w:val="24"/>
          <w:szCs w:val="24"/>
        </w:rPr>
      </w:pPr>
      <w:r w:rsidRPr="00343D4F">
        <w:rPr>
          <w:rFonts w:ascii="Times New Roman" w:hAnsi="Times New Roman"/>
          <w:sz w:val="24"/>
          <w:szCs w:val="24"/>
        </w:rPr>
        <w:t>The collection of annual data under the new general insurance prudential reporting requirements will commence for the reporting period</w:t>
      </w:r>
      <w:r w:rsidR="001F4294" w:rsidRPr="00343D4F">
        <w:rPr>
          <w:rFonts w:ascii="Times New Roman" w:hAnsi="Times New Roman"/>
          <w:sz w:val="24"/>
          <w:szCs w:val="24"/>
        </w:rPr>
        <w:t>s</w:t>
      </w:r>
      <w:r w:rsidRPr="00343D4F">
        <w:rPr>
          <w:rFonts w:ascii="Times New Roman" w:hAnsi="Times New Roman"/>
          <w:sz w:val="24"/>
          <w:szCs w:val="24"/>
        </w:rPr>
        <w:t xml:space="preserve"> ending on or after </w:t>
      </w:r>
      <w:r w:rsidR="001F4294" w:rsidRPr="00343D4F">
        <w:rPr>
          <w:rFonts w:ascii="Times New Roman" w:hAnsi="Times New Roman"/>
          <w:sz w:val="24"/>
          <w:szCs w:val="24"/>
        </w:rPr>
        <w:t>31 December</w:t>
      </w:r>
      <w:r w:rsidRPr="00343D4F">
        <w:rPr>
          <w:rFonts w:ascii="Times New Roman" w:hAnsi="Times New Roman"/>
          <w:sz w:val="24"/>
          <w:szCs w:val="24"/>
        </w:rPr>
        <w:t xml:space="preserve"> 2013.</w:t>
      </w:r>
      <w:r w:rsidR="00BA329B" w:rsidRPr="00343D4F">
        <w:rPr>
          <w:rFonts w:ascii="Times New Roman" w:hAnsi="Times New Roman"/>
          <w:sz w:val="24"/>
          <w:szCs w:val="24"/>
        </w:rPr>
        <w:t xml:space="preserve"> </w:t>
      </w:r>
    </w:p>
    <w:p w:rsidR="002436BD" w:rsidRPr="00343D4F" w:rsidRDefault="002436BD" w:rsidP="001317F6">
      <w:pPr>
        <w:pStyle w:val="Heading"/>
        <w:numPr>
          <w:ilvl w:val="0"/>
          <w:numId w:val="2"/>
        </w:numPr>
        <w:spacing w:after="240"/>
        <w:rPr>
          <w:rFonts w:ascii="Times New Roman" w:hAnsi="Times New Roman"/>
          <w:sz w:val="24"/>
          <w:szCs w:val="24"/>
        </w:rPr>
      </w:pPr>
      <w:r w:rsidRPr="00343D4F">
        <w:rPr>
          <w:rFonts w:ascii="Times New Roman" w:hAnsi="Times New Roman"/>
          <w:sz w:val="24"/>
          <w:szCs w:val="24"/>
        </w:rPr>
        <w:t>Consultation</w:t>
      </w:r>
    </w:p>
    <w:p w:rsidR="00752FD9" w:rsidRPr="00343D4F" w:rsidRDefault="00752FD9" w:rsidP="00752FD9">
      <w:pPr>
        <w:pStyle w:val="Heading"/>
        <w:tabs>
          <w:tab w:val="left" w:pos="360"/>
        </w:tabs>
        <w:spacing w:after="240"/>
        <w:rPr>
          <w:rFonts w:ascii="Times New Roman" w:hAnsi="Times New Roman"/>
          <w:b w:val="0"/>
          <w:sz w:val="24"/>
          <w:szCs w:val="24"/>
        </w:rPr>
      </w:pPr>
      <w:bookmarkStart w:id="5" w:name="bkConsultation"/>
      <w:bookmarkStart w:id="6" w:name="bkRISNO"/>
      <w:bookmarkStart w:id="7" w:name="bkRIS"/>
      <w:bookmarkEnd w:id="5"/>
      <w:bookmarkEnd w:id="6"/>
      <w:r w:rsidRPr="00343D4F">
        <w:rPr>
          <w:rFonts w:ascii="Times New Roman" w:hAnsi="Times New Roman"/>
          <w:b w:val="0"/>
          <w:sz w:val="24"/>
          <w:szCs w:val="24"/>
        </w:rPr>
        <w:t>A summary of the public discussion and response papers released during the consultation period is as follows:</w:t>
      </w:r>
    </w:p>
    <w:p w:rsidR="00752FD9" w:rsidRPr="00343D4F" w:rsidRDefault="00752FD9" w:rsidP="00752FD9">
      <w:pPr>
        <w:pStyle w:val="Heading"/>
        <w:numPr>
          <w:ilvl w:val="0"/>
          <w:numId w:val="3"/>
        </w:numPr>
        <w:spacing w:after="240"/>
        <w:rPr>
          <w:rFonts w:ascii="Times New Roman" w:hAnsi="Times New Roman"/>
          <w:b w:val="0"/>
          <w:sz w:val="24"/>
          <w:szCs w:val="24"/>
        </w:rPr>
      </w:pPr>
      <w:r w:rsidRPr="00343D4F">
        <w:rPr>
          <w:rFonts w:ascii="Times New Roman" w:hAnsi="Times New Roman"/>
          <w:b w:val="0"/>
          <w:sz w:val="24"/>
          <w:szCs w:val="24"/>
        </w:rPr>
        <w:t xml:space="preserve">June 2012: Discussion Paper ‘Review of capital standards for general insurers and life insurers – proposed revisions to reporting requirements’, which included proposals to collect reinsurance counterparty data; </w:t>
      </w:r>
    </w:p>
    <w:p w:rsidR="00752FD9" w:rsidRPr="00343D4F" w:rsidRDefault="00752FD9" w:rsidP="00752FD9">
      <w:pPr>
        <w:pStyle w:val="Heading"/>
        <w:numPr>
          <w:ilvl w:val="0"/>
          <w:numId w:val="3"/>
        </w:numPr>
        <w:spacing w:after="240"/>
        <w:rPr>
          <w:rFonts w:ascii="Times New Roman" w:hAnsi="Times New Roman"/>
          <w:b w:val="0"/>
          <w:sz w:val="24"/>
          <w:szCs w:val="24"/>
        </w:rPr>
      </w:pPr>
      <w:r w:rsidRPr="00343D4F">
        <w:rPr>
          <w:rFonts w:ascii="Times New Roman" w:hAnsi="Times New Roman"/>
          <w:b w:val="0"/>
          <w:sz w:val="24"/>
          <w:szCs w:val="24"/>
        </w:rPr>
        <w:t xml:space="preserve">October 2012: Response Paper ‘Review of capital standards for general insurers and life insurers – reporting requirements’, which included APRA’s decision to defer further consultation on the collection of reinsurance counterparty data until 2013; </w:t>
      </w:r>
    </w:p>
    <w:p w:rsidR="00752FD9" w:rsidRPr="00343D4F" w:rsidRDefault="00752FD9" w:rsidP="00752FD9">
      <w:pPr>
        <w:pStyle w:val="Heading"/>
        <w:numPr>
          <w:ilvl w:val="0"/>
          <w:numId w:val="3"/>
        </w:numPr>
        <w:spacing w:after="240"/>
        <w:rPr>
          <w:rFonts w:ascii="Times New Roman" w:hAnsi="Times New Roman"/>
          <w:b w:val="0"/>
          <w:sz w:val="24"/>
          <w:szCs w:val="24"/>
        </w:rPr>
      </w:pPr>
      <w:r w:rsidRPr="00343D4F">
        <w:rPr>
          <w:rFonts w:ascii="Times New Roman" w:hAnsi="Times New Roman"/>
          <w:b w:val="0"/>
          <w:sz w:val="24"/>
          <w:szCs w:val="24"/>
        </w:rPr>
        <w:t>June 2013: Discussion Paper ‘Reinsurance counterparty data collection for general insurers including draft reporting forms’, including draft reporting forms and instructions; and</w:t>
      </w:r>
    </w:p>
    <w:p w:rsidR="00752FD9" w:rsidRPr="00343D4F" w:rsidRDefault="00752FD9" w:rsidP="00752FD9">
      <w:pPr>
        <w:pStyle w:val="Heading"/>
        <w:numPr>
          <w:ilvl w:val="0"/>
          <w:numId w:val="3"/>
        </w:numPr>
        <w:spacing w:after="240"/>
        <w:rPr>
          <w:rFonts w:ascii="Times New Roman" w:hAnsi="Times New Roman"/>
          <w:b w:val="0"/>
          <w:sz w:val="24"/>
          <w:szCs w:val="24"/>
        </w:rPr>
      </w:pPr>
      <w:r w:rsidRPr="00343D4F">
        <w:rPr>
          <w:rFonts w:ascii="Times New Roman" w:hAnsi="Times New Roman"/>
          <w:b w:val="0"/>
          <w:sz w:val="24"/>
          <w:szCs w:val="24"/>
        </w:rPr>
        <w:t>December 2013: Response letter ‘Reinsurance counterparty data collection for general insurers and Level 2 insurance groups’</w:t>
      </w:r>
      <w:r w:rsidRPr="00343D4F">
        <w:rPr>
          <w:rFonts w:ascii="Times New Roman" w:hAnsi="Times New Roman"/>
          <w:b w:val="0"/>
          <w:i/>
          <w:sz w:val="24"/>
          <w:szCs w:val="24"/>
        </w:rPr>
        <w:t xml:space="preserve"> </w:t>
      </w:r>
      <w:r w:rsidRPr="00343D4F">
        <w:rPr>
          <w:rFonts w:ascii="Times New Roman" w:hAnsi="Times New Roman"/>
          <w:b w:val="0"/>
          <w:sz w:val="24"/>
          <w:szCs w:val="24"/>
        </w:rPr>
        <w:t>including:</w:t>
      </w:r>
    </w:p>
    <w:p w:rsidR="00752FD9" w:rsidRPr="00343D4F" w:rsidRDefault="00752FD9" w:rsidP="00752FD9">
      <w:pPr>
        <w:pStyle w:val="Heading"/>
        <w:numPr>
          <w:ilvl w:val="1"/>
          <w:numId w:val="3"/>
        </w:numPr>
        <w:spacing w:after="240"/>
        <w:ind w:left="1134" w:hanging="567"/>
        <w:rPr>
          <w:rFonts w:ascii="Times New Roman" w:hAnsi="Times New Roman"/>
          <w:b w:val="0"/>
          <w:sz w:val="24"/>
          <w:szCs w:val="24"/>
        </w:rPr>
      </w:pPr>
      <w:r w:rsidRPr="00343D4F">
        <w:rPr>
          <w:rFonts w:ascii="Times New Roman" w:hAnsi="Times New Roman"/>
          <w:b w:val="0"/>
          <w:sz w:val="24"/>
          <w:szCs w:val="24"/>
        </w:rPr>
        <w:t>final versions of amended prudential standards; and</w:t>
      </w:r>
    </w:p>
    <w:p w:rsidR="00752FD9" w:rsidRPr="00343D4F" w:rsidRDefault="00752FD9" w:rsidP="00752FD9">
      <w:pPr>
        <w:pStyle w:val="Heading"/>
        <w:numPr>
          <w:ilvl w:val="1"/>
          <w:numId w:val="3"/>
        </w:numPr>
        <w:spacing w:after="240"/>
        <w:ind w:left="1134" w:hanging="567"/>
        <w:rPr>
          <w:rFonts w:ascii="Times New Roman" w:hAnsi="Times New Roman"/>
          <w:b w:val="0"/>
          <w:sz w:val="24"/>
          <w:szCs w:val="24"/>
        </w:rPr>
      </w:pPr>
      <w:r w:rsidRPr="00343D4F">
        <w:rPr>
          <w:rFonts w:ascii="Times New Roman" w:hAnsi="Times New Roman"/>
          <w:b w:val="0"/>
          <w:sz w:val="24"/>
          <w:szCs w:val="24"/>
        </w:rPr>
        <w:lastRenderedPageBreak/>
        <w:t>final versions of reporting standards with forms and instructions.</w:t>
      </w:r>
    </w:p>
    <w:p w:rsidR="00752FD9" w:rsidRPr="00343D4F" w:rsidRDefault="00752FD9" w:rsidP="00752FD9">
      <w:pPr>
        <w:pStyle w:val="Heading"/>
        <w:tabs>
          <w:tab w:val="left" w:pos="360"/>
        </w:tabs>
        <w:spacing w:after="240"/>
        <w:rPr>
          <w:rFonts w:ascii="Times New Roman" w:hAnsi="Times New Roman"/>
          <w:b w:val="0"/>
          <w:sz w:val="24"/>
          <w:szCs w:val="24"/>
        </w:rPr>
      </w:pPr>
      <w:r w:rsidRPr="00343D4F">
        <w:rPr>
          <w:rFonts w:ascii="Times New Roman" w:hAnsi="Times New Roman"/>
          <w:b w:val="0"/>
          <w:sz w:val="24"/>
          <w:szCs w:val="24"/>
        </w:rPr>
        <w:t xml:space="preserve">APRA has considered both formal and informal feedback from industry throughout the consultation process. Submissions made by industry were broadly supportive of the changes. Issues raised during consultation have been addressed and </w:t>
      </w:r>
      <w:r w:rsidR="00A859B4" w:rsidRPr="00343D4F">
        <w:rPr>
          <w:rFonts w:ascii="Times New Roman" w:hAnsi="Times New Roman"/>
          <w:b w:val="0"/>
          <w:sz w:val="24"/>
          <w:szCs w:val="24"/>
        </w:rPr>
        <w:t>taken into account in</w:t>
      </w:r>
      <w:r w:rsidRPr="00343D4F">
        <w:rPr>
          <w:rFonts w:ascii="Times New Roman" w:hAnsi="Times New Roman"/>
          <w:b w:val="0"/>
          <w:sz w:val="24"/>
          <w:szCs w:val="24"/>
        </w:rPr>
        <w:t xml:space="preserve"> the prudential and reporting frameworks, where applicable.</w:t>
      </w:r>
    </w:p>
    <w:p w:rsidR="002436BD" w:rsidRPr="00343D4F" w:rsidRDefault="00DF524E" w:rsidP="00113C3C">
      <w:pPr>
        <w:pStyle w:val="Heading"/>
        <w:tabs>
          <w:tab w:val="left" w:pos="360"/>
        </w:tabs>
        <w:spacing w:after="240"/>
        <w:rPr>
          <w:rFonts w:ascii="Times New Roman" w:hAnsi="Times New Roman"/>
          <w:sz w:val="24"/>
          <w:szCs w:val="24"/>
        </w:rPr>
      </w:pPr>
      <w:r w:rsidRPr="00343D4F">
        <w:rPr>
          <w:rFonts w:ascii="Times New Roman" w:hAnsi="Times New Roman"/>
          <w:sz w:val="24"/>
          <w:szCs w:val="24"/>
        </w:rPr>
        <w:t>4</w:t>
      </w:r>
      <w:r w:rsidR="002436BD" w:rsidRPr="00343D4F">
        <w:rPr>
          <w:rFonts w:ascii="Times New Roman" w:hAnsi="Times New Roman"/>
          <w:sz w:val="24"/>
          <w:szCs w:val="24"/>
        </w:rPr>
        <w:t xml:space="preserve">. </w:t>
      </w:r>
      <w:r w:rsidR="002436BD" w:rsidRPr="00343D4F">
        <w:rPr>
          <w:rFonts w:ascii="Times New Roman" w:hAnsi="Times New Roman"/>
          <w:sz w:val="24"/>
          <w:szCs w:val="24"/>
        </w:rPr>
        <w:tab/>
        <w:t>Regulation Impact Statement</w:t>
      </w:r>
    </w:p>
    <w:bookmarkEnd w:id="7"/>
    <w:p w:rsidR="00D3484E" w:rsidRPr="00343D4F" w:rsidRDefault="00D3484E" w:rsidP="00113C3C">
      <w:pPr>
        <w:pStyle w:val="Heading"/>
        <w:spacing w:after="240"/>
        <w:rPr>
          <w:rFonts w:ascii="Times New Roman" w:hAnsi="Times New Roman"/>
          <w:b w:val="0"/>
          <w:sz w:val="24"/>
          <w:szCs w:val="24"/>
        </w:rPr>
      </w:pPr>
      <w:r w:rsidRPr="00343D4F">
        <w:rPr>
          <w:rFonts w:ascii="Times New Roman" w:hAnsi="Times New Roman"/>
          <w:b w:val="0"/>
          <w:sz w:val="24"/>
          <w:szCs w:val="24"/>
        </w:rPr>
        <w:t>The Office of Best Practice Regulation has advised that a Regulation Impact Statement is not required for this legislative instrument.</w:t>
      </w:r>
    </w:p>
    <w:p w:rsidR="002436BD" w:rsidRPr="00343D4F" w:rsidRDefault="00DF524E" w:rsidP="00113C3C">
      <w:pPr>
        <w:pStyle w:val="Heading"/>
        <w:tabs>
          <w:tab w:val="left" w:pos="360"/>
        </w:tabs>
        <w:spacing w:after="240"/>
        <w:rPr>
          <w:rFonts w:ascii="Times New Roman" w:hAnsi="Times New Roman"/>
          <w:sz w:val="24"/>
          <w:szCs w:val="24"/>
        </w:rPr>
      </w:pPr>
      <w:r w:rsidRPr="00343D4F">
        <w:rPr>
          <w:rFonts w:ascii="Times New Roman" w:hAnsi="Times New Roman"/>
          <w:sz w:val="24"/>
          <w:szCs w:val="24"/>
        </w:rPr>
        <w:t>5</w:t>
      </w:r>
      <w:r w:rsidR="002436BD" w:rsidRPr="00343D4F">
        <w:rPr>
          <w:rFonts w:ascii="Times New Roman" w:hAnsi="Times New Roman"/>
          <w:sz w:val="24"/>
          <w:szCs w:val="24"/>
        </w:rPr>
        <w:t>.</w:t>
      </w:r>
      <w:r w:rsidR="002436BD" w:rsidRPr="00343D4F">
        <w:rPr>
          <w:rFonts w:ascii="Times New Roman" w:hAnsi="Times New Roman"/>
          <w:sz w:val="24"/>
          <w:szCs w:val="24"/>
        </w:rPr>
        <w:tab/>
        <w:t>Statement of compatibility prepared in accordance with Part 3 of the Human Rights (Parliamentary Scrutiny) Act 2011</w:t>
      </w:r>
    </w:p>
    <w:p w:rsidR="00B540E8" w:rsidRPr="00343D4F" w:rsidRDefault="0030506B" w:rsidP="001317F6">
      <w:pPr>
        <w:pStyle w:val="Heading"/>
        <w:spacing w:after="240"/>
        <w:rPr>
          <w:rFonts w:ascii="Times New Roman" w:hAnsi="Times New Roman"/>
          <w:b w:val="0"/>
          <w:sz w:val="24"/>
          <w:szCs w:val="24"/>
        </w:rPr>
      </w:pPr>
      <w:r w:rsidRPr="00343D4F">
        <w:rPr>
          <w:rFonts w:ascii="Times New Roman" w:hAnsi="Times New Roman"/>
          <w:b w:val="0"/>
          <w:sz w:val="24"/>
          <w:szCs w:val="24"/>
        </w:rPr>
        <w:t xml:space="preserve">A Statement of compatibility prepared in accordance with Part 3 of the </w:t>
      </w:r>
      <w:r w:rsidRPr="00343D4F">
        <w:rPr>
          <w:rFonts w:ascii="Times New Roman" w:hAnsi="Times New Roman"/>
          <w:b w:val="0"/>
          <w:i/>
          <w:sz w:val="24"/>
          <w:szCs w:val="24"/>
        </w:rPr>
        <w:t>Human Rights (Parliamentary Scrutiny) Act 2011</w:t>
      </w:r>
      <w:r w:rsidRPr="00343D4F">
        <w:rPr>
          <w:rFonts w:ascii="Times New Roman" w:hAnsi="Times New Roman"/>
          <w:b w:val="0"/>
          <w:sz w:val="24"/>
          <w:szCs w:val="24"/>
        </w:rPr>
        <w:t xml:space="preserve"> is provided at Attachment A to this Explanatory Statement.</w:t>
      </w:r>
    </w:p>
    <w:p w:rsidR="00752FD9" w:rsidRPr="00343D4F" w:rsidRDefault="00752FD9" w:rsidP="00752FD9">
      <w:pPr>
        <w:spacing w:after="240"/>
        <w:jc w:val="both"/>
        <w:rPr>
          <w:rFonts w:ascii="Times New Roman" w:hAnsi="Times New Roman"/>
          <w:sz w:val="24"/>
          <w:szCs w:val="24"/>
        </w:rPr>
      </w:pPr>
      <w:r w:rsidRPr="00343D4F">
        <w:rPr>
          <w:rFonts w:ascii="Times New Roman" w:hAnsi="Times New Roman"/>
          <w:sz w:val="24"/>
          <w:szCs w:val="24"/>
        </w:rPr>
        <w:t>The instruments do not engage any of the applicable rights or freedoms recognised or declared in the international instruments listed in section 3 of the Human Rights (Parliamentary Scrutiny) Act 2011. Accordingly, in APRA’s assessment, the instruments are compatible with human rights.</w:t>
      </w:r>
    </w:p>
    <w:p w:rsidR="00752FD9" w:rsidRPr="00343D4F" w:rsidRDefault="00752FD9" w:rsidP="001317F6">
      <w:pPr>
        <w:pStyle w:val="Heading"/>
        <w:spacing w:after="240"/>
        <w:rPr>
          <w:rFonts w:ascii="Times New Roman" w:hAnsi="Times New Roman"/>
          <w:b w:val="0"/>
          <w:sz w:val="24"/>
          <w:szCs w:val="24"/>
        </w:rPr>
      </w:pPr>
    </w:p>
    <w:p w:rsidR="00B540E8" w:rsidRPr="00343D4F" w:rsidRDefault="00B540E8">
      <w:pPr>
        <w:rPr>
          <w:rFonts w:ascii="Times New Roman" w:hAnsi="Times New Roman"/>
          <w:sz w:val="24"/>
          <w:szCs w:val="24"/>
        </w:rPr>
      </w:pPr>
      <w:r w:rsidRPr="00343D4F">
        <w:rPr>
          <w:rFonts w:ascii="Times New Roman" w:hAnsi="Times New Roman"/>
          <w:b/>
          <w:sz w:val="24"/>
          <w:szCs w:val="24"/>
        </w:rPr>
        <w:br w:type="page"/>
      </w:r>
    </w:p>
    <w:p w:rsidR="00B540E8" w:rsidRPr="00343D4F" w:rsidRDefault="00B540E8" w:rsidP="00B540E8">
      <w:pPr>
        <w:autoSpaceDE w:val="0"/>
        <w:autoSpaceDN w:val="0"/>
        <w:adjustRightInd w:val="0"/>
        <w:jc w:val="both"/>
        <w:rPr>
          <w:rFonts w:ascii="Times New Roman" w:hAnsi="Times New Roman"/>
          <w:b/>
          <w:sz w:val="24"/>
          <w:szCs w:val="24"/>
        </w:rPr>
      </w:pPr>
      <w:r w:rsidRPr="00343D4F">
        <w:rPr>
          <w:rFonts w:ascii="Times New Roman" w:hAnsi="Times New Roman"/>
          <w:b/>
          <w:sz w:val="24"/>
          <w:szCs w:val="24"/>
        </w:rPr>
        <w:lastRenderedPageBreak/>
        <w:t>Attachment A</w:t>
      </w:r>
    </w:p>
    <w:p w:rsidR="00B540E8" w:rsidRPr="00343D4F" w:rsidRDefault="00B540E8" w:rsidP="00B540E8">
      <w:pPr>
        <w:autoSpaceDE w:val="0"/>
        <w:autoSpaceDN w:val="0"/>
        <w:adjustRightInd w:val="0"/>
        <w:ind w:left="360"/>
        <w:jc w:val="both"/>
        <w:rPr>
          <w:rFonts w:ascii="Times New Roman" w:hAnsi="Times New Roman"/>
          <w:sz w:val="24"/>
          <w:szCs w:val="24"/>
        </w:rPr>
      </w:pPr>
    </w:p>
    <w:p w:rsidR="00B540E8" w:rsidRPr="00343D4F" w:rsidRDefault="00B540E8" w:rsidP="00B540E8">
      <w:pPr>
        <w:autoSpaceDE w:val="0"/>
        <w:autoSpaceDN w:val="0"/>
        <w:adjustRightInd w:val="0"/>
        <w:jc w:val="center"/>
        <w:rPr>
          <w:rFonts w:ascii="Times New Roman" w:hAnsi="Times New Roman"/>
          <w:b/>
          <w:sz w:val="24"/>
          <w:szCs w:val="24"/>
        </w:rPr>
      </w:pPr>
      <w:r w:rsidRPr="00343D4F">
        <w:rPr>
          <w:rFonts w:ascii="Times New Roman" w:hAnsi="Times New Roman"/>
          <w:b/>
          <w:sz w:val="24"/>
          <w:szCs w:val="24"/>
        </w:rPr>
        <w:t>Statement of Compatibility with Human Rights</w:t>
      </w:r>
    </w:p>
    <w:p w:rsidR="00B540E8" w:rsidRPr="00343D4F" w:rsidRDefault="00B540E8" w:rsidP="00B540E8">
      <w:pPr>
        <w:autoSpaceDE w:val="0"/>
        <w:autoSpaceDN w:val="0"/>
        <w:adjustRightInd w:val="0"/>
        <w:jc w:val="both"/>
        <w:rPr>
          <w:rFonts w:ascii="Times New Roman" w:hAnsi="Times New Roman"/>
          <w:b/>
          <w:sz w:val="24"/>
          <w:szCs w:val="24"/>
        </w:rPr>
      </w:pPr>
    </w:p>
    <w:p w:rsidR="00B540E8" w:rsidRPr="00343D4F" w:rsidRDefault="00B540E8" w:rsidP="00B540E8">
      <w:pPr>
        <w:autoSpaceDE w:val="0"/>
        <w:autoSpaceDN w:val="0"/>
        <w:adjustRightInd w:val="0"/>
        <w:jc w:val="both"/>
        <w:rPr>
          <w:rFonts w:ascii="Times New Roman" w:hAnsi="Times New Roman"/>
          <w:i/>
          <w:sz w:val="24"/>
          <w:szCs w:val="24"/>
        </w:rPr>
      </w:pPr>
      <w:r w:rsidRPr="00343D4F">
        <w:rPr>
          <w:rFonts w:ascii="Times New Roman" w:hAnsi="Times New Roman"/>
          <w:i/>
          <w:sz w:val="24"/>
          <w:szCs w:val="24"/>
        </w:rPr>
        <w:t>Prepared in accordance with Part 3 of the Human Rights (Parliamentary Scrutiny) Act 2011</w:t>
      </w:r>
    </w:p>
    <w:p w:rsidR="00B540E8" w:rsidRPr="00343D4F" w:rsidRDefault="00B540E8" w:rsidP="00B540E8">
      <w:pPr>
        <w:pStyle w:val="Title"/>
        <w:spacing w:before="0"/>
        <w:jc w:val="both"/>
        <w:rPr>
          <w:sz w:val="24"/>
          <w:szCs w:val="24"/>
        </w:rPr>
      </w:pPr>
    </w:p>
    <w:p w:rsidR="00B540E8" w:rsidRPr="00343D4F" w:rsidRDefault="00B540E8" w:rsidP="00B540E8">
      <w:pPr>
        <w:pStyle w:val="Heading"/>
        <w:spacing w:before="120"/>
        <w:jc w:val="center"/>
        <w:rPr>
          <w:rFonts w:ascii="Times New Roman" w:hAnsi="Times New Roman"/>
          <w:sz w:val="24"/>
          <w:szCs w:val="24"/>
        </w:rPr>
      </w:pPr>
      <w:r w:rsidRPr="00343D4F">
        <w:rPr>
          <w:rFonts w:ascii="Times New Roman" w:hAnsi="Times New Roman"/>
          <w:sz w:val="24"/>
          <w:szCs w:val="24"/>
        </w:rPr>
        <w:t>Financial Sector (Collection of Data) (reporting standard) determinations Nos. 101 to 104 of 2013</w:t>
      </w:r>
    </w:p>
    <w:p w:rsidR="00B540E8" w:rsidRPr="00343D4F" w:rsidRDefault="00B540E8" w:rsidP="00B540E8">
      <w:pPr>
        <w:pStyle w:val="BodyText"/>
        <w:spacing w:after="0"/>
        <w:jc w:val="both"/>
        <w:rPr>
          <w:szCs w:val="24"/>
        </w:rPr>
      </w:pPr>
    </w:p>
    <w:p w:rsidR="00B540E8" w:rsidRPr="00343D4F" w:rsidRDefault="00B540E8" w:rsidP="00B540E8">
      <w:pPr>
        <w:pStyle w:val="BodyText"/>
        <w:spacing w:after="0"/>
        <w:jc w:val="both"/>
        <w:rPr>
          <w:szCs w:val="24"/>
        </w:rPr>
      </w:pPr>
      <w:r w:rsidRPr="00343D4F">
        <w:rPr>
          <w:szCs w:val="24"/>
        </w:rPr>
        <w:t xml:space="preserve">These Legislative Instruments are compatible with the human rights and freedoms recognised or declared in the international instruments listed in section 3 of the </w:t>
      </w:r>
      <w:r w:rsidRPr="00343D4F">
        <w:rPr>
          <w:i/>
          <w:szCs w:val="24"/>
        </w:rPr>
        <w:t>Human Rights (Parliamentary Scrutiny) Act 2011</w:t>
      </w:r>
      <w:r w:rsidRPr="00343D4F">
        <w:rPr>
          <w:szCs w:val="24"/>
        </w:rPr>
        <w:t xml:space="preserve"> (HRPS Act)</w:t>
      </w:r>
      <w:r w:rsidRPr="00343D4F">
        <w:rPr>
          <w:i/>
          <w:szCs w:val="24"/>
        </w:rPr>
        <w:t>.</w:t>
      </w:r>
    </w:p>
    <w:p w:rsidR="00B540E8" w:rsidRPr="00343D4F" w:rsidRDefault="00B540E8" w:rsidP="00B540E8">
      <w:pPr>
        <w:pStyle w:val="BodyText"/>
        <w:spacing w:after="0"/>
        <w:jc w:val="both"/>
        <w:rPr>
          <w:i/>
          <w:szCs w:val="24"/>
        </w:rPr>
      </w:pPr>
    </w:p>
    <w:p w:rsidR="00B540E8" w:rsidRPr="00343D4F" w:rsidRDefault="00B540E8" w:rsidP="00B540E8">
      <w:pPr>
        <w:pStyle w:val="BodyText"/>
        <w:spacing w:after="0"/>
        <w:jc w:val="both"/>
        <w:rPr>
          <w:b/>
          <w:szCs w:val="24"/>
        </w:rPr>
      </w:pPr>
      <w:r w:rsidRPr="00343D4F">
        <w:rPr>
          <w:b/>
          <w:szCs w:val="24"/>
        </w:rPr>
        <w:t>Overview of the Legislative Instrument</w:t>
      </w:r>
    </w:p>
    <w:p w:rsidR="00B540E8" w:rsidRPr="00343D4F" w:rsidRDefault="00B540E8" w:rsidP="00B540E8">
      <w:pPr>
        <w:pStyle w:val="BodyText"/>
        <w:spacing w:after="0"/>
        <w:jc w:val="both"/>
        <w:rPr>
          <w:b/>
          <w:szCs w:val="24"/>
        </w:rPr>
      </w:pPr>
    </w:p>
    <w:p w:rsidR="004C7155" w:rsidRPr="00343D4F" w:rsidRDefault="00B540E8" w:rsidP="00B540E8">
      <w:pPr>
        <w:pStyle w:val="BodyText"/>
        <w:spacing w:after="0"/>
        <w:jc w:val="both"/>
        <w:rPr>
          <w:szCs w:val="24"/>
        </w:rPr>
      </w:pPr>
      <w:r w:rsidRPr="00343D4F">
        <w:rPr>
          <w:szCs w:val="24"/>
        </w:rPr>
        <w:t>These Legislative Instruments</w:t>
      </w:r>
      <w:r w:rsidR="00752FD9" w:rsidRPr="00343D4F">
        <w:rPr>
          <w:szCs w:val="24"/>
        </w:rPr>
        <w:t xml:space="preserve"> </w:t>
      </w:r>
      <w:r w:rsidR="004C7155" w:rsidRPr="00343D4F">
        <w:rPr>
          <w:szCs w:val="24"/>
        </w:rPr>
        <w:t xml:space="preserve">introduce new reporting standards to implement APRA’s proposals to collect reinsurance counterparty information. </w:t>
      </w:r>
    </w:p>
    <w:p w:rsidR="00B540E8" w:rsidRPr="00343D4F" w:rsidRDefault="00B540E8" w:rsidP="00B540E8">
      <w:pPr>
        <w:pStyle w:val="BodyText"/>
        <w:spacing w:after="0"/>
        <w:jc w:val="both"/>
        <w:rPr>
          <w:szCs w:val="24"/>
        </w:rPr>
      </w:pPr>
    </w:p>
    <w:p w:rsidR="00B540E8" w:rsidRPr="00343D4F" w:rsidRDefault="00B540E8" w:rsidP="00B540E8">
      <w:pPr>
        <w:pStyle w:val="BodyText"/>
        <w:jc w:val="both"/>
        <w:rPr>
          <w:b/>
        </w:rPr>
      </w:pPr>
      <w:r w:rsidRPr="00343D4F">
        <w:rPr>
          <w:b/>
        </w:rPr>
        <w:t>Human rights implications</w:t>
      </w:r>
    </w:p>
    <w:p w:rsidR="00B540E8" w:rsidRPr="00343D4F" w:rsidRDefault="00B540E8" w:rsidP="00B540E8">
      <w:pPr>
        <w:autoSpaceDE w:val="0"/>
        <w:autoSpaceDN w:val="0"/>
        <w:adjustRightInd w:val="0"/>
        <w:jc w:val="both"/>
      </w:pPr>
      <w:r w:rsidRPr="00343D4F">
        <w:rPr>
          <w:rFonts w:ascii="Times New Roman" w:eastAsia="Calibri"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B540E8" w:rsidRPr="00343D4F" w:rsidRDefault="00B540E8" w:rsidP="00B540E8">
      <w:pPr>
        <w:pStyle w:val="BodyText"/>
        <w:spacing w:after="0"/>
        <w:jc w:val="both"/>
      </w:pPr>
    </w:p>
    <w:p w:rsidR="00B540E8" w:rsidRPr="00343D4F" w:rsidRDefault="00B540E8" w:rsidP="00B540E8">
      <w:pPr>
        <w:pStyle w:val="BodyText"/>
        <w:jc w:val="both"/>
        <w:rPr>
          <w:b/>
        </w:rPr>
      </w:pPr>
      <w:r w:rsidRPr="00343D4F">
        <w:rPr>
          <w:b/>
        </w:rPr>
        <w:t>Conclusion</w:t>
      </w:r>
    </w:p>
    <w:p w:rsidR="00B04B20" w:rsidRPr="00B540E8" w:rsidRDefault="00B540E8" w:rsidP="00B540E8">
      <w:pPr>
        <w:rPr>
          <w:rFonts w:ascii="Times New Roman" w:hAnsi="Times New Roman"/>
          <w:b/>
          <w:sz w:val="24"/>
          <w:szCs w:val="24"/>
        </w:rPr>
      </w:pPr>
      <w:r w:rsidRPr="00343D4F">
        <w:rPr>
          <w:rFonts w:ascii="Times New Roman" w:hAnsi="Times New Roman"/>
          <w:sz w:val="24"/>
          <w:szCs w:val="24"/>
        </w:rPr>
        <w:t>These Legislative Instruments are compatible with human rights because they do not raise any human rights issues.</w:t>
      </w:r>
    </w:p>
    <w:sectPr w:rsidR="00B04B20" w:rsidRPr="00B540E8"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D7" w:rsidRDefault="004673D7" w:rsidP="001317F6">
      <w:r>
        <w:separator/>
      </w:r>
    </w:p>
  </w:endnote>
  <w:endnote w:type="continuationSeparator" w:id="0">
    <w:p w:rsidR="004673D7" w:rsidRDefault="004673D7" w:rsidP="001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szCs w:val="22"/>
      </w:rPr>
    </w:sdtEndPr>
    <w:sdtContent>
      <w:p w:rsidR="001317F6" w:rsidRPr="001317F6" w:rsidRDefault="001317F6" w:rsidP="001317F6">
        <w:pPr>
          <w:pStyle w:val="Footer"/>
          <w:jc w:val="center"/>
          <w:rPr>
            <w:szCs w:val="22"/>
          </w:rPr>
        </w:pPr>
        <w:r w:rsidRPr="00707EB4">
          <w:rPr>
            <w:rFonts w:ascii="Times New Roman" w:hAnsi="Times New Roman"/>
            <w:bCs/>
            <w:sz w:val="24"/>
            <w:szCs w:val="24"/>
          </w:rPr>
          <w:fldChar w:fldCharType="begin"/>
        </w:r>
        <w:r w:rsidRPr="00707EB4">
          <w:rPr>
            <w:rFonts w:ascii="Times New Roman" w:hAnsi="Times New Roman"/>
            <w:bCs/>
            <w:sz w:val="24"/>
            <w:szCs w:val="24"/>
          </w:rPr>
          <w:instrText xml:space="preserve"> PAGE </w:instrText>
        </w:r>
        <w:r w:rsidRPr="00707EB4">
          <w:rPr>
            <w:rFonts w:ascii="Times New Roman" w:hAnsi="Times New Roman"/>
            <w:bCs/>
            <w:sz w:val="24"/>
            <w:szCs w:val="24"/>
          </w:rPr>
          <w:fldChar w:fldCharType="separate"/>
        </w:r>
        <w:r w:rsidR="00F56139">
          <w:rPr>
            <w:rFonts w:ascii="Times New Roman" w:hAnsi="Times New Roman"/>
            <w:bCs/>
            <w:noProof/>
            <w:sz w:val="24"/>
            <w:szCs w:val="24"/>
          </w:rPr>
          <w:t>1</w:t>
        </w:r>
        <w:r w:rsidRPr="00707EB4">
          <w:rPr>
            <w:rFonts w:ascii="Times New Roman" w:hAnsi="Times New Roman"/>
            <w:bCs/>
            <w:sz w:val="24"/>
            <w:szCs w:val="24"/>
          </w:rPr>
          <w:fldChar w:fldCharType="end"/>
        </w:r>
      </w:p>
    </w:sdtContent>
  </w:sdt>
  <w:p w:rsidR="001317F6" w:rsidRDefault="00131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D7" w:rsidRDefault="004673D7" w:rsidP="001317F6">
      <w:r>
        <w:separator/>
      </w:r>
    </w:p>
  </w:footnote>
  <w:footnote w:type="continuationSeparator" w:id="0">
    <w:p w:rsidR="004673D7" w:rsidRDefault="004673D7" w:rsidP="00131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1DF87BC0"/>
    <w:multiLevelType w:val="hybridMultilevel"/>
    <w:tmpl w:val="4FB436F8"/>
    <w:lvl w:ilvl="0" w:tplc="6F8CE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2B53914"/>
    <w:multiLevelType w:val="hybridMultilevel"/>
    <w:tmpl w:val="F5C074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F5231C"/>
    <w:multiLevelType w:val="hybridMultilevel"/>
    <w:tmpl w:val="5FF4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nsid w:val="421F640B"/>
    <w:multiLevelType w:val="hybridMultilevel"/>
    <w:tmpl w:val="4FD4E948"/>
    <w:lvl w:ilvl="0" w:tplc="1DEEA526">
      <w:numFmt w:val="bullet"/>
      <w:lvlText w:val=""/>
      <w:lvlJc w:val="left"/>
      <w:pPr>
        <w:tabs>
          <w:tab w:val="num" w:pos="567"/>
        </w:tabs>
        <w:ind w:left="567" w:hanging="567"/>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A82F1E"/>
    <w:multiLevelType w:val="hybridMultilevel"/>
    <w:tmpl w:val="A9825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5"/>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D7"/>
    <w:rsid w:val="000401FC"/>
    <w:rsid w:val="000450FA"/>
    <w:rsid w:val="000B14BD"/>
    <w:rsid w:val="000E369C"/>
    <w:rsid w:val="00113C3C"/>
    <w:rsid w:val="001317F6"/>
    <w:rsid w:val="00182FA1"/>
    <w:rsid w:val="001A2ADB"/>
    <w:rsid w:val="001F4294"/>
    <w:rsid w:val="0022611E"/>
    <w:rsid w:val="002436BD"/>
    <w:rsid w:val="00246723"/>
    <w:rsid w:val="0025651C"/>
    <w:rsid w:val="002A73BD"/>
    <w:rsid w:val="002B51E0"/>
    <w:rsid w:val="002F1134"/>
    <w:rsid w:val="0030506B"/>
    <w:rsid w:val="00310CF8"/>
    <w:rsid w:val="003155FB"/>
    <w:rsid w:val="00343D4F"/>
    <w:rsid w:val="00354CB8"/>
    <w:rsid w:val="003678FC"/>
    <w:rsid w:val="003866AD"/>
    <w:rsid w:val="003A52A5"/>
    <w:rsid w:val="003D5032"/>
    <w:rsid w:val="0040175E"/>
    <w:rsid w:val="00422164"/>
    <w:rsid w:val="00443A02"/>
    <w:rsid w:val="004673D7"/>
    <w:rsid w:val="004B6091"/>
    <w:rsid w:val="004C3D07"/>
    <w:rsid w:val="004C7155"/>
    <w:rsid w:val="004E2008"/>
    <w:rsid w:val="0051575B"/>
    <w:rsid w:val="0056141D"/>
    <w:rsid w:val="005D4287"/>
    <w:rsid w:val="005E5910"/>
    <w:rsid w:val="005F2BDF"/>
    <w:rsid w:val="00622480"/>
    <w:rsid w:val="00634C6E"/>
    <w:rsid w:val="00647D58"/>
    <w:rsid w:val="00657678"/>
    <w:rsid w:val="006753F8"/>
    <w:rsid w:val="00682865"/>
    <w:rsid w:val="00684F73"/>
    <w:rsid w:val="006B093F"/>
    <w:rsid w:val="006D4AA0"/>
    <w:rsid w:val="007031F4"/>
    <w:rsid w:val="007049CF"/>
    <w:rsid w:val="00707EB4"/>
    <w:rsid w:val="00731AF9"/>
    <w:rsid w:val="007368AD"/>
    <w:rsid w:val="00736D41"/>
    <w:rsid w:val="007428D4"/>
    <w:rsid w:val="00747AFF"/>
    <w:rsid w:val="00752FD9"/>
    <w:rsid w:val="00785CDC"/>
    <w:rsid w:val="007C2298"/>
    <w:rsid w:val="007E4B2A"/>
    <w:rsid w:val="00830F66"/>
    <w:rsid w:val="008917A9"/>
    <w:rsid w:val="008B543F"/>
    <w:rsid w:val="008F539E"/>
    <w:rsid w:val="00932EFA"/>
    <w:rsid w:val="00967D16"/>
    <w:rsid w:val="00996E18"/>
    <w:rsid w:val="009B67A8"/>
    <w:rsid w:val="009C5368"/>
    <w:rsid w:val="00A279AF"/>
    <w:rsid w:val="00A4133B"/>
    <w:rsid w:val="00A63A2B"/>
    <w:rsid w:val="00A859B4"/>
    <w:rsid w:val="00AC2517"/>
    <w:rsid w:val="00AC7A56"/>
    <w:rsid w:val="00AD0845"/>
    <w:rsid w:val="00B04B20"/>
    <w:rsid w:val="00B17307"/>
    <w:rsid w:val="00B540E8"/>
    <w:rsid w:val="00B64B2E"/>
    <w:rsid w:val="00B731B6"/>
    <w:rsid w:val="00B85B6E"/>
    <w:rsid w:val="00BA329B"/>
    <w:rsid w:val="00BB1678"/>
    <w:rsid w:val="00BD6360"/>
    <w:rsid w:val="00BF2953"/>
    <w:rsid w:val="00C302FA"/>
    <w:rsid w:val="00C80097"/>
    <w:rsid w:val="00C948AA"/>
    <w:rsid w:val="00CA6CB3"/>
    <w:rsid w:val="00CB384A"/>
    <w:rsid w:val="00CD1947"/>
    <w:rsid w:val="00CE3EF2"/>
    <w:rsid w:val="00D119F5"/>
    <w:rsid w:val="00D3484E"/>
    <w:rsid w:val="00D61C83"/>
    <w:rsid w:val="00D624AF"/>
    <w:rsid w:val="00D64906"/>
    <w:rsid w:val="00D83531"/>
    <w:rsid w:val="00D87E36"/>
    <w:rsid w:val="00D912B0"/>
    <w:rsid w:val="00DF524E"/>
    <w:rsid w:val="00E15497"/>
    <w:rsid w:val="00E154A3"/>
    <w:rsid w:val="00E16789"/>
    <w:rsid w:val="00E201A8"/>
    <w:rsid w:val="00E52DFE"/>
    <w:rsid w:val="00E61B19"/>
    <w:rsid w:val="00E62E09"/>
    <w:rsid w:val="00E63174"/>
    <w:rsid w:val="00E90C89"/>
    <w:rsid w:val="00EC5653"/>
    <w:rsid w:val="00F0199E"/>
    <w:rsid w:val="00F04A9E"/>
    <w:rsid w:val="00F436BC"/>
    <w:rsid w:val="00F56139"/>
    <w:rsid w:val="00F7706D"/>
    <w:rsid w:val="00FA5345"/>
    <w:rsid w:val="00FC5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 w:type="paragraph" w:styleId="Title">
    <w:name w:val="Title"/>
    <w:basedOn w:val="Normal"/>
    <w:link w:val="TitleChar"/>
    <w:qFormat/>
    <w:rsid w:val="00B540E8"/>
    <w:pPr>
      <w:spacing w:before="360"/>
      <w:jc w:val="center"/>
    </w:pPr>
    <w:rPr>
      <w:rFonts w:ascii="Times New Roman" w:hAnsi="Times New Roman"/>
      <w:b/>
      <w:sz w:val="32"/>
    </w:rPr>
  </w:style>
  <w:style w:type="character" w:customStyle="1" w:styleId="TitleChar">
    <w:name w:val="Title Char"/>
    <w:basedOn w:val="DefaultParagraphFont"/>
    <w:link w:val="Title"/>
    <w:rsid w:val="00B540E8"/>
    <w:rPr>
      <w:rFonts w:ascii="Times New Roman" w:eastAsia="Times New Roman" w:hAnsi="Times New Roman"/>
      <w:b/>
      <w:sz w:val="32"/>
    </w:rPr>
  </w:style>
  <w:style w:type="paragraph" w:styleId="BodyText">
    <w:name w:val="Body Text"/>
    <w:basedOn w:val="Normal"/>
    <w:link w:val="BodyTextChar"/>
    <w:rsid w:val="00B540E8"/>
    <w:pPr>
      <w:spacing w:after="240"/>
    </w:pPr>
    <w:rPr>
      <w:rFonts w:ascii="Times New Roman" w:hAnsi="Times New Roman"/>
      <w:sz w:val="24"/>
    </w:rPr>
  </w:style>
  <w:style w:type="character" w:customStyle="1" w:styleId="BodyTextChar">
    <w:name w:val="Body Text Char"/>
    <w:basedOn w:val="DefaultParagraphFont"/>
    <w:link w:val="BodyText"/>
    <w:rsid w:val="00B540E8"/>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317F6"/>
    <w:pPr>
      <w:tabs>
        <w:tab w:val="center" w:pos="4513"/>
        <w:tab w:val="right" w:pos="9026"/>
      </w:tabs>
    </w:pPr>
  </w:style>
  <w:style w:type="character" w:customStyle="1" w:styleId="HeaderChar">
    <w:name w:val="Header Char"/>
    <w:basedOn w:val="DefaultParagraphFont"/>
    <w:link w:val="Header"/>
    <w:uiPriority w:val="99"/>
    <w:rsid w:val="001317F6"/>
    <w:rPr>
      <w:rFonts w:ascii="Trebuchet MS" w:eastAsia="Times New Roman" w:hAnsi="Trebuchet MS"/>
      <w:sz w:val="22"/>
    </w:rPr>
  </w:style>
  <w:style w:type="paragraph" w:styleId="Footer">
    <w:name w:val="footer"/>
    <w:basedOn w:val="Normal"/>
    <w:link w:val="FooterChar"/>
    <w:uiPriority w:val="99"/>
    <w:unhideWhenUsed/>
    <w:rsid w:val="001317F6"/>
    <w:pPr>
      <w:tabs>
        <w:tab w:val="center" w:pos="4513"/>
        <w:tab w:val="right" w:pos="9026"/>
      </w:tabs>
    </w:pPr>
  </w:style>
  <w:style w:type="character" w:customStyle="1" w:styleId="FooterChar">
    <w:name w:val="Footer Char"/>
    <w:basedOn w:val="DefaultParagraphFont"/>
    <w:link w:val="Footer"/>
    <w:uiPriority w:val="99"/>
    <w:rsid w:val="001317F6"/>
    <w:rPr>
      <w:rFonts w:ascii="Trebuchet MS" w:eastAsia="Times New Roman" w:hAnsi="Trebuchet MS"/>
      <w:sz w:val="22"/>
    </w:rPr>
  </w:style>
  <w:style w:type="paragraph" w:styleId="Title">
    <w:name w:val="Title"/>
    <w:basedOn w:val="Normal"/>
    <w:link w:val="TitleChar"/>
    <w:qFormat/>
    <w:rsid w:val="00B540E8"/>
    <w:pPr>
      <w:spacing w:before="360"/>
      <w:jc w:val="center"/>
    </w:pPr>
    <w:rPr>
      <w:rFonts w:ascii="Times New Roman" w:hAnsi="Times New Roman"/>
      <w:b/>
      <w:sz w:val="32"/>
    </w:rPr>
  </w:style>
  <w:style w:type="character" w:customStyle="1" w:styleId="TitleChar">
    <w:name w:val="Title Char"/>
    <w:basedOn w:val="DefaultParagraphFont"/>
    <w:link w:val="Title"/>
    <w:rsid w:val="00B540E8"/>
    <w:rPr>
      <w:rFonts w:ascii="Times New Roman" w:eastAsia="Times New Roman" w:hAnsi="Times New Roman"/>
      <w:b/>
      <w:sz w:val="32"/>
    </w:rPr>
  </w:style>
  <w:style w:type="paragraph" w:styleId="BodyText">
    <w:name w:val="Body Text"/>
    <w:basedOn w:val="Normal"/>
    <w:link w:val="BodyTextChar"/>
    <w:rsid w:val="00B540E8"/>
    <w:pPr>
      <w:spacing w:after="240"/>
    </w:pPr>
    <w:rPr>
      <w:rFonts w:ascii="Times New Roman" w:hAnsi="Times New Roman"/>
      <w:sz w:val="24"/>
    </w:rPr>
  </w:style>
  <w:style w:type="character" w:customStyle="1" w:styleId="BodyTextChar">
    <w:name w:val="Body Text Char"/>
    <w:basedOn w:val="DefaultParagraphFont"/>
    <w:link w:val="BodyText"/>
    <w:rsid w:val="00B540E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3626">
      <w:bodyDiv w:val="1"/>
      <w:marLeft w:val="0"/>
      <w:marRight w:val="0"/>
      <w:marTop w:val="0"/>
      <w:marBottom w:val="0"/>
      <w:divBdr>
        <w:top w:val="none" w:sz="0" w:space="0" w:color="auto"/>
        <w:left w:val="none" w:sz="0" w:space="0" w:color="auto"/>
        <w:bottom w:val="none" w:sz="0" w:space="0" w:color="auto"/>
        <w:right w:val="none" w:sz="0" w:space="0" w:color="auto"/>
      </w:divBdr>
      <w:divsChild>
        <w:div w:id="526335465">
          <w:marLeft w:val="0"/>
          <w:marRight w:val="0"/>
          <w:marTop w:val="0"/>
          <w:marBottom w:val="0"/>
          <w:divBdr>
            <w:top w:val="none" w:sz="0" w:space="0" w:color="auto"/>
            <w:left w:val="none" w:sz="0" w:space="0" w:color="auto"/>
            <w:bottom w:val="none" w:sz="0" w:space="0" w:color="auto"/>
            <w:right w:val="none" w:sz="0" w:space="0" w:color="auto"/>
          </w:divBdr>
          <w:divsChild>
            <w:div w:id="1725442031">
              <w:marLeft w:val="0"/>
              <w:marRight w:val="0"/>
              <w:marTop w:val="0"/>
              <w:marBottom w:val="0"/>
              <w:divBdr>
                <w:top w:val="none" w:sz="0" w:space="0" w:color="auto"/>
                <w:left w:val="none" w:sz="0" w:space="0" w:color="auto"/>
                <w:bottom w:val="none" w:sz="0" w:space="0" w:color="auto"/>
                <w:right w:val="none" w:sz="0" w:space="0" w:color="auto"/>
              </w:divBdr>
              <w:divsChild>
                <w:div w:id="1260214431">
                  <w:marLeft w:val="0"/>
                  <w:marRight w:val="0"/>
                  <w:marTop w:val="0"/>
                  <w:marBottom w:val="0"/>
                  <w:divBdr>
                    <w:top w:val="none" w:sz="0" w:space="0" w:color="auto"/>
                    <w:left w:val="none" w:sz="0" w:space="0" w:color="auto"/>
                    <w:bottom w:val="none" w:sz="0" w:space="0" w:color="auto"/>
                    <w:right w:val="none" w:sz="0" w:space="0" w:color="auto"/>
                  </w:divBdr>
                  <w:divsChild>
                    <w:div w:id="487018280">
                      <w:marLeft w:val="0"/>
                      <w:marRight w:val="0"/>
                      <w:marTop w:val="0"/>
                      <w:marBottom w:val="0"/>
                      <w:divBdr>
                        <w:top w:val="none" w:sz="0" w:space="0" w:color="auto"/>
                        <w:left w:val="none" w:sz="0" w:space="0" w:color="auto"/>
                        <w:bottom w:val="none" w:sz="0" w:space="0" w:color="auto"/>
                        <w:right w:val="none" w:sz="0" w:space="0" w:color="auto"/>
                      </w:divBdr>
                      <w:divsChild>
                        <w:div w:id="1122531617">
                          <w:marLeft w:val="0"/>
                          <w:marRight w:val="0"/>
                          <w:marTop w:val="0"/>
                          <w:marBottom w:val="0"/>
                          <w:divBdr>
                            <w:top w:val="single" w:sz="6" w:space="0" w:color="828282"/>
                            <w:left w:val="single" w:sz="6" w:space="0" w:color="828282"/>
                            <w:bottom w:val="single" w:sz="6" w:space="0" w:color="828282"/>
                            <w:right w:val="single" w:sz="6" w:space="0" w:color="828282"/>
                          </w:divBdr>
                          <w:divsChild>
                            <w:div w:id="1910339070">
                              <w:marLeft w:val="0"/>
                              <w:marRight w:val="0"/>
                              <w:marTop w:val="0"/>
                              <w:marBottom w:val="0"/>
                              <w:divBdr>
                                <w:top w:val="none" w:sz="0" w:space="0" w:color="auto"/>
                                <w:left w:val="none" w:sz="0" w:space="0" w:color="auto"/>
                                <w:bottom w:val="none" w:sz="0" w:space="0" w:color="auto"/>
                                <w:right w:val="none" w:sz="0" w:space="0" w:color="auto"/>
                              </w:divBdr>
                              <w:divsChild>
                                <w:div w:id="383257727">
                                  <w:marLeft w:val="0"/>
                                  <w:marRight w:val="0"/>
                                  <w:marTop w:val="0"/>
                                  <w:marBottom w:val="0"/>
                                  <w:divBdr>
                                    <w:top w:val="none" w:sz="0" w:space="0" w:color="auto"/>
                                    <w:left w:val="none" w:sz="0" w:space="0" w:color="auto"/>
                                    <w:bottom w:val="none" w:sz="0" w:space="0" w:color="auto"/>
                                    <w:right w:val="none" w:sz="0" w:space="0" w:color="auto"/>
                                  </w:divBdr>
                                  <w:divsChild>
                                    <w:div w:id="824902454">
                                      <w:marLeft w:val="0"/>
                                      <w:marRight w:val="0"/>
                                      <w:marTop w:val="0"/>
                                      <w:marBottom w:val="0"/>
                                      <w:divBdr>
                                        <w:top w:val="none" w:sz="0" w:space="0" w:color="auto"/>
                                        <w:left w:val="none" w:sz="0" w:space="0" w:color="auto"/>
                                        <w:bottom w:val="none" w:sz="0" w:space="0" w:color="auto"/>
                                        <w:right w:val="none" w:sz="0" w:space="0" w:color="auto"/>
                                      </w:divBdr>
                                      <w:divsChild>
                                        <w:div w:id="884409529">
                                          <w:marLeft w:val="0"/>
                                          <w:marRight w:val="0"/>
                                          <w:marTop w:val="0"/>
                                          <w:marBottom w:val="0"/>
                                          <w:divBdr>
                                            <w:top w:val="none" w:sz="0" w:space="0" w:color="auto"/>
                                            <w:left w:val="none" w:sz="0" w:space="0" w:color="auto"/>
                                            <w:bottom w:val="none" w:sz="0" w:space="0" w:color="auto"/>
                                            <w:right w:val="none" w:sz="0" w:space="0" w:color="auto"/>
                                          </w:divBdr>
                                          <w:divsChild>
                                            <w:div w:id="1883902325">
                                              <w:marLeft w:val="0"/>
                                              <w:marRight w:val="0"/>
                                              <w:marTop w:val="0"/>
                                              <w:marBottom w:val="0"/>
                                              <w:divBdr>
                                                <w:top w:val="none" w:sz="0" w:space="0" w:color="auto"/>
                                                <w:left w:val="none" w:sz="0" w:space="0" w:color="auto"/>
                                                <w:bottom w:val="none" w:sz="0" w:space="0" w:color="auto"/>
                                                <w:right w:val="none" w:sz="0" w:space="0" w:color="auto"/>
                                              </w:divBdr>
                                              <w:divsChild>
                                                <w:div w:id="201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638C-87F7-450F-8F35-61A2CDBA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Curtain, Stuart</dc:creator>
  <cp:lastModifiedBy>Antonietta Discala</cp:lastModifiedBy>
  <cp:revision>2</cp:revision>
  <cp:lastPrinted>2012-11-13T01:53:00Z</cp:lastPrinted>
  <dcterms:created xsi:type="dcterms:W3CDTF">2013-12-13T00:12:00Z</dcterms:created>
  <dcterms:modified xsi:type="dcterms:W3CDTF">2013-12-13T00:12:00Z</dcterms:modified>
</cp:coreProperties>
</file>