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BD" w:rsidRPr="00C83929" w:rsidRDefault="00C33128" w:rsidP="00E13436">
      <w:pPr>
        <w:pStyle w:val="Heading"/>
        <w:spacing w:after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929">
        <w:rPr>
          <w:rFonts w:ascii="Times New Roman" w:hAnsi="Times New Roman"/>
          <w:sz w:val="24"/>
          <w:szCs w:val="24"/>
        </w:rPr>
        <w:t>Insurance</w:t>
      </w:r>
      <w:r w:rsidR="002436BD" w:rsidRPr="00C83929">
        <w:rPr>
          <w:rFonts w:ascii="Times New Roman" w:hAnsi="Times New Roman"/>
          <w:sz w:val="24"/>
          <w:szCs w:val="24"/>
        </w:rPr>
        <w:t xml:space="preserve"> (prudential standard) determination</w:t>
      </w:r>
      <w:r w:rsidRPr="00C83929">
        <w:rPr>
          <w:rFonts w:ascii="Times New Roman" w:hAnsi="Times New Roman"/>
          <w:sz w:val="24"/>
          <w:szCs w:val="24"/>
        </w:rPr>
        <w:t>s</w:t>
      </w:r>
      <w:r w:rsidR="002436BD" w:rsidRPr="00C83929">
        <w:rPr>
          <w:rFonts w:ascii="Times New Roman" w:hAnsi="Times New Roman"/>
          <w:sz w:val="24"/>
          <w:szCs w:val="24"/>
        </w:rPr>
        <w:t xml:space="preserve"> No</w:t>
      </w:r>
      <w:r w:rsidRPr="00C83929">
        <w:rPr>
          <w:rFonts w:ascii="Times New Roman" w:hAnsi="Times New Roman"/>
          <w:sz w:val="24"/>
          <w:szCs w:val="24"/>
        </w:rPr>
        <w:t>s</w:t>
      </w:r>
      <w:r w:rsidR="002436BD" w:rsidRPr="00C83929">
        <w:rPr>
          <w:rFonts w:ascii="Times New Roman" w:hAnsi="Times New Roman"/>
          <w:sz w:val="24"/>
          <w:szCs w:val="24"/>
        </w:rPr>
        <w:t xml:space="preserve">. </w:t>
      </w:r>
      <w:r w:rsidRPr="00C83929">
        <w:rPr>
          <w:rFonts w:ascii="Times New Roman" w:hAnsi="Times New Roman"/>
          <w:sz w:val="24"/>
          <w:szCs w:val="24"/>
        </w:rPr>
        <w:t>1</w:t>
      </w:r>
      <w:r w:rsidR="002436BD" w:rsidRPr="00C83929">
        <w:rPr>
          <w:rFonts w:ascii="Times New Roman" w:hAnsi="Times New Roman"/>
          <w:sz w:val="24"/>
          <w:szCs w:val="24"/>
        </w:rPr>
        <w:t xml:space="preserve"> </w:t>
      </w:r>
      <w:r w:rsidRPr="00C83929">
        <w:rPr>
          <w:rFonts w:ascii="Times New Roman" w:hAnsi="Times New Roman"/>
          <w:sz w:val="24"/>
          <w:szCs w:val="24"/>
        </w:rPr>
        <w:t xml:space="preserve">to 2 </w:t>
      </w:r>
      <w:r w:rsidR="002436BD" w:rsidRPr="00C83929">
        <w:rPr>
          <w:rFonts w:ascii="Times New Roman" w:hAnsi="Times New Roman"/>
          <w:sz w:val="24"/>
          <w:szCs w:val="24"/>
        </w:rPr>
        <w:t>of 20</w:t>
      </w:r>
      <w:r w:rsidRPr="00C83929">
        <w:rPr>
          <w:rFonts w:ascii="Times New Roman" w:hAnsi="Times New Roman"/>
          <w:sz w:val="24"/>
          <w:szCs w:val="24"/>
        </w:rPr>
        <w:t>13</w:t>
      </w:r>
    </w:p>
    <w:p w:rsidR="009A5E34" w:rsidRPr="00C83929" w:rsidRDefault="009A5E34" w:rsidP="00DF7DA0">
      <w:pPr>
        <w:pStyle w:val="Heading"/>
        <w:spacing w:after="240"/>
        <w:jc w:val="center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 xml:space="preserve">Insurance </w:t>
      </w:r>
      <w:r w:rsidR="006C7A2F" w:rsidRPr="00C83929">
        <w:rPr>
          <w:rFonts w:ascii="Times New Roman" w:hAnsi="Times New Roman"/>
          <w:sz w:val="24"/>
          <w:szCs w:val="24"/>
        </w:rPr>
        <w:t>(</w:t>
      </w:r>
      <w:r w:rsidRPr="00C83929">
        <w:rPr>
          <w:rFonts w:ascii="Times New Roman" w:hAnsi="Times New Roman"/>
          <w:sz w:val="24"/>
          <w:szCs w:val="24"/>
        </w:rPr>
        <w:t>exemption</w:t>
      </w:r>
      <w:r w:rsidR="006C7A2F" w:rsidRPr="00C83929">
        <w:rPr>
          <w:rFonts w:ascii="Times New Roman" w:hAnsi="Times New Roman"/>
          <w:sz w:val="24"/>
          <w:szCs w:val="24"/>
        </w:rPr>
        <w:t>)</w:t>
      </w:r>
      <w:r w:rsidRPr="00C83929">
        <w:rPr>
          <w:rFonts w:ascii="Times New Roman" w:hAnsi="Times New Roman"/>
          <w:sz w:val="24"/>
          <w:szCs w:val="24"/>
        </w:rPr>
        <w:t xml:space="preserve"> </w:t>
      </w:r>
      <w:r w:rsidR="00451575" w:rsidRPr="00C83929">
        <w:rPr>
          <w:rFonts w:ascii="Times New Roman" w:hAnsi="Times New Roman"/>
          <w:sz w:val="24"/>
          <w:szCs w:val="24"/>
        </w:rPr>
        <w:t xml:space="preserve">determination </w:t>
      </w:r>
      <w:r w:rsidRPr="00C83929">
        <w:rPr>
          <w:rFonts w:ascii="Times New Roman" w:hAnsi="Times New Roman"/>
          <w:sz w:val="24"/>
          <w:szCs w:val="24"/>
        </w:rPr>
        <w:t>No. 2 of 2013</w:t>
      </w:r>
    </w:p>
    <w:p w:rsidR="002436BD" w:rsidRPr="00C83929" w:rsidRDefault="002436BD" w:rsidP="00DF7DA0">
      <w:pPr>
        <w:pStyle w:val="Heading"/>
        <w:tabs>
          <w:tab w:val="left" w:pos="360"/>
        </w:tabs>
        <w:spacing w:after="240"/>
        <w:jc w:val="center"/>
        <w:rPr>
          <w:rFonts w:ascii="Times New Roman" w:hAnsi="Times New Roman"/>
          <w:sz w:val="24"/>
          <w:szCs w:val="24"/>
          <w:u w:val="single"/>
        </w:rPr>
      </w:pPr>
      <w:bookmarkStart w:id="1" w:name="bkInstrumentSubTitle"/>
      <w:bookmarkEnd w:id="1"/>
      <w:r w:rsidRPr="00C83929">
        <w:rPr>
          <w:rFonts w:ascii="Times New Roman" w:hAnsi="Times New Roman"/>
          <w:sz w:val="24"/>
          <w:szCs w:val="24"/>
          <w:u w:val="single"/>
        </w:rPr>
        <w:t>EXPLANATORY STATEMENT</w:t>
      </w:r>
    </w:p>
    <w:p w:rsidR="002436BD" w:rsidRPr="00C83929" w:rsidRDefault="002436BD" w:rsidP="00DF7DA0">
      <w:pPr>
        <w:pStyle w:val="Heading"/>
        <w:spacing w:after="240"/>
        <w:jc w:val="center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Prepared by the Australian Prudential Regulation Authority (APRA)</w:t>
      </w:r>
    </w:p>
    <w:p w:rsidR="002436BD" w:rsidRPr="00C83929" w:rsidRDefault="00CE6785" w:rsidP="00132B51">
      <w:pPr>
        <w:pStyle w:val="Heading"/>
        <w:tabs>
          <w:tab w:val="left" w:pos="360"/>
        </w:tabs>
        <w:spacing w:after="1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83929">
        <w:rPr>
          <w:rFonts w:ascii="Times New Roman" w:hAnsi="Times New Roman"/>
          <w:b w:val="0"/>
          <w:i/>
          <w:sz w:val="24"/>
          <w:szCs w:val="24"/>
        </w:rPr>
        <w:t>Insurance Act 1973</w:t>
      </w:r>
      <w:r w:rsidR="002436BD" w:rsidRPr="00C83929">
        <w:rPr>
          <w:rFonts w:ascii="Times New Roman" w:hAnsi="Times New Roman"/>
          <w:b w:val="0"/>
          <w:sz w:val="24"/>
          <w:szCs w:val="24"/>
        </w:rPr>
        <w:t xml:space="preserve">, </w:t>
      </w:r>
      <w:r w:rsidR="002436BD" w:rsidRPr="00C83929">
        <w:rPr>
          <w:rFonts w:ascii="Times New Roman" w:hAnsi="Times New Roman"/>
          <w:b w:val="0"/>
          <w:color w:val="000000"/>
          <w:sz w:val="24"/>
          <w:szCs w:val="24"/>
        </w:rPr>
        <w:t xml:space="preserve">section </w:t>
      </w:r>
      <w:r w:rsidRPr="00C83929">
        <w:rPr>
          <w:rFonts w:ascii="Times New Roman" w:hAnsi="Times New Roman"/>
          <w:b w:val="0"/>
          <w:color w:val="000000"/>
          <w:sz w:val="24"/>
          <w:szCs w:val="24"/>
        </w:rPr>
        <w:t>32</w:t>
      </w:r>
    </w:p>
    <w:p w:rsidR="00132B51" w:rsidRPr="00C83929" w:rsidRDefault="00132B51" w:rsidP="00DF7DA0">
      <w:pPr>
        <w:pStyle w:val="Heading"/>
        <w:tabs>
          <w:tab w:val="left" w:pos="360"/>
        </w:tabs>
        <w:spacing w:after="24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C83929">
        <w:rPr>
          <w:rFonts w:ascii="Times New Roman" w:hAnsi="Times New Roman"/>
          <w:b w:val="0"/>
          <w:i/>
          <w:color w:val="000000"/>
          <w:sz w:val="24"/>
          <w:szCs w:val="24"/>
        </w:rPr>
        <w:t>Insurance Act 1973</w:t>
      </w:r>
      <w:r w:rsidRPr="00C83929">
        <w:rPr>
          <w:rFonts w:ascii="Times New Roman" w:hAnsi="Times New Roman"/>
          <w:b w:val="0"/>
          <w:color w:val="000000"/>
          <w:sz w:val="24"/>
          <w:szCs w:val="24"/>
        </w:rPr>
        <w:t>, section 7</w:t>
      </w:r>
    </w:p>
    <w:p w:rsidR="002436BD" w:rsidRPr="00C83929" w:rsidRDefault="002436BD" w:rsidP="00DF7DA0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bookmarkStart w:id="2" w:name="bkAct"/>
      <w:bookmarkStart w:id="3" w:name="bkExplanatory"/>
      <w:bookmarkEnd w:id="2"/>
      <w:bookmarkEnd w:id="3"/>
      <w:r w:rsidRPr="00C83929">
        <w:rPr>
          <w:rFonts w:ascii="Times New Roman" w:hAnsi="Times New Roman"/>
          <w:sz w:val="24"/>
          <w:szCs w:val="24"/>
        </w:rPr>
        <w:t xml:space="preserve">Under subsection </w:t>
      </w:r>
      <w:r w:rsidR="00061C91" w:rsidRPr="00C83929">
        <w:rPr>
          <w:rFonts w:ascii="Times New Roman" w:hAnsi="Times New Roman"/>
          <w:sz w:val="24"/>
          <w:szCs w:val="24"/>
        </w:rPr>
        <w:t>32</w:t>
      </w:r>
      <w:r w:rsidRPr="00C83929">
        <w:rPr>
          <w:rFonts w:ascii="Times New Roman" w:hAnsi="Times New Roman"/>
          <w:sz w:val="24"/>
          <w:szCs w:val="24"/>
        </w:rPr>
        <w:t xml:space="preserve">(1) of the </w:t>
      </w:r>
      <w:r w:rsidR="00061C91" w:rsidRPr="00C83929">
        <w:rPr>
          <w:rFonts w:ascii="Times New Roman" w:hAnsi="Times New Roman"/>
          <w:i/>
          <w:sz w:val="24"/>
          <w:szCs w:val="24"/>
        </w:rPr>
        <w:t>Insurance Act 1973</w:t>
      </w:r>
      <w:r w:rsidRPr="00C83929">
        <w:rPr>
          <w:rFonts w:ascii="Times New Roman" w:hAnsi="Times New Roman"/>
          <w:sz w:val="24"/>
          <w:szCs w:val="24"/>
        </w:rPr>
        <w:t xml:space="preserve"> (the Act), APRA has the power to determine standards (prudential standards), in writing, in relation to prudential matters to be complied with by </w:t>
      </w:r>
      <w:r w:rsidR="00CE6785" w:rsidRPr="00C83929">
        <w:rPr>
          <w:rFonts w:ascii="Times New Roman" w:hAnsi="Times New Roman"/>
          <w:sz w:val="24"/>
          <w:szCs w:val="24"/>
        </w:rPr>
        <w:t>general insurers</w:t>
      </w:r>
      <w:r w:rsidRPr="00C83929">
        <w:rPr>
          <w:rFonts w:ascii="Times New Roman" w:hAnsi="Times New Roman"/>
          <w:sz w:val="24"/>
          <w:szCs w:val="24"/>
        </w:rPr>
        <w:t xml:space="preserve"> and authorised non-operating holding companies.</w:t>
      </w:r>
      <w:r w:rsidR="00F30C81" w:rsidRPr="00C83929">
        <w:rPr>
          <w:rFonts w:ascii="Times New Roman" w:hAnsi="Times New Roman"/>
          <w:sz w:val="24"/>
          <w:szCs w:val="24"/>
        </w:rPr>
        <w:t xml:space="preserve"> Under subsection </w:t>
      </w:r>
      <w:r w:rsidR="00CE6785" w:rsidRPr="00C83929">
        <w:rPr>
          <w:rFonts w:ascii="Times New Roman" w:hAnsi="Times New Roman"/>
          <w:sz w:val="24"/>
          <w:szCs w:val="24"/>
        </w:rPr>
        <w:t>32</w:t>
      </w:r>
      <w:r w:rsidR="00F30C81" w:rsidRPr="00C83929">
        <w:rPr>
          <w:rFonts w:ascii="Times New Roman" w:hAnsi="Times New Roman"/>
          <w:sz w:val="24"/>
          <w:szCs w:val="24"/>
        </w:rPr>
        <w:t>(</w:t>
      </w:r>
      <w:r w:rsidR="00CE6785" w:rsidRPr="00C83929">
        <w:rPr>
          <w:rFonts w:ascii="Times New Roman" w:hAnsi="Times New Roman"/>
          <w:sz w:val="24"/>
          <w:szCs w:val="24"/>
        </w:rPr>
        <w:t>4</w:t>
      </w:r>
      <w:r w:rsidR="00F30C81" w:rsidRPr="00C83929">
        <w:rPr>
          <w:rFonts w:ascii="Times New Roman" w:hAnsi="Times New Roman"/>
          <w:sz w:val="24"/>
          <w:szCs w:val="24"/>
        </w:rPr>
        <w:t>) of the Act, APRA may, in writing, vary or revoke a prudential standard.</w:t>
      </w:r>
    </w:p>
    <w:p w:rsidR="00132B51" w:rsidRPr="00C83929" w:rsidRDefault="00132B51" w:rsidP="00DF7DA0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Under subsection 7(1) of the Act, APRA has the power to determine that certain provisions of the Act do not apply to a person while the determination is in force. Paragraph 7(2)(a)</w:t>
      </w:r>
      <w:r w:rsidR="002C5178" w:rsidRPr="00C83929">
        <w:rPr>
          <w:rFonts w:ascii="Times New Roman" w:hAnsi="Times New Roman"/>
          <w:sz w:val="24"/>
          <w:szCs w:val="24"/>
        </w:rPr>
        <w:t xml:space="preserve"> of the Act</w:t>
      </w:r>
      <w:r w:rsidRPr="00C83929">
        <w:rPr>
          <w:rFonts w:ascii="Times New Roman" w:hAnsi="Times New Roman"/>
          <w:sz w:val="24"/>
          <w:szCs w:val="24"/>
        </w:rPr>
        <w:t xml:space="preserve"> provides that a determination may be expressed to apply to a particular person or a class of persons.</w:t>
      </w:r>
    </w:p>
    <w:p w:rsidR="00246723" w:rsidRPr="00C83929" w:rsidRDefault="00246723" w:rsidP="00DF7DA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 xml:space="preserve">On </w:t>
      </w:r>
      <w:r w:rsidR="007A7354" w:rsidRPr="00C83929">
        <w:rPr>
          <w:rFonts w:ascii="Times New Roman" w:hAnsi="Times New Roman"/>
          <w:sz w:val="24"/>
          <w:szCs w:val="24"/>
        </w:rPr>
        <w:t>13 December 2013</w:t>
      </w:r>
      <w:r w:rsidRPr="00C83929">
        <w:rPr>
          <w:rFonts w:ascii="Times New Roman" w:hAnsi="Times New Roman"/>
          <w:sz w:val="24"/>
          <w:szCs w:val="24"/>
        </w:rPr>
        <w:t>, APRA made the following determinations (the instruments):</w:t>
      </w:r>
    </w:p>
    <w:p w:rsidR="00AC7A56" w:rsidRPr="00C83929" w:rsidRDefault="00BC5684" w:rsidP="00DF7DA0">
      <w:pPr>
        <w:widowControl w:val="0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Insurance</w:t>
      </w:r>
      <w:r w:rsidR="00AC7A56" w:rsidRPr="00C83929">
        <w:rPr>
          <w:rFonts w:ascii="Times New Roman" w:hAnsi="Times New Roman"/>
          <w:sz w:val="24"/>
          <w:szCs w:val="24"/>
        </w:rPr>
        <w:t xml:space="preserve"> (prudential stand</w:t>
      </w:r>
      <w:r w:rsidRPr="00C83929">
        <w:rPr>
          <w:rFonts w:ascii="Times New Roman" w:hAnsi="Times New Roman"/>
          <w:sz w:val="24"/>
          <w:szCs w:val="24"/>
        </w:rPr>
        <w:t xml:space="preserve">ard) determination No. </w:t>
      </w:r>
      <w:r w:rsidR="00D52459" w:rsidRPr="00C83929">
        <w:rPr>
          <w:rFonts w:ascii="Times New Roman" w:hAnsi="Times New Roman"/>
          <w:sz w:val="24"/>
          <w:szCs w:val="24"/>
        </w:rPr>
        <w:t>1</w:t>
      </w:r>
      <w:r w:rsidRPr="00C83929">
        <w:rPr>
          <w:rFonts w:ascii="Times New Roman" w:hAnsi="Times New Roman"/>
          <w:sz w:val="24"/>
          <w:szCs w:val="24"/>
        </w:rPr>
        <w:t xml:space="preserve"> of 2013</w:t>
      </w:r>
      <w:r w:rsidR="00AC7A56" w:rsidRPr="00C83929">
        <w:rPr>
          <w:rFonts w:ascii="Times New Roman" w:hAnsi="Times New Roman"/>
          <w:sz w:val="24"/>
          <w:szCs w:val="24"/>
        </w:rPr>
        <w:t xml:space="preserve"> (the instrument) which </w:t>
      </w:r>
      <w:r w:rsidR="009927BF" w:rsidRPr="00C83929">
        <w:rPr>
          <w:rFonts w:ascii="Times New Roman" w:hAnsi="Times New Roman"/>
          <w:sz w:val="24"/>
          <w:szCs w:val="24"/>
        </w:rPr>
        <w:t xml:space="preserve">revokes </w:t>
      </w:r>
      <w:r w:rsidR="009927BF" w:rsidRPr="00C83929">
        <w:rPr>
          <w:rFonts w:ascii="Times New Roman" w:hAnsi="Times New Roman"/>
          <w:i/>
          <w:sz w:val="24"/>
          <w:szCs w:val="24"/>
        </w:rPr>
        <w:t>Prudential</w:t>
      </w:r>
      <w:r w:rsidRPr="00C83929">
        <w:rPr>
          <w:rFonts w:ascii="Times New Roman" w:hAnsi="Times New Roman"/>
          <w:i/>
          <w:sz w:val="24"/>
          <w:szCs w:val="24"/>
        </w:rPr>
        <w:t xml:space="preserve"> Standard GPS 230</w:t>
      </w:r>
      <w:r w:rsidR="009927BF" w:rsidRPr="00C83929">
        <w:rPr>
          <w:rFonts w:ascii="Times New Roman" w:hAnsi="Times New Roman"/>
          <w:i/>
          <w:sz w:val="24"/>
          <w:szCs w:val="24"/>
        </w:rPr>
        <w:t xml:space="preserve"> </w:t>
      </w:r>
      <w:r w:rsidRPr="00C83929">
        <w:rPr>
          <w:rFonts w:ascii="Times New Roman" w:hAnsi="Times New Roman"/>
          <w:i/>
          <w:sz w:val="24"/>
          <w:szCs w:val="24"/>
        </w:rPr>
        <w:t>Reinsurance Management</w:t>
      </w:r>
      <w:r w:rsidR="009927BF" w:rsidRPr="00C83929">
        <w:rPr>
          <w:rFonts w:ascii="Times New Roman" w:hAnsi="Times New Roman"/>
          <w:sz w:val="24"/>
          <w:szCs w:val="24"/>
        </w:rPr>
        <w:t xml:space="preserve"> made under </w:t>
      </w:r>
      <w:r w:rsidRPr="00C83929">
        <w:rPr>
          <w:rFonts w:ascii="Times New Roman" w:hAnsi="Times New Roman"/>
          <w:sz w:val="24"/>
          <w:szCs w:val="24"/>
        </w:rPr>
        <w:t>Insurance</w:t>
      </w:r>
      <w:r w:rsidR="009927BF" w:rsidRPr="00C83929">
        <w:rPr>
          <w:rFonts w:ascii="Times New Roman" w:hAnsi="Times New Roman"/>
          <w:sz w:val="24"/>
          <w:szCs w:val="24"/>
        </w:rPr>
        <w:t xml:space="preserve"> (prudential standard) determination No. </w:t>
      </w:r>
      <w:r w:rsidR="00D52459" w:rsidRPr="00C83929">
        <w:rPr>
          <w:rFonts w:ascii="Times New Roman" w:hAnsi="Times New Roman"/>
          <w:sz w:val="24"/>
          <w:szCs w:val="24"/>
        </w:rPr>
        <w:t>11</w:t>
      </w:r>
      <w:r w:rsidR="009927BF" w:rsidRPr="00C83929">
        <w:rPr>
          <w:rFonts w:ascii="Times New Roman" w:hAnsi="Times New Roman"/>
          <w:sz w:val="24"/>
          <w:szCs w:val="24"/>
        </w:rPr>
        <w:t xml:space="preserve"> of </w:t>
      </w:r>
      <w:r w:rsidRPr="00C83929">
        <w:rPr>
          <w:rFonts w:ascii="Times New Roman" w:hAnsi="Times New Roman"/>
          <w:sz w:val="24"/>
          <w:szCs w:val="24"/>
        </w:rPr>
        <w:t>2012</w:t>
      </w:r>
      <w:r w:rsidR="009927BF" w:rsidRPr="00C83929">
        <w:rPr>
          <w:rFonts w:ascii="Times New Roman" w:hAnsi="Times New Roman"/>
          <w:sz w:val="24"/>
          <w:szCs w:val="24"/>
        </w:rPr>
        <w:t xml:space="preserve"> and </w:t>
      </w:r>
      <w:r w:rsidR="00AC7A56" w:rsidRPr="00C83929">
        <w:rPr>
          <w:rFonts w:ascii="Times New Roman" w:hAnsi="Times New Roman"/>
          <w:sz w:val="24"/>
          <w:szCs w:val="24"/>
        </w:rPr>
        <w:t xml:space="preserve">determines </w:t>
      </w:r>
      <w:r w:rsidR="00E758B5" w:rsidRPr="00C83929">
        <w:rPr>
          <w:rFonts w:ascii="Times New Roman" w:hAnsi="Times New Roman"/>
          <w:sz w:val="24"/>
          <w:szCs w:val="24"/>
        </w:rPr>
        <w:t xml:space="preserve">a new </w:t>
      </w:r>
      <w:r w:rsidR="00AC7A56" w:rsidRPr="00C83929">
        <w:rPr>
          <w:rFonts w:ascii="Times New Roman" w:hAnsi="Times New Roman"/>
          <w:i/>
          <w:sz w:val="24"/>
          <w:szCs w:val="24"/>
        </w:rPr>
        <w:t>Prudential Standard</w:t>
      </w:r>
      <w:r w:rsidR="00AC7A56" w:rsidRPr="00C83929">
        <w:rPr>
          <w:rFonts w:ascii="Times New Roman" w:hAnsi="Times New Roman"/>
          <w:sz w:val="24"/>
          <w:szCs w:val="24"/>
        </w:rPr>
        <w:t xml:space="preserve"> </w:t>
      </w:r>
      <w:r w:rsidRPr="00C83929">
        <w:rPr>
          <w:rFonts w:ascii="Times New Roman" w:hAnsi="Times New Roman"/>
          <w:i/>
          <w:sz w:val="24"/>
          <w:szCs w:val="24"/>
        </w:rPr>
        <w:t>G</w:t>
      </w:r>
      <w:r w:rsidR="00E52DFE" w:rsidRPr="00C83929">
        <w:rPr>
          <w:rFonts w:ascii="Times New Roman" w:hAnsi="Times New Roman"/>
          <w:i/>
          <w:sz w:val="24"/>
          <w:szCs w:val="24"/>
        </w:rPr>
        <w:t xml:space="preserve">PS </w:t>
      </w:r>
      <w:r w:rsidRPr="00C83929">
        <w:rPr>
          <w:rFonts w:ascii="Times New Roman" w:hAnsi="Times New Roman"/>
          <w:i/>
          <w:sz w:val="24"/>
          <w:szCs w:val="24"/>
        </w:rPr>
        <w:t>230</w:t>
      </w:r>
      <w:r w:rsidR="00E52DFE" w:rsidRPr="00C83929">
        <w:rPr>
          <w:rFonts w:ascii="Times New Roman" w:hAnsi="Times New Roman"/>
          <w:i/>
          <w:sz w:val="24"/>
          <w:szCs w:val="24"/>
        </w:rPr>
        <w:t xml:space="preserve"> </w:t>
      </w:r>
      <w:r w:rsidRPr="00C83929">
        <w:rPr>
          <w:rFonts w:ascii="Times New Roman" w:hAnsi="Times New Roman"/>
          <w:i/>
          <w:sz w:val="24"/>
          <w:szCs w:val="24"/>
        </w:rPr>
        <w:t>Reinsurance Management</w:t>
      </w:r>
      <w:r w:rsidR="00E52DFE" w:rsidRPr="00C83929">
        <w:rPr>
          <w:rFonts w:ascii="Times New Roman" w:hAnsi="Times New Roman"/>
          <w:i/>
          <w:sz w:val="24"/>
          <w:szCs w:val="24"/>
        </w:rPr>
        <w:t xml:space="preserve"> </w:t>
      </w:r>
      <w:r w:rsidRPr="00C83929">
        <w:rPr>
          <w:rFonts w:ascii="Times New Roman" w:hAnsi="Times New Roman"/>
          <w:sz w:val="24"/>
          <w:szCs w:val="24"/>
        </w:rPr>
        <w:t>(GPS 23</w:t>
      </w:r>
      <w:r w:rsidR="00E52DFE" w:rsidRPr="00C83929">
        <w:rPr>
          <w:rFonts w:ascii="Times New Roman" w:hAnsi="Times New Roman"/>
          <w:sz w:val="24"/>
          <w:szCs w:val="24"/>
        </w:rPr>
        <w:t>0)</w:t>
      </w:r>
      <w:r w:rsidR="00AC7A56" w:rsidRPr="00C83929">
        <w:rPr>
          <w:rFonts w:ascii="Times New Roman" w:hAnsi="Times New Roman"/>
          <w:sz w:val="24"/>
          <w:szCs w:val="24"/>
        </w:rPr>
        <w:t>;</w:t>
      </w:r>
      <w:r w:rsidR="009D173C" w:rsidRPr="00C83929">
        <w:rPr>
          <w:rFonts w:ascii="Times New Roman" w:hAnsi="Times New Roman"/>
          <w:sz w:val="24"/>
          <w:szCs w:val="24"/>
        </w:rPr>
        <w:t xml:space="preserve"> </w:t>
      </w:r>
    </w:p>
    <w:p w:rsidR="00AC7A56" w:rsidRPr="00C83929" w:rsidRDefault="00BC5684" w:rsidP="00DF7DA0">
      <w:pPr>
        <w:widowControl w:val="0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Insurance</w:t>
      </w:r>
      <w:r w:rsidR="00AC7A56" w:rsidRPr="00C83929">
        <w:rPr>
          <w:rFonts w:ascii="Times New Roman" w:hAnsi="Times New Roman"/>
          <w:sz w:val="24"/>
          <w:szCs w:val="24"/>
        </w:rPr>
        <w:t xml:space="preserve"> (prudential standard) determination No. </w:t>
      </w:r>
      <w:r w:rsidR="00D52459" w:rsidRPr="00C83929">
        <w:rPr>
          <w:rFonts w:ascii="Times New Roman" w:hAnsi="Times New Roman"/>
          <w:sz w:val="24"/>
          <w:szCs w:val="24"/>
        </w:rPr>
        <w:t>2</w:t>
      </w:r>
      <w:r w:rsidR="00AC7A56" w:rsidRPr="00C83929">
        <w:rPr>
          <w:rFonts w:ascii="Times New Roman" w:hAnsi="Times New Roman"/>
          <w:sz w:val="24"/>
          <w:szCs w:val="24"/>
        </w:rPr>
        <w:t xml:space="preserve"> of 20</w:t>
      </w:r>
      <w:r w:rsidRPr="00C83929">
        <w:rPr>
          <w:rFonts w:ascii="Times New Roman" w:hAnsi="Times New Roman"/>
          <w:sz w:val="24"/>
          <w:szCs w:val="24"/>
        </w:rPr>
        <w:t>13</w:t>
      </w:r>
      <w:r w:rsidR="00AC7A56" w:rsidRPr="00C83929">
        <w:rPr>
          <w:rFonts w:ascii="Times New Roman" w:hAnsi="Times New Roman"/>
          <w:sz w:val="24"/>
          <w:szCs w:val="24"/>
        </w:rPr>
        <w:t xml:space="preserve"> (the instrument) which </w:t>
      </w:r>
      <w:r w:rsidR="009927BF" w:rsidRPr="00C83929">
        <w:rPr>
          <w:rFonts w:ascii="Times New Roman" w:hAnsi="Times New Roman"/>
          <w:sz w:val="24"/>
          <w:szCs w:val="24"/>
        </w:rPr>
        <w:t xml:space="preserve">revokes </w:t>
      </w:r>
      <w:r w:rsidR="009927BF" w:rsidRPr="00C83929">
        <w:rPr>
          <w:rFonts w:ascii="Times New Roman" w:hAnsi="Times New Roman"/>
          <w:i/>
          <w:sz w:val="24"/>
          <w:szCs w:val="24"/>
        </w:rPr>
        <w:t xml:space="preserve">Prudential Standard </w:t>
      </w:r>
      <w:r w:rsidRPr="00C83929">
        <w:rPr>
          <w:rFonts w:ascii="Times New Roman" w:hAnsi="Times New Roman"/>
          <w:i/>
          <w:sz w:val="24"/>
          <w:szCs w:val="24"/>
        </w:rPr>
        <w:t>G</w:t>
      </w:r>
      <w:r w:rsidR="009927BF" w:rsidRPr="00C83929">
        <w:rPr>
          <w:rFonts w:ascii="Times New Roman" w:hAnsi="Times New Roman"/>
          <w:i/>
          <w:sz w:val="24"/>
          <w:szCs w:val="24"/>
        </w:rPr>
        <w:t xml:space="preserve">PS </w:t>
      </w:r>
      <w:r w:rsidRPr="00C83929">
        <w:rPr>
          <w:rFonts w:ascii="Times New Roman" w:hAnsi="Times New Roman"/>
          <w:i/>
          <w:sz w:val="24"/>
          <w:szCs w:val="24"/>
        </w:rPr>
        <w:t>31</w:t>
      </w:r>
      <w:r w:rsidR="009927BF" w:rsidRPr="00C83929">
        <w:rPr>
          <w:rFonts w:ascii="Times New Roman" w:hAnsi="Times New Roman"/>
          <w:i/>
          <w:sz w:val="24"/>
          <w:szCs w:val="24"/>
        </w:rPr>
        <w:t xml:space="preserve">0 </w:t>
      </w:r>
      <w:r w:rsidRPr="00C83929">
        <w:rPr>
          <w:rFonts w:ascii="Times New Roman" w:hAnsi="Times New Roman"/>
          <w:i/>
          <w:sz w:val="24"/>
          <w:szCs w:val="24"/>
        </w:rPr>
        <w:t>Audit and Related Matters</w:t>
      </w:r>
      <w:r w:rsidR="009927BF" w:rsidRPr="00C83929">
        <w:rPr>
          <w:rFonts w:ascii="Times New Roman" w:hAnsi="Times New Roman"/>
          <w:sz w:val="24"/>
          <w:szCs w:val="24"/>
        </w:rPr>
        <w:t xml:space="preserve"> made under </w:t>
      </w:r>
      <w:r w:rsidRPr="00C83929">
        <w:rPr>
          <w:rFonts w:ascii="Times New Roman" w:hAnsi="Times New Roman"/>
          <w:sz w:val="24"/>
          <w:szCs w:val="24"/>
        </w:rPr>
        <w:t>Insurance</w:t>
      </w:r>
      <w:r w:rsidR="009927BF" w:rsidRPr="00C83929">
        <w:rPr>
          <w:rFonts w:ascii="Times New Roman" w:hAnsi="Times New Roman"/>
          <w:sz w:val="24"/>
          <w:szCs w:val="24"/>
        </w:rPr>
        <w:t xml:space="preserve"> (prudential standard) determination No. </w:t>
      </w:r>
      <w:r w:rsidR="00D52459" w:rsidRPr="00C83929">
        <w:rPr>
          <w:rFonts w:ascii="Times New Roman" w:hAnsi="Times New Roman"/>
          <w:sz w:val="24"/>
          <w:szCs w:val="24"/>
        </w:rPr>
        <w:t>12</w:t>
      </w:r>
      <w:r w:rsidR="009927BF" w:rsidRPr="00C83929">
        <w:rPr>
          <w:rFonts w:ascii="Times New Roman" w:hAnsi="Times New Roman"/>
          <w:sz w:val="24"/>
          <w:szCs w:val="24"/>
        </w:rPr>
        <w:t xml:space="preserve"> of 20</w:t>
      </w:r>
      <w:r w:rsidRPr="00C83929">
        <w:rPr>
          <w:rFonts w:ascii="Times New Roman" w:hAnsi="Times New Roman"/>
          <w:sz w:val="24"/>
          <w:szCs w:val="24"/>
        </w:rPr>
        <w:t>12</w:t>
      </w:r>
      <w:r w:rsidR="009927BF" w:rsidRPr="00C83929">
        <w:rPr>
          <w:rFonts w:ascii="Times New Roman" w:hAnsi="Times New Roman"/>
          <w:sz w:val="24"/>
          <w:szCs w:val="24"/>
        </w:rPr>
        <w:t xml:space="preserve"> and </w:t>
      </w:r>
      <w:r w:rsidR="00AC7A56" w:rsidRPr="00C83929">
        <w:rPr>
          <w:rFonts w:ascii="Times New Roman" w:hAnsi="Times New Roman"/>
          <w:sz w:val="24"/>
          <w:szCs w:val="24"/>
        </w:rPr>
        <w:t xml:space="preserve">determines </w:t>
      </w:r>
      <w:r w:rsidR="00E758B5" w:rsidRPr="00C83929">
        <w:rPr>
          <w:rFonts w:ascii="Times New Roman" w:hAnsi="Times New Roman"/>
          <w:sz w:val="24"/>
          <w:szCs w:val="24"/>
        </w:rPr>
        <w:t xml:space="preserve">a new </w:t>
      </w:r>
      <w:r w:rsidR="00AC7A56" w:rsidRPr="00C83929">
        <w:rPr>
          <w:rFonts w:ascii="Times New Roman" w:hAnsi="Times New Roman"/>
          <w:i/>
          <w:sz w:val="24"/>
          <w:szCs w:val="24"/>
        </w:rPr>
        <w:t>Prudential Standard</w:t>
      </w:r>
      <w:r w:rsidR="00E52DFE" w:rsidRPr="00C83929">
        <w:rPr>
          <w:rFonts w:ascii="Times New Roman" w:hAnsi="Times New Roman"/>
          <w:i/>
          <w:sz w:val="24"/>
          <w:szCs w:val="24"/>
        </w:rPr>
        <w:t xml:space="preserve"> </w:t>
      </w:r>
      <w:r w:rsidRPr="00C83929">
        <w:rPr>
          <w:rFonts w:ascii="Times New Roman" w:hAnsi="Times New Roman"/>
          <w:i/>
          <w:sz w:val="24"/>
          <w:szCs w:val="24"/>
        </w:rPr>
        <w:t>G</w:t>
      </w:r>
      <w:r w:rsidR="00E52DFE" w:rsidRPr="00C83929">
        <w:rPr>
          <w:rFonts w:ascii="Times New Roman" w:hAnsi="Times New Roman"/>
          <w:i/>
          <w:sz w:val="24"/>
          <w:szCs w:val="24"/>
        </w:rPr>
        <w:t xml:space="preserve">PS </w:t>
      </w:r>
      <w:r w:rsidRPr="00C83929">
        <w:rPr>
          <w:rFonts w:ascii="Times New Roman" w:hAnsi="Times New Roman"/>
          <w:i/>
          <w:sz w:val="24"/>
          <w:szCs w:val="24"/>
        </w:rPr>
        <w:t>310</w:t>
      </w:r>
      <w:r w:rsidR="007049CF" w:rsidRPr="00C83929">
        <w:rPr>
          <w:rFonts w:ascii="Times New Roman" w:hAnsi="Times New Roman"/>
          <w:i/>
          <w:sz w:val="24"/>
          <w:szCs w:val="24"/>
        </w:rPr>
        <w:t xml:space="preserve"> </w:t>
      </w:r>
      <w:r w:rsidRPr="00C83929">
        <w:rPr>
          <w:rFonts w:ascii="Times New Roman" w:hAnsi="Times New Roman"/>
          <w:i/>
          <w:sz w:val="24"/>
          <w:szCs w:val="24"/>
        </w:rPr>
        <w:t>Audit and Related Matters</w:t>
      </w:r>
      <w:r w:rsidR="000401FC" w:rsidRPr="00C83929">
        <w:rPr>
          <w:rFonts w:ascii="Times New Roman" w:hAnsi="Times New Roman"/>
          <w:i/>
          <w:sz w:val="24"/>
          <w:szCs w:val="24"/>
        </w:rPr>
        <w:t xml:space="preserve"> </w:t>
      </w:r>
      <w:r w:rsidR="000401FC" w:rsidRPr="00C83929">
        <w:rPr>
          <w:rFonts w:ascii="Times New Roman" w:hAnsi="Times New Roman"/>
          <w:sz w:val="24"/>
          <w:szCs w:val="24"/>
        </w:rPr>
        <w:t>(</w:t>
      </w:r>
      <w:r w:rsidRPr="00C83929">
        <w:rPr>
          <w:rFonts w:ascii="Times New Roman" w:hAnsi="Times New Roman"/>
          <w:sz w:val="24"/>
          <w:szCs w:val="24"/>
        </w:rPr>
        <w:t>G</w:t>
      </w:r>
      <w:r w:rsidR="000401FC" w:rsidRPr="00C83929">
        <w:rPr>
          <w:rFonts w:ascii="Times New Roman" w:hAnsi="Times New Roman"/>
          <w:sz w:val="24"/>
          <w:szCs w:val="24"/>
        </w:rPr>
        <w:t xml:space="preserve">PS </w:t>
      </w:r>
      <w:r w:rsidRPr="00C83929">
        <w:rPr>
          <w:rFonts w:ascii="Times New Roman" w:hAnsi="Times New Roman"/>
          <w:sz w:val="24"/>
          <w:szCs w:val="24"/>
        </w:rPr>
        <w:t>310</w:t>
      </w:r>
      <w:r w:rsidR="000401FC" w:rsidRPr="00C83929">
        <w:rPr>
          <w:rFonts w:ascii="Times New Roman" w:hAnsi="Times New Roman"/>
          <w:sz w:val="24"/>
          <w:szCs w:val="24"/>
        </w:rPr>
        <w:t>)</w:t>
      </w:r>
      <w:r w:rsidR="00E27DAC" w:rsidRPr="00C83929">
        <w:rPr>
          <w:rFonts w:ascii="Times New Roman" w:hAnsi="Times New Roman"/>
          <w:sz w:val="24"/>
          <w:szCs w:val="24"/>
        </w:rPr>
        <w:t>; and</w:t>
      </w:r>
    </w:p>
    <w:p w:rsidR="009D173C" w:rsidRPr="00C83929" w:rsidRDefault="009D173C" w:rsidP="00DF7DA0">
      <w:pPr>
        <w:widowControl w:val="0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 xml:space="preserve">Insurance (exemption) determination No. 2 of 2013 (the instrument) which exempts a class of persons from certain provisions </w:t>
      </w:r>
      <w:r w:rsidR="004D42E0" w:rsidRPr="00C83929">
        <w:rPr>
          <w:rFonts w:ascii="Times New Roman" w:hAnsi="Times New Roman"/>
          <w:sz w:val="24"/>
          <w:szCs w:val="24"/>
        </w:rPr>
        <w:t xml:space="preserve">under </w:t>
      </w:r>
      <w:r w:rsidRPr="00C83929">
        <w:rPr>
          <w:rFonts w:ascii="Times New Roman" w:hAnsi="Times New Roman"/>
          <w:sz w:val="24"/>
          <w:szCs w:val="24"/>
        </w:rPr>
        <w:t>sections 49J and 49L of the Act.</w:t>
      </w:r>
    </w:p>
    <w:p w:rsidR="00246723" w:rsidRPr="00C83929" w:rsidRDefault="005C0A93" w:rsidP="00DF7DA0">
      <w:pPr>
        <w:widowControl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 xml:space="preserve">Instrument (1) </w:t>
      </w:r>
      <w:r w:rsidR="00AC7A56" w:rsidRPr="00C83929">
        <w:rPr>
          <w:rFonts w:ascii="Times New Roman" w:hAnsi="Times New Roman"/>
          <w:sz w:val="24"/>
          <w:szCs w:val="24"/>
        </w:rPr>
        <w:t>commence</w:t>
      </w:r>
      <w:r w:rsidRPr="00C83929">
        <w:rPr>
          <w:rFonts w:ascii="Times New Roman" w:hAnsi="Times New Roman"/>
          <w:sz w:val="24"/>
          <w:szCs w:val="24"/>
        </w:rPr>
        <w:t>s</w:t>
      </w:r>
      <w:r w:rsidR="00AC7A56" w:rsidRPr="00C83929">
        <w:rPr>
          <w:rFonts w:ascii="Times New Roman" w:hAnsi="Times New Roman"/>
          <w:sz w:val="24"/>
          <w:szCs w:val="24"/>
        </w:rPr>
        <w:t xml:space="preserve"> on </w:t>
      </w:r>
      <w:r w:rsidR="00BC5684" w:rsidRPr="00C83929">
        <w:rPr>
          <w:rFonts w:ascii="Times New Roman" w:hAnsi="Times New Roman"/>
          <w:sz w:val="24"/>
          <w:szCs w:val="24"/>
        </w:rPr>
        <w:t>1 January 2014</w:t>
      </w:r>
      <w:r w:rsidRPr="00C83929">
        <w:rPr>
          <w:rFonts w:ascii="Times New Roman" w:hAnsi="Times New Roman"/>
          <w:sz w:val="24"/>
          <w:szCs w:val="24"/>
        </w:rPr>
        <w:t xml:space="preserve"> and Instrument</w:t>
      </w:r>
      <w:r w:rsidR="00FE5C84" w:rsidRPr="00C83929">
        <w:rPr>
          <w:rFonts w:ascii="Times New Roman" w:hAnsi="Times New Roman"/>
          <w:sz w:val="24"/>
          <w:szCs w:val="24"/>
        </w:rPr>
        <w:t>s</w:t>
      </w:r>
      <w:r w:rsidRPr="00C83929">
        <w:rPr>
          <w:rFonts w:ascii="Times New Roman" w:hAnsi="Times New Roman"/>
          <w:sz w:val="24"/>
          <w:szCs w:val="24"/>
        </w:rPr>
        <w:t xml:space="preserve"> (2) and (3) commence on 31 December 2013</w:t>
      </w:r>
      <w:r w:rsidR="00BC5684" w:rsidRPr="00C83929">
        <w:rPr>
          <w:rFonts w:ascii="Times New Roman" w:hAnsi="Times New Roman"/>
          <w:sz w:val="24"/>
          <w:szCs w:val="24"/>
        </w:rPr>
        <w:t>.</w:t>
      </w:r>
      <w:r w:rsidR="00AC7A56" w:rsidRPr="00C83929">
        <w:rPr>
          <w:rFonts w:ascii="Times New Roman" w:hAnsi="Times New Roman"/>
          <w:sz w:val="24"/>
          <w:szCs w:val="24"/>
        </w:rPr>
        <w:t xml:space="preserve"> </w:t>
      </w:r>
      <w:r w:rsidR="00AC7A56" w:rsidRPr="00C83929">
        <w:rPr>
          <w:rFonts w:ascii="Times New Roman" w:hAnsi="Times New Roman"/>
          <w:sz w:val="24"/>
          <w:szCs w:val="24"/>
        </w:rPr>
        <w:tab/>
      </w:r>
    </w:p>
    <w:p w:rsidR="002436BD" w:rsidRPr="00C83929" w:rsidRDefault="002436BD" w:rsidP="00DF7DA0">
      <w:pPr>
        <w:pStyle w:val="Heading"/>
        <w:keepNext/>
        <w:numPr>
          <w:ilvl w:val="0"/>
          <w:numId w:val="2"/>
        </w:numPr>
        <w:spacing w:after="24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lastRenderedPageBreak/>
        <w:t>Background</w:t>
      </w:r>
    </w:p>
    <w:p w:rsidR="00821144" w:rsidRPr="00C83929" w:rsidRDefault="00821144" w:rsidP="00821144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The exposure of the general insurance industry to reinsurers is a material source of counterparty risk and that risk may be heightened after domestic or global catastrophes. APRA undertook a voluntary data collection in 2010/11 to assess the degree of exposure to particular reinsurers. This data collection provided APRA with valuable information on the industry position and concentrations of exposures.</w:t>
      </w:r>
      <w:r w:rsidR="00C57366" w:rsidRPr="00C83929">
        <w:rPr>
          <w:rFonts w:ascii="Times New Roman" w:hAnsi="Times New Roman"/>
          <w:b w:val="0"/>
          <w:sz w:val="24"/>
          <w:szCs w:val="24"/>
        </w:rPr>
        <w:t xml:space="preserve"> APRA considered that a permanent data collection would be beneficial. </w:t>
      </w:r>
    </w:p>
    <w:p w:rsidR="00017548" w:rsidRPr="00C83929" w:rsidRDefault="009C3488" w:rsidP="00DF7DA0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In June 2012, as part of the life and general insurance capital review, APRA consulted with the general insurance industry on proposals to collect reinsurance counterparty data on a permanent basis. The data collection</w:t>
      </w:r>
      <w:r w:rsidR="000D184D" w:rsidRPr="00C83929">
        <w:rPr>
          <w:rFonts w:ascii="Times New Roman" w:hAnsi="Times New Roman"/>
          <w:b w:val="0"/>
          <w:sz w:val="24"/>
          <w:szCs w:val="24"/>
        </w:rPr>
        <w:t xml:space="preserve"> would apply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equally to general insurers and Level 2 insurance groups (collectively referred to as ‘insurers’).</w:t>
      </w:r>
    </w:p>
    <w:p w:rsidR="0082228F" w:rsidRPr="00C83929" w:rsidRDefault="008B76BA" w:rsidP="00DF7DA0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The </w:t>
      </w:r>
      <w:r w:rsidR="000D184D" w:rsidRPr="00C83929">
        <w:rPr>
          <w:rFonts w:ascii="Times New Roman" w:hAnsi="Times New Roman"/>
          <w:b w:val="0"/>
          <w:sz w:val="24"/>
          <w:szCs w:val="24"/>
        </w:rPr>
        <w:t xml:space="preserve">primary 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aim of the data collection is to enhance APRA’s ability to assess the impact of a reinsurer downgrade or failure on </w:t>
      </w:r>
      <w:r w:rsidR="000D184D" w:rsidRPr="00C83929">
        <w:rPr>
          <w:rFonts w:ascii="Times New Roman" w:hAnsi="Times New Roman"/>
          <w:b w:val="0"/>
          <w:sz w:val="24"/>
          <w:szCs w:val="24"/>
        </w:rPr>
        <w:t xml:space="preserve">the prescribed capital amount, capital base and hence capital coverage, for individual insurers and the general insurance industry. </w:t>
      </w:r>
    </w:p>
    <w:p w:rsidR="0082228F" w:rsidRPr="00C83929" w:rsidRDefault="00E13436" w:rsidP="00DF7DA0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In June 2013, APRA issued revised proposals for consultation</w:t>
      </w:r>
      <w:r w:rsidR="00C91481" w:rsidRPr="00C83929">
        <w:rPr>
          <w:rFonts w:ascii="Times New Roman" w:hAnsi="Times New Roman"/>
          <w:b w:val="0"/>
          <w:sz w:val="24"/>
          <w:szCs w:val="24"/>
        </w:rPr>
        <w:t xml:space="preserve"> which took into account feedback received on the consultation in June 2012</w:t>
      </w:r>
      <w:r w:rsidRPr="00C83929">
        <w:rPr>
          <w:rFonts w:ascii="Times New Roman" w:hAnsi="Times New Roman"/>
          <w:b w:val="0"/>
          <w:sz w:val="24"/>
          <w:szCs w:val="24"/>
        </w:rPr>
        <w:t>, including proposals to</w:t>
      </w:r>
      <w:r w:rsidR="0082228F" w:rsidRPr="00C83929">
        <w:rPr>
          <w:rFonts w:ascii="Times New Roman" w:hAnsi="Times New Roman"/>
          <w:b w:val="0"/>
          <w:sz w:val="24"/>
          <w:szCs w:val="24"/>
        </w:rPr>
        <w:t>:</w:t>
      </w:r>
    </w:p>
    <w:p w:rsidR="008B76BA" w:rsidRPr="00C83929" w:rsidRDefault="00E13436" w:rsidP="00CF7F3D">
      <w:pPr>
        <w:pStyle w:val="Heading"/>
        <w:keepNext/>
        <w:numPr>
          <w:ilvl w:val="0"/>
          <w:numId w:val="6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collect </w:t>
      </w:r>
      <w:r w:rsidR="00192052" w:rsidRPr="00C83929">
        <w:rPr>
          <w:rFonts w:ascii="Times New Roman" w:hAnsi="Times New Roman"/>
          <w:b w:val="0"/>
          <w:sz w:val="24"/>
          <w:szCs w:val="24"/>
        </w:rPr>
        <w:t xml:space="preserve">reinsurance </w:t>
      </w:r>
      <w:r w:rsidRPr="00C83929">
        <w:rPr>
          <w:rFonts w:ascii="Times New Roman" w:hAnsi="Times New Roman"/>
          <w:b w:val="0"/>
          <w:sz w:val="24"/>
          <w:szCs w:val="24"/>
        </w:rPr>
        <w:t>counterparty information in the Reinsurance Arrangements Statements</w:t>
      </w:r>
      <w:r w:rsidR="00996A81" w:rsidRPr="00C83929">
        <w:rPr>
          <w:rFonts w:ascii="Times New Roman" w:hAnsi="Times New Roman"/>
          <w:b w:val="0"/>
          <w:sz w:val="24"/>
          <w:szCs w:val="24"/>
        </w:rPr>
        <w:t xml:space="preserve"> </w:t>
      </w:r>
      <w:r w:rsidR="005C4AB7" w:rsidRPr="00C83929">
        <w:rPr>
          <w:rFonts w:ascii="Times New Roman" w:hAnsi="Times New Roman"/>
          <w:b w:val="0"/>
          <w:sz w:val="24"/>
          <w:szCs w:val="24"/>
        </w:rPr>
        <w:t xml:space="preserve">(RAS) </w:t>
      </w:r>
      <w:r w:rsidR="00996A81" w:rsidRPr="00C83929">
        <w:rPr>
          <w:rFonts w:ascii="Times New Roman" w:hAnsi="Times New Roman"/>
          <w:b w:val="0"/>
          <w:sz w:val="24"/>
          <w:szCs w:val="24"/>
        </w:rPr>
        <w:t>submitted to APRA</w:t>
      </w:r>
      <w:r w:rsidR="00192052" w:rsidRPr="00C83929">
        <w:rPr>
          <w:rFonts w:ascii="Times New Roman" w:hAnsi="Times New Roman"/>
          <w:b w:val="0"/>
          <w:sz w:val="24"/>
          <w:szCs w:val="24"/>
        </w:rPr>
        <w:t xml:space="preserve"> by insurers</w:t>
      </w:r>
      <w:r w:rsidR="0082228F" w:rsidRPr="00C83929">
        <w:rPr>
          <w:rFonts w:ascii="Times New Roman" w:hAnsi="Times New Roman"/>
          <w:b w:val="0"/>
          <w:sz w:val="24"/>
          <w:szCs w:val="24"/>
        </w:rPr>
        <w:t>;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and </w:t>
      </w:r>
    </w:p>
    <w:p w:rsidR="0082228F" w:rsidRPr="00C83929" w:rsidRDefault="00996A81" w:rsidP="00CF7F3D">
      <w:pPr>
        <w:pStyle w:val="Heading"/>
        <w:keepNext/>
        <w:numPr>
          <w:ilvl w:val="0"/>
          <w:numId w:val="6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exempt </w:t>
      </w:r>
      <w:r w:rsidR="009F60B3" w:rsidRPr="00C83929">
        <w:rPr>
          <w:rFonts w:ascii="Times New Roman" w:hAnsi="Times New Roman"/>
          <w:b w:val="0"/>
          <w:sz w:val="24"/>
          <w:szCs w:val="24"/>
        </w:rPr>
        <w:t>information contained in the reporting standards</w:t>
      </w:r>
      <w:r w:rsidR="0082228F" w:rsidRPr="00C83929">
        <w:rPr>
          <w:rFonts w:ascii="Times New Roman" w:hAnsi="Times New Roman"/>
          <w:b w:val="0"/>
          <w:sz w:val="24"/>
          <w:szCs w:val="24"/>
        </w:rPr>
        <w:t xml:space="preserve"> introduced with this data collection </w:t>
      </w:r>
      <w:r w:rsidRPr="00C83929">
        <w:rPr>
          <w:rFonts w:ascii="Times New Roman" w:hAnsi="Times New Roman"/>
          <w:b w:val="0"/>
          <w:sz w:val="24"/>
          <w:szCs w:val="24"/>
        </w:rPr>
        <w:t>from</w:t>
      </w:r>
      <w:r w:rsidR="0082228F" w:rsidRPr="00C83929">
        <w:rPr>
          <w:rFonts w:ascii="Times New Roman" w:hAnsi="Times New Roman"/>
          <w:b w:val="0"/>
          <w:sz w:val="24"/>
          <w:szCs w:val="24"/>
        </w:rPr>
        <w:t xml:space="preserve"> the usual </w:t>
      </w:r>
      <w:r w:rsidR="00A24796" w:rsidRPr="00C83929">
        <w:rPr>
          <w:rFonts w:ascii="Times New Roman" w:hAnsi="Times New Roman"/>
          <w:b w:val="0"/>
          <w:sz w:val="24"/>
          <w:szCs w:val="24"/>
        </w:rPr>
        <w:t xml:space="preserve">annual </w:t>
      </w:r>
      <w:r w:rsidR="0082228F" w:rsidRPr="00C83929">
        <w:rPr>
          <w:rFonts w:ascii="Times New Roman" w:hAnsi="Times New Roman"/>
          <w:b w:val="0"/>
          <w:sz w:val="24"/>
          <w:szCs w:val="24"/>
        </w:rPr>
        <w:t>aud</w:t>
      </w:r>
      <w:r w:rsidRPr="00C83929">
        <w:rPr>
          <w:rFonts w:ascii="Times New Roman" w:hAnsi="Times New Roman"/>
          <w:b w:val="0"/>
          <w:sz w:val="24"/>
          <w:szCs w:val="24"/>
        </w:rPr>
        <w:t>it requirements of the Appointed Auditor of a general insurer or the Group Auditor of a Level 2 insurance group.</w:t>
      </w:r>
    </w:p>
    <w:p w:rsidR="00EF3F26" w:rsidRPr="00C83929" w:rsidRDefault="005C4AB7" w:rsidP="00EF3F26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Amendments are required to</w:t>
      </w:r>
      <w:r w:rsidR="009E1DD1" w:rsidRPr="00C83929">
        <w:rPr>
          <w:rFonts w:ascii="Times New Roman" w:hAnsi="Times New Roman"/>
          <w:b w:val="0"/>
          <w:sz w:val="24"/>
          <w:szCs w:val="24"/>
        </w:rPr>
        <w:t xml:space="preserve"> prudential requirements through instruments which</w:t>
      </w:r>
      <w:r w:rsidR="00E13436" w:rsidRPr="00C83929">
        <w:rPr>
          <w:rFonts w:ascii="Times New Roman" w:hAnsi="Times New Roman"/>
          <w:b w:val="0"/>
          <w:sz w:val="24"/>
          <w:szCs w:val="24"/>
        </w:rPr>
        <w:t xml:space="preserve"> are outlined in Section 2 below.  </w:t>
      </w:r>
    </w:p>
    <w:p w:rsidR="002436BD" w:rsidRPr="00C83929" w:rsidRDefault="002436BD" w:rsidP="00DF7DA0">
      <w:pPr>
        <w:pStyle w:val="Heading"/>
        <w:keepNext/>
        <w:numPr>
          <w:ilvl w:val="0"/>
          <w:numId w:val="2"/>
        </w:numPr>
        <w:spacing w:after="240"/>
        <w:ind w:left="0" w:firstLine="0"/>
        <w:outlineLvl w:val="0"/>
        <w:rPr>
          <w:rFonts w:ascii="Times New Roman" w:hAnsi="Times New Roman"/>
          <w:sz w:val="24"/>
          <w:szCs w:val="24"/>
        </w:rPr>
      </w:pPr>
      <w:bookmarkStart w:id="4" w:name="bkBackground"/>
      <w:bookmarkEnd w:id="4"/>
      <w:r w:rsidRPr="00C83929">
        <w:rPr>
          <w:rFonts w:ascii="Times New Roman" w:hAnsi="Times New Roman"/>
          <w:sz w:val="24"/>
          <w:szCs w:val="24"/>
        </w:rPr>
        <w:t xml:space="preserve">Purpose </w:t>
      </w:r>
      <w:r w:rsidR="00DF524E" w:rsidRPr="00C83929">
        <w:rPr>
          <w:rFonts w:ascii="Times New Roman" w:hAnsi="Times New Roman"/>
          <w:sz w:val="24"/>
          <w:szCs w:val="24"/>
        </w:rPr>
        <w:t xml:space="preserve">and operation </w:t>
      </w:r>
      <w:r w:rsidRPr="00C83929">
        <w:rPr>
          <w:rFonts w:ascii="Times New Roman" w:hAnsi="Times New Roman"/>
          <w:sz w:val="24"/>
          <w:szCs w:val="24"/>
        </w:rPr>
        <w:t>of the instrument</w:t>
      </w:r>
      <w:r w:rsidR="007E1141" w:rsidRPr="00C83929">
        <w:rPr>
          <w:rFonts w:ascii="Times New Roman" w:hAnsi="Times New Roman"/>
          <w:sz w:val="24"/>
          <w:szCs w:val="24"/>
        </w:rPr>
        <w:t>s</w:t>
      </w:r>
    </w:p>
    <w:p w:rsidR="00A03649" w:rsidRPr="00C83929" w:rsidRDefault="000B0D4B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The purpose of making these </w:t>
      </w:r>
      <w:r w:rsidR="00915869" w:rsidRPr="00C83929">
        <w:rPr>
          <w:rFonts w:ascii="Times New Roman" w:hAnsi="Times New Roman"/>
          <w:b w:val="0"/>
          <w:sz w:val="24"/>
          <w:szCs w:val="24"/>
        </w:rPr>
        <w:t>instruments is to</w:t>
      </w:r>
      <w:r w:rsidR="00A03649" w:rsidRPr="00C83929">
        <w:rPr>
          <w:rFonts w:ascii="Times New Roman" w:hAnsi="Times New Roman"/>
          <w:b w:val="0"/>
          <w:sz w:val="24"/>
          <w:szCs w:val="24"/>
        </w:rPr>
        <w:t>:</w:t>
      </w:r>
      <w:r w:rsidR="00915869" w:rsidRPr="00C839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03649" w:rsidRPr="00C83929" w:rsidRDefault="00915869" w:rsidP="00A03649">
      <w:pPr>
        <w:pStyle w:val="Heading"/>
        <w:keepNext/>
        <w:numPr>
          <w:ilvl w:val="0"/>
          <w:numId w:val="10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introduce amen</w:t>
      </w:r>
      <w:r w:rsidR="00A03649" w:rsidRPr="00C83929">
        <w:rPr>
          <w:rFonts w:ascii="Times New Roman" w:hAnsi="Times New Roman"/>
          <w:b w:val="0"/>
          <w:sz w:val="24"/>
          <w:szCs w:val="24"/>
        </w:rPr>
        <w:t xml:space="preserve">ded prudential standards and </w:t>
      </w:r>
      <w:r w:rsidRPr="00C83929">
        <w:rPr>
          <w:rFonts w:ascii="Times New Roman" w:hAnsi="Times New Roman"/>
          <w:b w:val="0"/>
          <w:sz w:val="24"/>
          <w:szCs w:val="24"/>
        </w:rPr>
        <w:t>revoke existing prudential standards</w:t>
      </w:r>
      <w:r w:rsidR="008C4B51" w:rsidRPr="00C83929">
        <w:rPr>
          <w:rFonts w:ascii="Times New Roman" w:hAnsi="Times New Roman"/>
          <w:b w:val="0"/>
          <w:sz w:val="24"/>
          <w:szCs w:val="24"/>
        </w:rPr>
        <w:t xml:space="preserve"> to </w:t>
      </w:r>
      <w:r w:rsidR="00A03649" w:rsidRPr="00C83929">
        <w:rPr>
          <w:rFonts w:ascii="Times New Roman" w:hAnsi="Times New Roman"/>
          <w:b w:val="0"/>
          <w:sz w:val="24"/>
          <w:szCs w:val="24"/>
        </w:rPr>
        <w:t>give effect to</w:t>
      </w:r>
      <w:r w:rsidR="0018497E" w:rsidRPr="00C83929">
        <w:rPr>
          <w:rFonts w:ascii="Times New Roman" w:hAnsi="Times New Roman"/>
          <w:b w:val="0"/>
          <w:sz w:val="24"/>
          <w:szCs w:val="24"/>
        </w:rPr>
        <w:t xml:space="preserve"> </w:t>
      </w:r>
      <w:r w:rsidR="00A03649" w:rsidRPr="00C83929">
        <w:rPr>
          <w:rFonts w:ascii="Times New Roman" w:hAnsi="Times New Roman"/>
          <w:b w:val="0"/>
          <w:sz w:val="24"/>
          <w:szCs w:val="24"/>
        </w:rPr>
        <w:t>changes in</w:t>
      </w:r>
      <w:r w:rsidR="0018497E" w:rsidRPr="00C83929">
        <w:rPr>
          <w:rFonts w:ascii="Times New Roman" w:hAnsi="Times New Roman"/>
          <w:b w:val="0"/>
          <w:sz w:val="24"/>
          <w:szCs w:val="24"/>
        </w:rPr>
        <w:t xml:space="preserve"> prudential requirements</w:t>
      </w:r>
      <w:r w:rsidR="00A03649" w:rsidRPr="00C83929">
        <w:rPr>
          <w:rFonts w:ascii="Times New Roman" w:hAnsi="Times New Roman"/>
          <w:b w:val="0"/>
          <w:sz w:val="24"/>
          <w:szCs w:val="24"/>
        </w:rPr>
        <w:t xml:space="preserve">; and </w:t>
      </w:r>
    </w:p>
    <w:p w:rsidR="000B0D4B" w:rsidRPr="00C83929" w:rsidRDefault="00A03649" w:rsidP="00A03649">
      <w:pPr>
        <w:pStyle w:val="Heading"/>
        <w:keepNext/>
        <w:numPr>
          <w:ilvl w:val="0"/>
          <w:numId w:val="10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introduce an exemption for a class of persons from complying with </w:t>
      </w:r>
      <w:r w:rsidR="00F96BB7" w:rsidRPr="00C83929">
        <w:rPr>
          <w:rFonts w:ascii="Times New Roman" w:hAnsi="Times New Roman"/>
          <w:b w:val="0"/>
          <w:sz w:val="24"/>
          <w:szCs w:val="24"/>
        </w:rPr>
        <w:t xml:space="preserve">specific provisions of 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the Act. </w:t>
      </w:r>
    </w:p>
    <w:p w:rsidR="00567034" w:rsidRPr="00C83929" w:rsidRDefault="009543DA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i/>
          <w:sz w:val="24"/>
          <w:szCs w:val="24"/>
        </w:rPr>
        <w:t>Insurance (</w:t>
      </w:r>
      <w:r w:rsidR="00EB7121" w:rsidRPr="00C83929">
        <w:rPr>
          <w:rFonts w:ascii="Times New Roman" w:hAnsi="Times New Roman"/>
          <w:b w:val="0"/>
          <w:i/>
          <w:sz w:val="24"/>
          <w:szCs w:val="24"/>
        </w:rPr>
        <w:t>p</w:t>
      </w:r>
      <w:r w:rsidRPr="00C83929">
        <w:rPr>
          <w:rFonts w:ascii="Times New Roman" w:hAnsi="Times New Roman"/>
          <w:b w:val="0"/>
          <w:i/>
          <w:sz w:val="24"/>
          <w:szCs w:val="24"/>
        </w:rPr>
        <w:t xml:space="preserve">rudential </w:t>
      </w:r>
      <w:r w:rsidR="00EB7121" w:rsidRPr="00C83929">
        <w:rPr>
          <w:rFonts w:ascii="Times New Roman" w:hAnsi="Times New Roman"/>
          <w:b w:val="0"/>
          <w:i/>
          <w:sz w:val="24"/>
          <w:szCs w:val="24"/>
        </w:rPr>
        <w:t>s</w:t>
      </w:r>
      <w:r w:rsidRPr="00C83929">
        <w:rPr>
          <w:rFonts w:ascii="Times New Roman" w:hAnsi="Times New Roman"/>
          <w:b w:val="0"/>
          <w:i/>
          <w:sz w:val="24"/>
          <w:szCs w:val="24"/>
        </w:rPr>
        <w:t xml:space="preserve">tandard) </w:t>
      </w:r>
      <w:r w:rsidR="00EB7121" w:rsidRPr="00C83929">
        <w:rPr>
          <w:rFonts w:ascii="Times New Roman" w:hAnsi="Times New Roman"/>
          <w:b w:val="0"/>
          <w:i/>
          <w:sz w:val="24"/>
          <w:szCs w:val="24"/>
        </w:rPr>
        <w:t>d</w:t>
      </w:r>
      <w:r w:rsidRPr="00C83929">
        <w:rPr>
          <w:rFonts w:ascii="Times New Roman" w:hAnsi="Times New Roman"/>
          <w:b w:val="0"/>
          <w:i/>
          <w:sz w:val="24"/>
          <w:szCs w:val="24"/>
        </w:rPr>
        <w:t>etermination No. 1 of 2013</w:t>
      </w:r>
    </w:p>
    <w:p w:rsidR="00597181" w:rsidRPr="00C83929" w:rsidRDefault="00597181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The purpose of this instrument is to</w:t>
      </w:r>
      <w:r w:rsidR="000C024A" w:rsidRPr="00C83929">
        <w:rPr>
          <w:rFonts w:ascii="Times New Roman" w:hAnsi="Times New Roman"/>
          <w:b w:val="0"/>
          <w:sz w:val="24"/>
          <w:szCs w:val="24"/>
        </w:rPr>
        <w:t xml:space="preserve"> revoke GPS 230 and </w:t>
      </w:r>
      <w:r w:rsidR="0039673F" w:rsidRPr="00C83929">
        <w:rPr>
          <w:rFonts w:ascii="Times New Roman" w:hAnsi="Times New Roman"/>
          <w:b w:val="0"/>
          <w:sz w:val="24"/>
          <w:szCs w:val="24"/>
        </w:rPr>
        <w:t xml:space="preserve">determine a new GPS 230 that contains an </w:t>
      </w:r>
      <w:r w:rsidR="0043371D" w:rsidRPr="00C83929">
        <w:rPr>
          <w:rFonts w:ascii="Times New Roman" w:hAnsi="Times New Roman"/>
          <w:b w:val="0"/>
          <w:sz w:val="24"/>
          <w:szCs w:val="24"/>
        </w:rPr>
        <w:t>amend</w:t>
      </w:r>
      <w:r w:rsidR="009F60B3" w:rsidRPr="00C83929">
        <w:rPr>
          <w:rFonts w:ascii="Times New Roman" w:hAnsi="Times New Roman"/>
          <w:b w:val="0"/>
          <w:sz w:val="24"/>
          <w:szCs w:val="24"/>
        </w:rPr>
        <w:t>ment</w:t>
      </w:r>
      <w:r w:rsidR="0043371D" w:rsidRPr="00C83929">
        <w:rPr>
          <w:rFonts w:ascii="Times New Roman" w:hAnsi="Times New Roman"/>
          <w:b w:val="0"/>
          <w:sz w:val="24"/>
          <w:szCs w:val="24"/>
        </w:rPr>
        <w:t xml:space="preserve"> to the required content of the RAS</w:t>
      </w:r>
      <w:r w:rsidR="0039673F" w:rsidRPr="00C83929">
        <w:rPr>
          <w:rFonts w:ascii="Times New Roman" w:hAnsi="Times New Roman"/>
          <w:b w:val="0"/>
          <w:sz w:val="24"/>
          <w:szCs w:val="24"/>
        </w:rPr>
        <w:t>.</w:t>
      </w:r>
    </w:p>
    <w:p w:rsidR="005C516E" w:rsidRPr="00C83929" w:rsidRDefault="0039673F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GPS 230</w:t>
      </w:r>
      <w:r w:rsidR="00C40EFA" w:rsidRPr="00C83929">
        <w:rPr>
          <w:rFonts w:ascii="Times New Roman" w:hAnsi="Times New Roman"/>
          <w:b w:val="0"/>
          <w:sz w:val="24"/>
          <w:szCs w:val="24"/>
        </w:rPr>
        <w:t xml:space="preserve"> requires</w:t>
      </w:r>
      <w:r w:rsidR="005C516E" w:rsidRPr="00C83929">
        <w:rPr>
          <w:rFonts w:ascii="Times New Roman" w:hAnsi="Times New Roman"/>
          <w:b w:val="0"/>
          <w:sz w:val="24"/>
          <w:szCs w:val="24"/>
        </w:rPr>
        <w:t xml:space="preserve"> an insurer to maintain a reinsurance management framework to manage the risks arising from its reinsurance arrangements.</w:t>
      </w:r>
      <w:r w:rsidR="00567034" w:rsidRPr="00C83929">
        <w:rPr>
          <w:rFonts w:ascii="Times New Roman" w:hAnsi="Times New Roman"/>
          <w:b w:val="0"/>
          <w:sz w:val="24"/>
          <w:szCs w:val="24"/>
        </w:rPr>
        <w:t xml:space="preserve"> </w:t>
      </w:r>
      <w:r w:rsidR="005C516E" w:rsidRPr="00C83929">
        <w:rPr>
          <w:rFonts w:ascii="Times New Roman" w:hAnsi="Times New Roman"/>
          <w:b w:val="0"/>
          <w:sz w:val="24"/>
          <w:szCs w:val="24"/>
        </w:rPr>
        <w:t xml:space="preserve">This includes the requirement for </w:t>
      </w:r>
      <w:r w:rsidR="00C40EFA" w:rsidRPr="00C83929">
        <w:rPr>
          <w:rFonts w:ascii="Times New Roman" w:hAnsi="Times New Roman"/>
          <w:b w:val="0"/>
          <w:sz w:val="24"/>
          <w:szCs w:val="24"/>
        </w:rPr>
        <w:t xml:space="preserve">an insurer to submit a </w:t>
      </w:r>
      <w:r w:rsidR="002F3532" w:rsidRPr="00C83929">
        <w:rPr>
          <w:rFonts w:ascii="Times New Roman" w:hAnsi="Times New Roman"/>
          <w:b w:val="0"/>
          <w:sz w:val="24"/>
          <w:szCs w:val="24"/>
        </w:rPr>
        <w:t>RAS</w:t>
      </w:r>
      <w:r w:rsidR="00C40EFA" w:rsidRPr="00C83929">
        <w:rPr>
          <w:rFonts w:ascii="Times New Roman" w:hAnsi="Times New Roman"/>
          <w:b w:val="0"/>
          <w:sz w:val="24"/>
          <w:szCs w:val="24"/>
        </w:rPr>
        <w:t xml:space="preserve"> to APRA</w:t>
      </w:r>
      <w:r w:rsidR="00A51C3F" w:rsidRPr="00C83929">
        <w:rPr>
          <w:rFonts w:ascii="Times New Roman" w:hAnsi="Times New Roman"/>
          <w:b w:val="0"/>
          <w:sz w:val="24"/>
          <w:szCs w:val="24"/>
        </w:rPr>
        <w:t>,</w:t>
      </w:r>
      <w:r w:rsidR="00C40EFA" w:rsidRPr="00C83929">
        <w:rPr>
          <w:rFonts w:ascii="Times New Roman" w:hAnsi="Times New Roman"/>
          <w:b w:val="0"/>
          <w:sz w:val="24"/>
          <w:szCs w:val="24"/>
        </w:rPr>
        <w:t xml:space="preserve"> </w:t>
      </w:r>
      <w:r w:rsidR="005C516E" w:rsidRPr="00C83929">
        <w:rPr>
          <w:rFonts w:ascii="Times New Roman" w:hAnsi="Times New Roman"/>
          <w:b w:val="0"/>
          <w:sz w:val="24"/>
          <w:szCs w:val="24"/>
        </w:rPr>
        <w:t>at least annually</w:t>
      </w:r>
      <w:r w:rsidR="00A349D4" w:rsidRPr="00C83929">
        <w:rPr>
          <w:rFonts w:ascii="Times New Roman" w:hAnsi="Times New Roman"/>
          <w:b w:val="0"/>
          <w:sz w:val="24"/>
          <w:szCs w:val="24"/>
        </w:rPr>
        <w:t>.</w:t>
      </w:r>
      <w:r w:rsidR="00C40EFA" w:rsidRPr="00C839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40EFA" w:rsidRPr="00C83929" w:rsidRDefault="00C40EFA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lastRenderedPageBreak/>
        <w:t>GPS 230</w:t>
      </w:r>
      <w:r w:rsidR="00017548" w:rsidRPr="00C83929">
        <w:rPr>
          <w:rFonts w:ascii="Times New Roman" w:hAnsi="Times New Roman"/>
          <w:b w:val="0"/>
          <w:sz w:val="24"/>
          <w:szCs w:val="24"/>
        </w:rPr>
        <w:t xml:space="preserve"> has been amended</w:t>
      </w:r>
      <w:r w:rsidR="00A349D4" w:rsidRPr="00C83929">
        <w:rPr>
          <w:rFonts w:ascii="Times New Roman" w:hAnsi="Times New Roman"/>
          <w:b w:val="0"/>
          <w:sz w:val="24"/>
          <w:szCs w:val="24"/>
        </w:rPr>
        <w:t xml:space="preserve"> such that the RAS must include</w:t>
      </w:r>
      <w:r w:rsidR="00567034" w:rsidRPr="00C83929">
        <w:rPr>
          <w:rFonts w:ascii="Times New Roman" w:hAnsi="Times New Roman"/>
          <w:b w:val="0"/>
          <w:sz w:val="24"/>
          <w:szCs w:val="24"/>
        </w:rPr>
        <w:t xml:space="preserve"> the reinsurance counterparties tha</w:t>
      </w:r>
      <w:r w:rsidR="00A349D4" w:rsidRPr="00C83929">
        <w:rPr>
          <w:rFonts w:ascii="Times New Roman" w:hAnsi="Times New Roman"/>
          <w:b w:val="0"/>
          <w:sz w:val="24"/>
          <w:szCs w:val="24"/>
        </w:rPr>
        <w:t xml:space="preserve">t </w:t>
      </w:r>
      <w:r w:rsidR="00D23FD5" w:rsidRPr="00C83929">
        <w:rPr>
          <w:rFonts w:ascii="Times New Roman" w:hAnsi="Times New Roman"/>
          <w:b w:val="0"/>
          <w:sz w:val="24"/>
          <w:szCs w:val="24"/>
        </w:rPr>
        <w:t>contribute to</w:t>
      </w:r>
      <w:r w:rsidR="00567034" w:rsidRPr="00C83929">
        <w:rPr>
          <w:rFonts w:ascii="Times New Roman" w:hAnsi="Times New Roman"/>
          <w:b w:val="0"/>
          <w:sz w:val="24"/>
          <w:szCs w:val="24"/>
        </w:rPr>
        <w:t xml:space="preserve"> the insurer’s reinsurance arrangements, including any group to wh</w:t>
      </w:r>
      <w:r w:rsidR="00D86A47" w:rsidRPr="00C83929">
        <w:rPr>
          <w:rFonts w:ascii="Times New Roman" w:hAnsi="Times New Roman"/>
          <w:b w:val="0"/>
          <w:sz w:val="24"/>
          <w:szCs w:val="24"/>
        </w:rPr>
        <w:t>ich the reinsurance counterparties belong</w:t>
      </w:r>
      <w:r w:rsidR="00567034" w:rsidRPr="00C83929">
        <w:rPr>
          <w:rFonts w:ascii="Times New Roman" w:hAnsi="Times New Roman"/>
          <w:b w:val="0"/>
          <w:sz w:val="24"/>
          <w:szCs w:val="24"/>
        </w:rPr>
        <w:t>.</w:t>
      </w:r>
      <w:r w:rsidR="00017548" w:rsidRPr="00C83929">
        <w:rPr>
          <w:rFonts w:ascii="Times New Roman" w:hAnsi="Times New Roman"/>
          <w:b w:val="0"/>
          <w:sz w:val="24"/>
          <w:szCs w:val="24"/>
        </w:rPr>
        <w:t xml:space="preserve"> </w:t>
      </w:r>
      <w:r w:rsidR="006519A6" w:rsidRPr="00C83929">
        <w:rPr>
          <w:rFonts w:ascii="Times New Roman" w:hAnsi="Times New Roman"/>
          <w:b w:val="0"/>
          <w:sz w:val="24"/>
          <w:szCs w:val="24"/>
        </w:rPr>
        <w:t xml:space="preserve">Collecting </w:t>
      </w:r>
      <w:r w:rsidR="00B0162C" w:rsidRPr="00C83929">
        <w:rPr>
          <w:rFonts w:ascii="Times New Roman" w:hAnsi="Times New Roman"/>
          <w:b w:val="0"/>
          <w:sz w:val="24"/>
          <w:szCs w:val="24"/>
        </w:rPr>
        <w:t xml:space="preserve">reinsurance </w:t>
      </w:r>
      <w:r w:rsidR="006519A6" w:rsidRPr="00C83929">
        <w:rPr>
          <w:rFonts w:ascii="Times New Roman" w:hAnsi="Times New Roman"/>
          <w:b w:val="0"/>
          <w:sz w:val="24"/>
          <w:szCs w:val="24"/>
        </w:rPr>
        <w:t xml:space="preserve">counterparty information </w:t>
      </w:r>
      <w:r w:rsidR="00B0162C" w:rsidRPr="00C83929">
        <w:rPr>
          <w:rFonts w:ascii="Times New Roman" w:hAnsi="Times New Roman"/>
          <w:b w:val="0"/>
          <w:sz w:val="24"/>
          <w:szCs w:val="24"/>
        </w:rPr>
        <w:t xml:space="preserve">in the RAS </w:t>
      </w:r>
      <w:r w:rsidR="005C0A93" w:rsidRPr="00C83929">
        <w:rPr>
          <w:rFonts w:ascii="Times New Roman" w:hAnsi="Times New Roman"/>
          <w:b w:val="0"/>
          <w:sz w:val="24"/>
          <w:szCs w:val="24"/>
        </w:rPr>
        <w:t xml:space="preserve">enables APRA to </w:t>
      </w:r>
      <w:r w:rsidR="006519A6" w:rsidRPr="00C83929">
        <w:rPr>
          <w:rFonts w:ascii="Times New Roman" w:hAnsi="Times New Roman"/>
          <w:b w:val="0"/>
          <w:sz w:val="24"/>
          <w:szCs w:val="24"/>
        </w:rPr>
        <w:t>further un</w:t>
      </w:r>
      <w:r w:rsidR="00B0162C" w:rsidRPr="00C83929">
        <w:rPr>
          <w:rFonts w:ascii="Times New Roman" w:hAnsi="Times New Roman"/>
          <w:b w:val="0"/>
          <w:sz w:val="24"/>
          <w:szCs w:val="24"/>
        </w:rPr>
        <w:t>derstand the exposure of</w:t>
      </w:r>
      <w:r w:rsidR="006519A6" w:rsidRPr="00C83929">
        <w:rPr>
          <w:rFonts w:ascii="Times New Roman" w:hAnsi="Times New Roman"/>
          <w:b w:val="0"/>
          <w:sz w:val="24"/>
          <w:szCs w:val="24"/>
        </w:rPr>
        <w:t xml:space="preserve"> insurers to material </w:t>
      </w:r>
      <w:r w:rsidR="00B0162C" w:rsidRPr="00C83929">
        <w:rPr>
          <w:rFonts w:ascii="Times New Roman" w:hAnsi="Times New Roman"/>
          <w:b w:val="0"/>
          <w:sz w:val="24"/>
          <w:szCs w:val="24"/>
        </w:rPr>
        <w:t xml:space="preserve">reinsurance </w:t>
      </w:r>
      <w:r w:rsidR="005C0A93" w:rsidRPr="00C83929">
        <w:rPr>
          <w:rFonts w:ascii="Times New Roman" w:hAnsi="Times New Roman"/>
          <w:b w:val="0"/>
          <w:sz w:val="24"/>
          <w:szCs w:val="24"/>
        </w:rPr>
        <w:t>counterparties</w:t>
      </w:r>
      <w:r w:rsidR="006519A6" w:rsidRPr="00C83929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DB34BD" w:rsidRPr="00C83929" w:rsidRDefault="00DB34BD" w:rsidP="00DB34BD">
      <w:pPr>
        <w:pStyle w:val="Heading"/>
        <w:keepNext/>
        <w:spacing w:after="240"/>
        <w:outlineLvl w:val="0"/>
        <w:rPr>
          <w:rFonts w:ascii="Times New Roman" w:hAnsi="Times New Roman"/>
          <w:b w:val="0"/>
          <w:i/>
          <w:sz w:val="24"/>
          <w:szCs w:val="24"/>
        </w:rPr>
      </w:pPr>
      <w:r w:rsidRPr="00C83929">
        <w:rPr>
          <w:rFonts w:ascii="Times New Roman" w:hAnsi="Times New Roman"/>
          <w:b w:val="0"/>
          <w:i/>
          <w:sz w:val="24"/>
          <w:szCs w:val="24"/>
        </w:rPr>
        <w:t>Insurance (</w:t>
      </w:r>
      <w:r w:rsidR="008811AA" w:rsidRPr="00C83929">
        <w:rPr>
          <w:rFonts w:ascii="Times New Roman" w:hAnsi="Times New Roman"/>
          <w:b w:val="0"/>
          <w:i/>
          <w:sz w:val="24"/>
          <w:szCs w:val="24"/>
        </w:rPr>
        <w:t>p</w:t>
      </w:r>
      <w:r w:rsidRPr="00C83929">
        <w:rPr>
          <w:rFonts w:ascii="Times New Roman" w:hAnsi="Times New Roman"/>
          <w:b w:val="0"/>
          <w:i/>
          <w:sz w:val="24"/>
          <w:szCs w:val="24"/>
        </w:rPr>
        <w:t xml:space="preserve">rudential </w:t>
      </w:r>
      <w:r w:rsidR="008811AA" w:rsidRPr="00C83929">
        <w:rPr>
          <w:rFonts w:ascii="Times New Roman" w:hAnsi="Times New Roman"/>
          <w:b w:val="0"/>
          <w:i/>
          <w:sz w:val="24"/>
          <w:szCs w:val="24"/>
        </w:rPr>
        <w:t>s</w:t>
      </w:r>
      <w:r w:rsidRPr="00C83929">
        <w:rPr>
          <w:rFonts w:ascii="Times New Roman" w:hAnsi="Times New Roman"/>
          <w:b w:val="0"/>
          <w:i/>
          <w:sz w:val="24"/>
          <w:szCs w:val="24"/>
        </w:rPr>
        <w:t xml:space="preserve">tandard) </w:t>
      </w:r>
      <w:r w:rsidR="008811AA" w:rsidRPr="00C83929">
        <w:rPr>
          <w:rFonts w:ascii="Times New Roman" w:hAnsi="Times New Roman"/>
          <w:b w:val="0"/>
          <w:i/>
          <w:sz w:val="24"/>
          <w:szCs w:val="24"/>
        </w:rPr>
        <w:t>d</w:t>
      </w:r>
      <w:r w:rsidRPr="00C83929">
        <w:rPr>
          <w:rFonts w:ascii="Times New Roman" w:hAnsi="Times New Roman"/>
          <w:b w:val="0"/>
          <w:i/>
          <w:sz w:val="24"/>
          <w:szCs w:val="24"/>
        </w:rPr>
        <w:t>etermination No</w:t>
      </w:r>
      <w:r w:rsidR="00B06059" w:rsidRPr="00C83929">
        <w:rPr>
          <w:rFonts w:ascii="Times New Roman" w:hAnsi="Times New Roman"/>
          <w:b w:val="0"/>
          <w:i/>
          <w:sz w:val="24"/>
          <w:szCs w:val="24"/>
        </w:rPr>
        <w:t>.</w:t>
      </w:r>
      <w:r w:rsidRPr="00C83929">
        <w:rPr>
          <w:rFonts w:ascii="Times New Roman" w:hAnsi="Times New Roman"/>
          <w:b w:val="0"/>
          <w:i/>
          <w:sz w:val="24"/>
          <w:szCs w:val="24"/>
        </w:rPr>
        <w:t xml:space="preserve"> 2 of 2013</w:t>
      </w:r>
    </w:p>
    <w:p w:rsidR="00DB34BD" w:rsidRPr="00C83929" w:rsidRDefault="00DB34BD" w:rsidP="00DB34BD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The purpose of this instrument is to revoke GPS 310 and </w:t>
      </w:r>
      <w:r w:rsidR="00A51C3F" w:rsidRPr="00C83929">
        <w:rPr>
          <w:rFonts w:ascii="Times New Roman" w:hAnsi="Times New Roman"/>
          <w:b w:val="0"/>
          <w:sz w:val="24"/>
          <w:szCs w:val="24"/>
        </w:rPr>
        <w:t xml:space="preserve">determine a new 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GPS 310 that contains </w:t>
      </w:r>
      <w:r w:rsidR="00D86A47" w:rsidRPr="00C83929">
        <w:rPr>
          <w:rFonts w:ascii="Times New Roman" w:hAnsi="Times New Roman"/>
          <w:b w:val="0"/>
          <w:sz w:val="24"/>
          <w:szCs w:val="24"/>
        </w:rPr>
        <w:t>additional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information about the annual accounts of a Level 2 insurance group.</w:t>
      </w:r>
    </w:p>
    <w:p w:rsidR="00A51C3F" w:rsidRPr="00C83929" w:rsidRDefault="00A51C3F" w:rsidP="00DB34BD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GPS 310 sets out the roles and responsibilities of the Appointed Auditor and Group Auditor (Auditor), and the obligations of a general insurer or </w:t>
      </w:r>
      <w:r w:rsidR="00127ED8" w:rsidRPr="00C83929">
        <w:rPr>
          <w:rFonts w:ascii="Times New Roman" w:hAnsi="Times New Roman"/>
          <w:b w:val="0"/>
          <w:sz w:val="24"/>
          <w:szCs w:val="24"/>
        </w:rPr>
        <w:t xml:space="preserve">the parent entity of a 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Level 2 insurance group to ensure that the Auditor can undertake those roles and responsibilities. </w:t>
      </w:r>
      <w:r w:rsidR="002646CF" w:rsidRPr="00C83929">
        <w:rPr>
          <w:rFonts w:ascii="Times New Roman" w:hAnsi="Times New Roman"/>
          <w:b w:val="0"/>
          <w:sz w:val="24"/>
          <w:szCs w:val="24"/>
        </w:rPr>
        <w:t>Specific adjustments to the prudential standard for Level 2 insurance groups are set out in Attachment B of GPS 310.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27ED8" w:rsidRPr="00C83929" w:rsidRDefault="002646CF" w:rsidP="005C0A93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GPS 310 has been amended to exclude the information contained in </w:t>
      </w:r>
      <w:r w:rsidR="00F37D03" w:rsidRPr="00C83929">
        <w:rPr>
          <w:rFonts w:ascii="Times New Roman" w:hAnsi="Times New Roman"/>
          <w:b w:val="0"/>
          <w:i/>
          <w:sz w:val="24"/>
          <w:szCs w:val="24"/>
        </w:rPr>
        <w:t>Reporting Standard GRS 460.0_G Reinsurance Assets by Counterparty (Level 2 insurance group)</w:t>
      </w:r>
      <w:r w:rsidR="00F37D03" w:rsidRPr="00C83929">
        <w:rPr>
          <w:rFonts w:ascii="Times New Roman" w:hAnsi="Times New Roman"/>
          <w:b w:val="0"/>
          <w:sz w:val="24"/>
          <w:szCs w:val="24"/>
        </w:rPr>
        <w:t xml:space="preserve"> (GRS 460.0_G) and </w:t>
      </w:r>
      <w:r w:rsidR="00F37D03" w:rsidRPr="00C83929">
        <w:rPr>
          <w:rFonts w:ascii="Times New Roman" w:hAnsi="Times New Roman"/>
          <w:b w:val="0"/>
          <w:i/>
          <w:sz w:val="24"/>
          <w:szCs w:val="24"/>
        </w:rPr>
        <w:t>Reporting Standard GR</w:t>
      </w:r>
      <w:r w:rsidR="002047DF" w:rsidRPr="00C83929">
        <w:rPr>
          <w:rFonts w:ascii="Times New Roman" w:hAnsi="Times New Roman"/>
          <w:b w:val="0"/>
          <w:i/>
          <w:sz w:val="24"/>
          <w:szCs w:val="24"/>
        </w:rPr>
        <w:t>S</w:t>
      </w:r>
      <w:r w:rsidR="00F37D03" w:rsidRPr="00C83929">
        <w:rPr>
          <w:rFonts w:ascii="Times New Roman" w:hAnsi="Times New Roman"/>
          <w:b w:val="0"/>
          <w:i/>
          <w:sz w:val="24"/>
          <w:szCs w:val="24"/>
        </w:rPr>
        <w:t xml:space="preserve"> 460.1_G Exposure Analysis by Reinsurance Counterparty (Level 2 insurance group)</w:t>
      </w:r>
      <w:r w:rsidR="00F37D03" w:rsidRPr="00C83929">
        <w:rPr>
          <w:rFonts w:ascii="Times New Roman" w:hAnsi="Times New Roman"/>
          <w:b w:val="0"/>
          <w:sz w:val="24"/>
          <w:szCs w:val="24"/>
        </w:rPr>
        <w:t xml:space="preserve"> (GRS 460.1_G)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from the Group Auditor’s limited assurance review of the annual accounts of a Level 2 insurance group.</w:t>
      </w:r>
      <w:r w:rsidR="005C0A93" w:rsidRPr="00C83929">
        <w:rPr>
          <w:rFonts w:ascii="Times New Roman" w:hAnsi="Times New Roman"/>
          <w:b w:val="0"/>
          <w:sz w:val="24"/>
          <w:szCs w:val="24"/>
        </w:rPr>
        <w:t xml:space="preserve"> This amendment is because </w:t>
      </w:r>
      <w:r w:rsidR="00DB34BD" w:rsidRPr="00C83929">
        <w:rPr>
          <w:rFonts w:ascii="Times New Roman" w:hAnsi="Times New Roman"/>
          <w:b w:val="0"/>
          <w:sz w:val="24"/>
          <w:szCs w:val="24"/>
        </w:rPr>
        <w:t xml:space="preserve">APRA is of the view that </w:t>
      </w:r>
      <w:r w:rsidR="005C0A93" w:rsidRPr="00C83929">
        <w:rPr>
          <w:rFonts w:ascii="Times New Roman" w:hAnsi="Times New Roman"/>
          <w:b w:val="0"/>
          <w:sz w:val="24"/>
          <w:szCs w:val="24"/>
        </w:rPr>
        <w:t xml:space="preserve">the information collected under the abovementioned reporting standards </w:t>
      </w:r>
      <w:r w:rsidR="00DB34BD" w:rsidRPr="00C83929">
        <w:rPr>
          <w:rFonts w:ascii="Times New Roman" w:hAnsi="Times New Roman"/>
          <w:b w:val="0"/>
          <w:sz w:val="24"/>
          <w:szCs w:val="24"/>
        </w:rPr>
        <w:t xml:space="preserve">does not require </w:t>
      </w:r>
      <w:r w:rsidR="005C0A93" w:rsidRPr="00C83929">
        <w:rPr>
          <w:rFonts w:ascii="Times New Roman" w:hAnsi="Times New Roman"/>
          <w:b w:val="0"/>
          <w:sz w:val="24"/>
          <w:szCs w:val="24"/>
        </w:rPr>
        <w:t xml:space="preserve">regular </w:t>
      </w:r>
      <w:r w:rsidR="00DB34BD" w:rsidRPr="00C83929">
        <w:rPr>
          <w:rFonts w:ascii="Times New Roman" w:hAnsi="Times New Roman"/>
          <w:b w:val="0"/>
          <w:sz w:val="24"/>
          <w:szCs w:val="24"/>
        </w:rPr>
        <w:t xml:space="preserve">review by audit. </w:t>
      </w:r>
    </w:p>
    <w:p w:rsidR="00127ED8" w:rsidRPr="00C83929" w:rsidRDefault="00C40EFA" w:rsidP="00127ED8">
      <w:pPr>
        <w:rPr>
          <w:rFonts w:ascii="Times New Roman" w:hAnsi="Times New Roman"/>
          <w:i/>
          <w:sz w:val="24"/>
          <w:szCs w:val="24"/>
        </w:rPr>
      </w:pPr>
      <w:r w:rsidRPr="00C83929">
        <w:rPr>
          <w:rFonts w:ascii="Times New Roman" w:hAnsi="Times New Roman"/>
          <w:i/>
          <w:sz w:val="24"/>
          <w:szCs w:val="24"/>
        </w:rPr>
        <w:t xml:space="preserve">Insurance </w:t>
      </w:r>
      <w:r w:rsidR="006C6543" w:rsidRPr="00C83929">
        <w:rPr>
          <w:rFonts w:ascii="Times New Roman" w:hAnsi="Times New Roman"/>
          <w:i/>
          <w:sz w:val="24"/>
          <w:szCs w:val="24"/>
        </w:rPr>
        <w:t>(</w:t>
      </w:r>
      <w:r w:rsidRPr="00C83929">
        <w:rPr>
          <w:rFonts w:ascii="Times New Roman" w:hAnsi="Times New Roman"/>
          <w:i/>
          <w:sz w:val="24"/>
          <w:szCs w:val="24"/>
        </w:rPr>
        <w:t>exemption</w:t>
      </w:r>
      <w:r w:rsidR="006C6543" w:rsidRPr="00C83929">
        <w:rPr>
          <w:rFonts w:ascii="Times New Roman" w:hAnsi="Times New Roman"/>
          <w:i/>
          <w:sz w:val="24"/>
          <w:szCs w:val="24"/>
        </w:rPr>
        <w:t>)</w:t>
      </w:r>
      <w:r w:rsidRPr="00C83929">
        <w:rPr>
          <w:rFonts w:ascii="Times New Roman" w:hAnsi="Times New Roman"/>
          <w:i/>
          <w:sz w:val="24"/>
          <w:szCs w:val="24"/>
        </w:rPr>
        <w:t xml:space="preserve"> </w:t>
      </w:r>
      <w:r w:rsidR="00A853EC" w:rsidRPr="00C83929">
        <w:rPr>
          <w:rFonts w:ascii="Times New Roman" w:hAnsi="Times New Roman"/>
          <w:i/>
          <w:sz w:val="24"/>
          <w:szCs w:val="24"/>
        </w:rPr>
        <w:t xml:space="preserve">determination </w:t>
      </w:r>
      <w:r w:rsidRPr="00C83929">
        <w:rPr>
          <w:rFonts w:ascii="Times New Roman" w:hAnsi="Times New Roman"/>
          <w:i/>
          <w:sz w:val="24"/>
          <w:szCs w:val="24"/>
        </w:rPr>
        <w:t>No</w:t>
      </w:r>
      <w:r w:rsidR="00A853EC" w:rsidRPr="00C83929">
        <w:rPr>
          <w:rFonts w:ascii="Times New Roman" w:hAnsi="Times New Roman"/>
          <w:i/>
          <w:sz w:val="24"/>
          <w:szCs w:val="24"/>
        </w:rPr>
        <w:t>.</w:t>
      </w:r>
      <w:r w:rsidRPr="00C83929">
        <w:rPr>
          <w:rFonts w:ascii="Times New Roman" w:hAnsi="Times New Roman"/>
          <w:i/>
          <w:sz w:val="24"/>
          <w:szCs w:val="24"/>
        </w:rPr>
        <w:t xml:space="preserve"> 2</w:t>
      </w:r>
      <w:r w:rsidR="00A853EC" w:rsidRPr="00C83929">
        <w:rPr>
          <w:rFonts w:ascii="Times New Roman" w:hAnsi="Times New Roman"/>
          <w:i/>
          <w:sz w:val="24"/>
          <w:szCs w:val="24"/>
        </w:rPr>
        <w:t xml:space="preserve"> of 2013</w:t>
      </w:r>
    </w:p>
    <w:p w:rsidR="009543DA" w:rsidRPr="00C83929" w:rsidRDefault="00C40EFA" w:rsidP="00127ED8">
      <w:pPr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 xml:space="preserve"> </w:t>
      </w:r>
    </w:p>
    <w:p w:rsidR="00597181" w:rsidRPr="00C83929" w:rsidRDefault="00597181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The reporting standards determined by APRA on </w:t>
      </w:r>
      <w:r w:rsidR="007A7354" w:rsidRPr="00C83929">
        <w:rPr>
          <w:rFonts w:ascii="Times New Roman" w:hAnsi="Times New Roman"/>
          <w:b w:val="0"/>
          <w:sz w:val="24"/>
          <w:szCs w:val="24"/>
        </w:rPr>
        <w:t>13 December 2013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include reporting requirements to which APRA does not intend that auditing requirements under the Act would apply. These include: </w:t>
      </w:r>
      <w:r w:rsidRPr="00C83929">
        <w:rPr>
          <w:rFonts w:ascii="Times New Roman" w:hAnsi="Times New Roman"/>
          <w:b w:val="0"/>
          <w:i/>
          <w:sz w:val="24"/>
          <w:szCs w:val="24"/>
        </w:rPr>
        <w:t>Reporting Standard GRS 460.0 Reinsurance Assets by Counterparty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(GRS 460.0) and </w:t>
      </w:r>
      <w:r w:rsidRPr="00C83929">
        <w:rPr>
          <w:rFonts w:ascii="Times New Roman" w:hAnsi="Times New Roman"/>
          <w:b w:val="0"/>
          <w:i/>
          <w:sz w:val="24"/>
          <w:szCs w:val="24"/>
        </w:rPr>
        <w:t>Reporting Standard GR</w:t>
      </w:r>
      <w:r w:rsidR="001A7E06" w:rsidRPr="00C83929">
        <w:rPr>
          <w:rFonts w:ascii="Times New Roman" w:hAnsi="Times New Roman"/>
          <w:b w:val="0"/>
          <w:i/>
          <w:sz w:val="24"/>
          <w:szCs w:val="24"/>
        </w:rPr>
        <w:t>S</w:t>
      </w:r>
      <w:r w:rsidRPr="00C83929">
        <w:rPr>
          <w:rFonts w:ascii="Times New Roman" w:hAnsi="Times New Roman"/>
          <w:b w:val="0"/>
          <w:i/>
          <w:sz w:val="24"/>
          <w:szCs w:val="24"/>
        </w:rPr>
        <w:t xml:space="preserve"> 460.1 Exposure Analysis by Reinsurance Counterparty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(GRS 460.1).</w:t>
      </w:r>
    </w:p>
    <w:p w:rsidR="004501A9" w:rsidRPr="00C83929" w:rsidRDefault="004501A9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The purpose of this instrument is</w:t>
      </w:r>
      <w:r w:rsidR="00C40EFA" w:rsidRPr="00C83929">
        <w:rPr>
          <w:rFonts w:ascii="Times New Roman" w:hAnsi="Times New Roman"/>
          <w:b w:val="0"/>
          <w:sz w:val="24"/>
          <w:szCs w:val="24"/>
        </w:rPr>
        <w:t xml:space="preserve"> to</w:t>
      </w:r>
      <w:r w:rsidRPr="00C83929">
        <w:rPr>
          <w:rFonts w:ascii="Times New Roman" w:hAnsi="Times New Roman"/>
          <w:b w:val="0"/>
          <w:sz w:val="24"/>
          <w:szCs w:val="24"/>
        </w:rPr>
        <w:t>:</w:t>
      </w:r>
    </w:p>
    <w:p w:rsidR="004501A9" w:rsidRPr="00C83929" w:rsidRDefault="004501A9" w:rsidP="004501A9">
      <w:pPr>
        <w:pStyle w:val="Heading"/>
        <w:keepNext/>
        <w:numPr>
          <w:ilvl w:val="0"/>
          <w:numId w:val="7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exempt the Appointed Auditor from auditing the information required by GRS 460.0 and GRS 460.1; </w:t>
      </w:r>
    </w:p>
    <w:p w:rsidR="004501A9" w:rsidRPr="00C83929" w:rsidRDefault="004501A9" w:rsidP="00597181">
      <w:pPr>
        <w:pStyle w:val="Heading"/>
        <w:keepNext/>
        <w:numPr>
          <w:ilvl w:val="0"/>
          <w:numId w:val="7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exempt the general insurer from making arrangements for the auditing of the information required by GRS 460.0 and GRS 460.1;</w:t>
      </w:r>
    </w:p>
    <w:p w:rsidR="004501A9" w:rsidRPr="00C83929" w:rsidRDefault="004501A9" w:rsidP="004501A9">
      <w:pPr>
        <w:pStyle w:val="Heading"/>
        <w:keepNext/>
        <w:numPr>
          <w:ilvl w:val="0"/>
          <w:numId w:val="7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exempt the Appointed Auditor from giving a certificate in relation to the information required by GRS 460.0 and GRS 460.1; and </w:t>
      </w:r>
    </w:p>
    <w:p w:rsidR="004501A9" w:rsidRPr="00C83929" w:rsidRDefault="004501A9" w:rsidP="004501A9">
      <w:pPr>
        <w:pStyle w:val="Heading"/>
        <w:keepNext/>
        <w:numPr>
          <w:ilvl w:val="0"/>
          <w:numId w:val="7"/>
        </w:numPr>
        <w:spacing w:after="240"/>
        <w:ind w:left="567" w:hanging="567"/>
        <w:outlineLvl w:val="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exempt the general insurer from lodging a certificate</w:t>
      </w:r>
      <w:r w:rsidR="00887A7C" w:rsidRPr="00C83929">
        <w:rPr>
          <w:rFonts w:ascii="Times New Roman" w:hAnsi="Times New Roman"/>
          <w:b w:val="0"/>
          <w:sz w:val="24"/>
          <w:szCs w:val="24"/>
        </w:rPr>
        <w:t xml:space="preserve"> with APRA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in relation to the information required by GRS 460.0 and GRS 460.1.</w:t>
      </w:r>
    </w:p>
    <w:p w:rsidR="002F3532" w:rsidRPr="00C83929" w:rsidRDefault="002F3532" w:rsidP="00EF66E8">
      <w:pPr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The instrument will operate such that the</w:t>
      </w:r>
      <w:r w:rsidR="003C5AC7" w:rsidRPr="00C83929">
        <w:rPr>
          <w:rFonts w:ascii="Times New Roman" w:hAnsi="Times New Roman"/>
          <w:sz w:val="24"/>
          <w:szCs w:val="24"/>
        </w:rPr>
        <w:t xml:space="preserve"> inf</w:t>
      </w:r>
      <w:r w:rsidR="00DC3FE6" w:rsidRPr="00C83929">
        <w:rPr>
          <w:rFonts w:ascii="Times New Roman" w:hAnsi="Times New Roman"/>
          <w:sz w:val="24"/>
          <w:szCs w:val="24"/>
        </w:rPr>
        <w:t xml:space="preserve">ormation required by GRS 460.0 and </w:t>
      </w:r>
      <w:r w:rsidR="003C5AC7" w:rsidRPr="00C83929">
        <w:rPr>
          <w:rFonts w:ascii="Times New Roman" w:hAnsi="Times New Roman"/>
          <w:sz w:val="24"/>
          <w:szCs w:val="24"/>
        </w:rPr>
        <w:t>GRS 460.1</w:t>
      </w:r>
      <w:r w:rsidRPr="00C83929">
        <w:rPr>
          <w:rFonts w:ascii="Times New Roman" w:hAnsi="Times New Roman"/>
          <w:sz w:val="24"/>
          <w:szCs w:val="24"/>
        </w:rPr>
        <w:t xml:space="preserve"> will not be subject to audit review by the Appointed Auditor. </w:t>
      </w:r>
      <w:r w:rsidR="00EF66E8" w:rsidRPr="00C83929">
        <w:rPr>
          <w:rFonts w:ascii="Times New Roman" w:hAnsi="Times New Roman"/>
          <w:sz w:val="24"/>
          <w:szCs w:val="24"/>
        </w:rPr>
        <w:t xml:space="preserve">This </w:t>
      </w:r>
      <w:r w:rsidR="00EF66E8" w:rsidRPr="00C83929">
        <w:rPr>
          <w:rFonts w:ascii="Times New Roman" w:hAnsi="Times New Roman"/>
          <w:sz w:val="24"/>
          <w:szCs w:val="24"/>
        </w:rPr>
        <w:lastRenderedPageBreak/>
        <w:t xml:space="preserve">amendment is </w:t>
      </w:r>
      <w:r w:rsidR="001713A8" w:rsidRPr="00C83929">
        <w:rPr>
          <w:rFonts w:ascii="Times New Roman" w:hAnsi="Times New Roman"/>
          <w:sz w:val="24"/>
          <w:szCs w:val="24"/>
        </w:rPr>
        <w:t xml:space="preserve">being made </w:t>
      </w:r>
      <w:r w:rsidR="00EF66E8" w:rsidRPr="00C83929">
        <w:rPr>
          <w:rFonts w:ascii="Times New Roman" w:hAnsi="Times New Roman"/>
          <w:sz w:val="24"/>
          <w:szCs w:val="24"/>
        </w:rPr>
        <w:t>because APRA is of the view that the information collected under the abovementioned reporting standards does not require regular review by audit.</w:t>
      </w:r>
    </w:p>
    <w:p w:rsidR="0039673F" w:rsidRPr="00C83929" w:rsidRDefault="0039673F" w:rsidP="000B0D4B">
      <w:pPr>
        <w:pStyle w:val="Heading"/>
        <w:keepNext/>
        <w:spacing w:after="240"/>
        <w:outlineLvl w:val="0"/>
        <w:rPr>
          <w:rFonts w:ascii="Times New Roman" w:hAnsi="Times New Roman"/>
          <w:b w:val="0"/>
          <w:sz w:val="24"/>
          <w:szCs w:val="24"/>
        </w:rPr>
      </w:pPr>
    </w:p>
    <w:p w:rsidR="002436BD" w:rsidRPr="00C83929" w:rsidRDefault="002436BD" w:rsidP="00DF7DA0">
      <w:pPr>
        <w:pStyle w:val="Heading"/>
        <w:numPr>
          <w:ilvl w:val="0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bookmarkStart w:id="5" w:name="bkPurpose"/>
      <w:bookmarkStart w:id="6" w:name="bkoperation"/>
      <w:bookmarkStart w:id="7" w:name="bkConsultationNo"/>
      <w:bookmarkEnd w:id="5"/>
      <w:bookmarkEnd w:id="6"/>
      <w:bookmarkEnd w:id="7"/>
      <w:r w:rsidRPr="00C83929">
        <w:rPr>
          <w:rFonts w:ascii="Times New Roman" w:hAnsi="Times New Roman"/>
          <w:sz w:val="24"/>
          <w:szCs w:val="24"/>
        </w:rPr>
        <w:t>Consultation</w:t>
      </w:r>
    </w:p>
    <w:p w:rsidR="0011445A" w:rsidRPr="00C83929" w:rsidRDefault="0011445A" w:rsidP="0011445A">
      <w:pPr>
        <w:pStyle w:val="Heading"/>
        <w:tabs>
          <w:tab w:val="left" w:pos="360"/>
        </w:tabs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A summary of the public discussion and response papers released during the consultation period is as follows:</w:t>
      </w:r>
    </w:p>
    <w:p w:rsidR="0011445A" w:rsidRPr="00C83929" w:rsidRDefault="0011445A" w:rsidP="0011445A">
      <w:pPr>
        <w:pStyle w:val="Heading"/>
        <w:numPr>
          <w:ilvl w:val="0"/>
          <w:numId w:val="3"/>
        </w:numPr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June 2012: Discussion Paper 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‘</w:t>
      </w:r>
      <w:r w:rsidRPr="00C83929">
        <w:rPr>
          <w:rFonts w:ascii="Times New Roman" w:hAnsi="Times New Roman"/>
          <w:b w:val="0"/>
          <w:sz w:val="24"/>
          <w:szCs w:val="24"/>
        </w:rPr>
        <w:t>Review of capital standards for general insurers and life insurers – proposed revisions to reporting requirements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’</w:t>
      </w:r>
      <w:r w:rsidR="00DC0686" w:rsidRPr="00C83929">
        <w:rPr>
          <w:rFonts w:ascii="Times New Roman" w:hAnsi="Times New Roman"/>
          <w:b w:val="0"/>
          <w:sz w:val="24"/>
          <w:szCs w:val="24"/>
        </w:rPr>
        <w:t>, which included proposals to collect reinsurance counterparty data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11445A" w:rsidRPr="00C83929" w:rsidRDefault="0011445A" w:rsidP="0011445A">
      <w:pPr>
        <w:pStyle w:val="Heading"/>
        <w:numPr>
          <w:ilvl w:val="0"/>
          <w:numId w:val="3"/>
        </w:numPr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October 2012: Response Paper 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‘</w:t>
      </w:r>
      <w:r w:rsidRPr="00C83929">
        <w:rPr>
          <w:rFonts w:ascii="Times New Roman" w:hAnsi="Times New Roman"/>
          <w:b w:val="0"/>
          <w:sz w:val="24"/>
          <w:szCs w:val="24"/>
        </w:rPr>
        <w:t>Review of capital standards for general insurers and life insurers – reporting requirements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’</w:t>
      </w:r>
      <w:r w:rsidR="00DC0686" w:rsidRPr="00C83929">
        <w:rPr>
          <w:rFonts w:ascii="Times New Roman" w:hAnsi="Times New Roman"/>
          <w:b w:val="0"/>
          <w:sz w:val="24"/>
          <w:szCs w:val="24"/>
        </w:rPr>
        <w:t>, which included APRA’s decision to defer further consultation on the collection of reinsurance counterparty data until 2013</w:t>
      </w:r>
      <w:r w:rsidR="0019178B" w:rsidRPr="00C83929">
        <w:rPr>
          <w:rFonts w:ascii="Times New Roman" w:hAnsi="Times New Roman"/>
          <w:b w:val="0"/>
          <w:sz w:val="24"/>
          <w:szCs w:val="24"/>
        </w:rPr>
        <w:t>;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1445A" w:rsidRPr="00C83929" w:rsidRDefault="0011445A" w:rsidP="0011445A">
      <w:pPr>
        <w:pStyle w:val="Heading"/>
        <w:numPr>
          <w:ilvl w:val="0"/>
          <w:numId w:val="3"/>
        </w:numPr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June 2013: Discussion Paper 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‘</w:t>
      </w:r>
      <w:r w:rsidRPr="00C83929">
        <w:rPr>
          <w:rFonts w:ascii="Times New Roman" w:hAnsi="Times New Roman"/>
          <w:b w:val="0"/>
          <w:sz w:val="24"/>
          <w:szCs w:val="24"/>
        </w:rPr>
        <w:t>Reinsurance counterparty data collection for general insurers including draft reporting forms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’, including draft reporting forms and instructions; and</w:t>
      </w:r>
    </w:p>
    <w:p w:rsidR="0011445A" w:rsidRPr="00C83929" w:rsidRDefault="0011445A" w:rsidP="0011445A">
      <w:pPr>
        <w:pStyle w:val="Heading"/>
        <w:numPr>
          <w:ilvl w:val="0"/>
          <w:numId w:val="3"/>
        </w:numPr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December 2013: Response letter 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‘</w:t>
      </w:r>
      <w:r w:rsidRPr="00C83929">
        <w:rPr>
          <w:rFonts w:ascii="Times New Roman" w:hAnsi="Times New Roman"/>
          <w:b w:val="0"/>
          <w:sz w:val="24"/>
          <w:szCs w:val="24"/>
        </w:rPr>
        <w:t>Reinsurance counterparty data collection for general insurers and Level 2 insurance groups</w:t>
      </w:r>
      <w:r w:rsidR="0019178B" w:rsidRPr="00C83929">
        <w:rPr>
          <w:rFonts w:ascii="Times New Roman" w:hAnsi="Times New Roman"/>
          <w:b w:val="0"/>
          <w:sz w:val="24"/>
          <w:szCs w:val="24"/>
        </w:rPr>
        <w:t>’</w:t>
      </w:r>
      <w:r w:rsidRPr="00C8392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C83929">
        <w:rPr>
          <w:rFonts w:ascii="Times New Roman" w:hAnsi="Times New Roman"/>
          <w:b w:val="0"/>
          <w:sz w:val="24"/>
          <w:szCs w:val="24"/>
        </w:rPr>
        <w:t>including:</w:t>
      </w:r>
    </w:p>
    <w:p w:rsidR="0011445A" w:rsidRPr="00C83929" w:rsidRDefault="0019178B" w:rsidP="0011445A">
      <w:pPr>
        <w:pStyle w:val="Heading"/>
        <w:numPr>
          <w:ilvl w:val="1"/>
          <w:numId w:val="3"/>
        </w:numPr>
        <w:spacing w:after="240"/>
        <w:ind w:left="1134" w:hanging="567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f</w:t>
      </w:r>
      <w:r w:rsidR="0011445A" w:rsidRPr="00C83929">
        <w:rPr>
          <w:rFonts w:ascii="Times New Roman" w:hAnsi="Times New Roman"/>
          <w:b w:val="0"/>
          <w:sz w:val="24"/>
          <w:szCs w:val="24"/>
        </w:rPr>
        <w:t>inal versions of</w:t>
      </w:r>
      <w:r w:rsidR="00B16219" w:rsidRPr="00C83929">
        <w:rPr>
          <w:rFonts w:ascii="Times New Roman" w:hAnsi="Times New Roman"/>
          <w:b w:val="0"/>
          <w:sz w:val="24"/>
          <w:szCs w:val="24"/>
        </w:rPr>
        <w:t xml:space="preserve"> amended</w:t>
      </w:r>
      <w:r w:rsidR="0011445A" w:rsidRPr="00C83929">
        <w:rPr>
          <w:rFonts w:ascii="Times New Roman" w:hAnsi="Times New Roman"/>
          <w:b w:val="0"/>
          <w:sz w:val="24"/>
          <w:szCs w:val="24"/>
        </w:rPr>
        <w:t xml:space="preserve"> prudential standards</w:t>
      </w:r>
      <w:r w:rsidR="003F24B5" w:rsidRPr="00C83929">
        <w:rPr>
          <w:rFonts w:ascii="Times New Roman" w:hAnsi="Times New Roman"/>
          <w:b w:val="0"/>
          <w:sz w:val="24"/>
          <w:szCs w:val="24"/>
        </w:rPr>
        <w:t>;</w:t>
      </w:r>
      <w:r w:rsidR="00EF66E8" w:rsidRPr="00C83929">
        <w:rPr>
          <w:rFonts w:ascii="Times New Roman" w:hAnsi="Times New Roman"/>
          <w:b w:val="0"/>
          <w:sz w:val="24"/>
          <w:szCs w:val="24"/>
        </w:rPr>
        <w:t xml:space="preserve"> and</w:t>
      </w:r>
    </w:p>
    <w:p w:rsidR="00CF73F0" w:rsidRPr="00C83929" w:rsidRDefault="0019178B" w:rsidP="00EF66E8">
      <w:pPr>
        <w:pStyle w:val="Heading"/>
        <w:numPr>
          <w:ilvl w:val="1"/>
          <w:numId w:val="3"/>
        </w:numPr>
        <w:spacing w:after="240"/>
        <w:ind w:left="1134" w:hanging="567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f</w:t>
      </w:r>
      <w:r w:rsidR="0011445A" w:rsidRPr="00C83929">
        <w:rPr>
          <w:rFonts w:ascii="Times New Roman" w:hAnsi="Times New Roman"/>
          <w:b w:val="0"/>
          <w:sz w:val="24"/>
          <w:szCs w:val="24"/>
        </w:rPr>
        <w:t>inal versions of reporting standards with forms and instructions</w:t>
      </w:r>
      <w:r w:rsidR="00EF66E8" w:rsidRPr="00C83929">
        <w:rPr>
          <w:rFonts w:ascii="Times New Roman" w:hAnsi="Times New Roman"/>
          <w:b w:val="0"/>
          <w:sz w:val="24"/>
          <w:szCs w:val="24"/>
        </w:rPr>
        <w:t>.</w:t>
      </w:r>
    </w:p>
    <w:p w:rsidR="000B1D9D" w:rsidRPr="00C83929" w:rsidRDefault="000B1D9D" w:rsidP="00DF7DA0">
      <w:pPr>
        <w:pStyle w:val="Heading"/>
        <w:tabs>
          <w:tab w:val="left" w:pos="360"/>
        </w:tabs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APRA has considered both formal and informal feedback from industry throughout the consultation process. Submissions made by industry were broadly supportive of the changes. </w:t>
      </w:r>
      <w:r w:rsidR="0019178B" w:rsidRPr="00C83929">
        <w:rPr>
          <w:rFonts w:ascii="Times New Roman" w:hAnsi="Times New Roman"/>
          <w:b w:val="0"/>
          <w:sz w:val="24"/>
          <w:szCs w:val="24"/>
        </w:rPr>
        <w:t xml:space="preserve">Issues raised during consultation </w:t>
      </w:r>
      <w:r w:rsidR="00F36374" w:rsidRPr="00C83929">
        <w:rPr>
          <w:rFonts w:ascii="Times New Roman" w:hAnsi="Times New Roman"/>
          <w:b w:val="0"/>
          <w:sz w:val="24"/>
          <w:szCs w:val="24"/>
        </w:rPr>
        <w:t xml:space="preserve">have been addressed and </w:t>
      </w:r>
      <w:r w:rsidR="001713A8" w:rsidRPr="00C83929">
        <w:rPr>
          <w:rFonts w:ascii="Times New Roman" w:hAnsi="Times New Roman"/>
          <w:b w:val="0"/>
          <w:sz w:val="24"/>
          <w:szCs w:val="24"/>
        </w:rPr>
        <w:t xml:space="preserve">taken account of in </w:t>
      </w:r>
      <w:r w:rsidR="00F36374" w:rsidRPr="00C83929">
        <w:rPr>
          <w:rFonts w:ascii="Times New Roman" w:hAnsi="Times New Roman"/>
          <w:b w:val="0"/>
          <w:sz w:val="24"/>
          <w:szCs w:val="24"/>
        </w:rPr>
        <w:t>the prudential and reporting frameworks, where applicable.</w:t>
      </w:r>
    </w:p>
    <w:p w:rsidR="002436BD" w:rsidRPr="00C83929" w:rsidRDefault="00DF524E" w:rsidP="00DF7DA0">
      <w:pPr>
        <w:pStyle w:val="Heading"/>
        <w:tabs>
          <w:tab w:val="left" w:pos="360"/>
        </w:tabs>
        <w:spacing w:after="240"/>
        <w:rPr>
          <w:rFonts w:ascii="Times New Roman" w:hAnsi="Times New Roman"/>
          <w:sz w:val="24"/>
          <w:szCs w:val="24"/>
        </w:rPr>
      </w:pPr>
      <w:bookmarkStart w:id="8" w:name="bkConsultation"/>
      <w:bookmarkStart w:id="9" w:name="bkRISNO"/>
      <w:bookmarkStart w:id="10" w:name="bkRIS"/>
      <w:bookmarkEnd w:id="8"/>
      <w:bookmarkEnd w:id="9"/>
      <w:r w:rsidRPr="00C83929">
        <w:rPr>
          <w:rFonts w:ascii="Times New Roman" w:hAnsi="Times New Roman"/>
          <w:sz w:val="24"/>
          <w:szCs w:val="24"/>
        </w:rPr>
        <w:t>4</w:t>
      </w:r>
      <w:r w:rsidR="002436BD" w:rsidRPr="00C83929">
        <w:rPr>
          <w:rFonts w:ascii="Times New Roman" w:hAnsi="Times New Roman"/>
          <w:sz w:val="24"/>
          <w:szCs w:val="24"/>
        </w:rPr>
        <w:t xml:space="preserve">. </w:t>
      </w:r>
      <w:r w:rsidR="002436BD" w:rsidRPr="00C83929">
        <w:rPr>
          <w:rFonts w:ascii="Times New Roman" w:hAnsi="Times New Roman"/>
          <w:sz w:val="24"/>
          <w:szCs w:val="24"/>
        </w:rPr>
        <w:tab/>
        <w:t>Regulation Impact Statement</w:t>
      </w:r>
    </w:p>
    <w:bookmarkEnd w:id="10"/>
    <w:p w:rsidR="00885F41" w:rsidRPr="00C83929" w:rsidRDefault="00885F41" w:rsidP="00DF7DA0">
      <w:pPr>
        <w:pStyle w:val="Heading"/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>The Office of Best Practice Regulation has advised that a Regulation Impact Statement is not required for th</w:t>
      </w:r>
      <w:r w:rsidR="00EF66E8" w:rsidRPr="00C83929">
        <w:rPr>
          <w:rFonts w:ascii="Times New Roman" w:hAnsi="Times New Roman"/>
          <w:b w:val="0"/>
          <w:sz w:val="24"/>
          <w:szCs w:val="24"/>
        </w:rPr>
        <w:t>ese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legislative instrument</w:t>
      </w:r>
      <w:r w:rsidR="00EF66E8" w:rsidRPr="00C83929">
        <w:rPr>
          <w:rFonts w:ascii="Times New Roman" w:hAnsi="Times New Roman"/>
          <w:b w:val="0"/>
          <w:sz w:val="24"/>
          <w:szCs w:val="24"/>
        </w:rPr>
        <w:t>s</w:t>
      </w:r>
      <w:r w:rsidRPr="00C83929">
        <w:rPr>
          <w:rFonts w:ascii="Times New Roman" w:hAnsi="Times New Roman"/>
          <w:b w:val="0"/>
          <w:sz w:val="24"/>
          <w:szCs w:val="24"/>
        </w:rPr>
        <w:t>.</w:t>
      </w:r>
    </w:p>
    <w:p w:rsidR="002436BD" w:rsidRPr="00C83929" w:rsidRDefault="00DF524E" w:rsidP="00DF7DA0">
      <w:pPr>
        <w:pStyle w:val="Heading"/>
        <w:tabs>
          <w:tab w:val="left" w:pos="360"/>
        </w:tabs>
        <w:spacing w:after="240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5</w:t>
      </w:r>
      <w:r w:rsidR="002436BD" w:rsidRPr="00C83929">
        <w:rPr>
          <w:rFonts w:ascii="Times New Roman" w:hAnsi="Times New Roman"/>
          <w:sz w:val="24"/>
          <w:szCs w:val="24"/>
        </w:rPr>
        <w:t>.</w:t>
      </w:r>
      <w:r w:rsidR="002436BD" w:rsidRPr="00C83929">
        <w:rPr>
          <w:rFonts w:ascii="Times New Roman" w:hAnsi="Times New Roman"/>
          <w:sz w:val="24"/>
          <w:szCs w:val="24"/>
        </w:rPr>
        <w:tab/>
        <w:t>Statement of compatibility prepared in accordance with Part 3 of the Human Rights (Parliamentary Scrutiny) Act 2011</w:t>
      </w:r>
    </w:p>
    <w:p w:rsidR="002436BD" w:rsidRPr="00C83929" w:rsidRDefault="0030506B" w:rsidP="00DF7DA0">
      <w:pPr>
        <w:pStyle w:val="Heading"/>
        <w:spacing w:after="240"/>
        <w:rPr>
          <w:rFonts w:ascii="Times New Roman" w:hAnsi="Times New Roman"/>
          <w:b w:val="0"/>
          <w:sz w:val="24"/>
          <w:szCs w:val="24"/>
        </w:rPr>
      </w:pPr>
      <w:r w:rsidRPr="00C83929">
        <w:rPr>
          <w:rFonts w:ascii="Times New Roman" w:hAnsi="Times New Roman"/>
          <w:b w:val="0"/>
          <w:sz w:val="24"/>
          <w:szCs w:val="24"/>
        </w:rPr>
        <w:t xml:space="preserve">A Statement of compatibility prepared in accordance with Part 3 of the </w:t>
      </w:r>
      <w:r w:rsidRPr="00C83929">
        <w:rPr>
          <w:rFonts w:ascii="Times New Roman" w:hAnsi="Times New Roman"/>
          <w:b w:val="0"/>
          <w:i/>
          <w:sz w:val="24"/>
          <w:szCs w:val="24"/>
        </w:rPr>
        <w:t>Human Rights (Parliamentary Scrutiny) Act 2011</w:t>
      </w:r>
      <w:r w:rsidRPr="00C83929">
        <w:rPr>
          <w:rFonts w:ascii="Times New Roman" w:hAnsi="Times New Roman"/>
          <w:b w:val="0"/>
          <w:sz w:val="24"/>
          <w:szCs w:val="24"/>
        </w:rPr>
        <w:t xml:space="preserve"> is provided at Attachment A to this Explanatory Statement.</w:t>
      </w:r>
    </w:p>
    <w:p w:rsidR="00D95E1F" w:rsidRPr="00C83929" w:rsidRDefault="00EA6E05" w:rsidP="00C8392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The instruments do not engage any of the applicable rights or freedoms recognised or declared in the international instruments listed in section 3 of the Human Rights (Parliamentary Scrutiny) Act 2011. Accordingly, in APRA’s assessment, the instruments are compatible with human rights.</w:t>
      </w:r>
      <w:r w:rsidR="00D95E1F" w:rsidRPr="00C83929">
        <w:rPr>
          <w:rFonts w:ascii="Times New Roman" w:hAnsi="Times New Roman"/>
          <w:sz w:val="24"/>
          <w:szCs w:val="24"/>
        </w:rPr>
        <w:br w:type="page"/>
      </w:r>
    </w:p>
    <w:p w:rsidR="00D95E1F" w:rsidRPr="00C83929" w:rsidRDefault="00D95E1F" w:rsidP="00D95E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83929"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D95E1F" w:rsidRPr="00C83929" w:rsidRDefault="00D95E1F" w:rsidP="00D95E1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5E1F" w:rsidRPr="00C83929" w:rsidRDefault="00D95E1F" w:rsidP="00D95E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83929">
        <w:rPr>
          <w:rFonts w:ascii="Times New Roman" w:hAnsi="Times New Roman"/>
          <w:b/>
          <w:sz w:val="24"/>
          <w:szCs w:val="24"/>
        </w:rPr>
        <w:t>Statement of Compatibility with Human Rights</w:t>
      </w:r>
    </w:p>
    <w:p w:rsidR="00D95E1F" w:rsidRPr="00C83929" w:rsidRDefault="00D95E1F" w:rsidP="00D95E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95E1F" w:rsidRPr="00C83929" w:rsidRDefault="00D95E1F" w:rsidP="00D95E1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83929"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:rsidR="00D95E1F" w:rsidRPr="00C83929" w:rsidRDefault="00D95E1F" w:rsidP="00D95E1F">
      <w:pPr>
        <w:pStyle w:val="Title"/>
        <w:spacing w:before="0"/>
        <w:jc w:val="both"/>
        <w:rPr>
          <w:sz w:val="24"/>
          <w:szCs w:val="24"/>
        </w:rPr>
      </w:pPr>
    </w:p>
    <w:p w:rsidR="00D95E1F" w:rsidRPr="00C83929" w:rsidRDefault="00D95E1F" w:rsidP="00D95E1F">
      <w:pPr>
        <w:pStyle w:val="Heading"/>
        <w:spacing w:before="120"/>
        <w:jc w:val="center"/>
        <w:rPr>
          <w:rFonts w:ascii="Times New Roman" w:hAnsi="Times New Roman"/>
          <w:sz w:val="24"/>
          <w:szCs w:val="24"/>
        </w:rPr>
      </w:pPr>
      <w:r w:rsidRPr="00C83929">
        <w:rPr>
          <w:rFonts w:ascii="Times New Roman" w:hAnsi="Times New Roman"/>
          <w:sz w:val="24"/>
          <w:szCs w:val="24"/>
        </w:rPr>
        <w:t>Insurance (prudential standard) determinations Nos. 1 and 2 of 2013 and Insurance (exemption) determination No. 2 of 2013</w:t>
      </w:r>
    </w:p>
    <w:p w:rsidR="00D95E1F" w:rsidRPr="00C83929" w:rsidRDefault="00D95E1F" w:rsidP="00D95E1F">
      <w:pPr>
        <w:pStyle w:val="BodyText"/>
        <w:spacing w:after="0"/>
        <w:jc w:val="both"/>
        <w:rPr>
          <w:szCs w:val="24"/>
        </w:rPr>
      </w:pPr>
    </w:p>
    <w:p w:rsidR="00D95E1F" w:rsidRPr="00C83929" w:rsidRDefault="00D95E1F" w:rsidP="00D95E1F">
      <w:pPr>
        <w:pStyle w:val="BodyText"/>
        <w:spacing w:after="0"/>
        <w:jc w:val="both"/>
        <w:rPr>
          <w:i/>
          <w:szCs w:val="24"/>
        </w:rPr>
      </w:pPr>
      <w:r w:rsidRPr="00C83929">
        <w:rPr>
          <w:szCs w:val="24"/>
        </w:rPr>
        <w:t xml:space="preserve">These Legislative Instruments are compatible with the human rights and freedoms recognised or declared in the international instruments listed in section 3 of the </w:t>
      </w:r>
      <w:r w:rsidRPr="00C83929">
        <w:rPr>
          <w:i/>
          <w:szCs w:val="24"/>
        </w:rPr>
        <w:t>Human Rights (Parliamentary Scrutiny) Act 2011</w:t>
      </w:r>
      <w:r w:rsidRPr="00C83929">
        <w:rPr>
          <w:szCs w:val="24"/>
        </w:rPr>
        <w:t xml:space="preserve"> (HRPS Act)</w:t>
      </w:r>
      <w:r w:rsidRPr="00C83929">
        <w:rPr>
          <w:i/>
          <w:szCs w:val="24"/>
        </w:rPr>
        <w:t>.</w:t>
      </w:r>
    </w:p>
    <w:p w:rsidR="00D95E1F" w:rsidRPr="00C83929" w:rsidRDefault="00D95E1F" w:rsidP="00D95E1F">
      <w:pPr>
        <w:pStyle w:val="BodyText"/>
        <w:spacing w:after="0"/>
        <w:jc w:val="both"/>
        <w:rPr>
          <w:i/>
          <w:szCs w:val="24"/>
        </w:rPr>
      </w:pPr>
    </w:p>
    <w:p w:rsidR="00D95E1F" w:rsidRPr="00C83929" w:rsidRDefault="00D95E1F" w:rsidP="00D95E1F">
      <w:pPr>
        <w:pStyle w:val="BodyText"/>
        <w:spacing w:after="0"/>
        <w:jc w:val="both"/>
        <w:rPr>
          <w:b/>
          <w:szCs w:val="24"/>
        </w:rPr>
      </w:pPr>
      <w:r w:rsidRPr="00C83929">
        <w:rPr>
          <w:b/>
          <w:szCs w:val="24"/>
        </w:rPr>
        <w:t>Overview of the Legislative Instrument</w:t>
      </w:r>
    </w:p>
    <w:p w:rsidR="00D95E1F" w:rsidRPr="00C83929" w:rsidRDefault="00D95E1F" w:rsidP="00D95E1F">
      <w:pPr>
        <w:pStyle w:val="BodyText"/>
        <w:spacing w:after="0"/>
        <w:jc w:val="both"/>
        <w:rPr>
          <w:b/>
          <w:szCs w:val="24"/>
        </w:rPr>
      </w:pPr>
    </w:p>
    <w:p w:rsidR="005528B8" w:rsidRPr="00C83929" w:rsidRDefault="00D95E1F" w:rsidP="00D95E1F">
      <w:pPr>
        <w:pStyle w:val="BodyText"/>
        <w:spacing w:after="0"/>
        <w:jc w:val="both"/>
        <w:rPr>
          <w:szCs w:val="24"/>
        </w:rPr>
      </w:pPr>
      <w:r w:rsidRPr="00C83929">
        <w:rPr>
          <w:szCs w:val="24"/>
        </w:rPr>
        <w:t>These Legislative Instruments</w:t>
      </w:r>
      <w:r w:rsidR="005528B8" w:rsidRPr="00C83929">
        <w:rPr>
          <w:szCs w:val="24"/>
        </w:rPr>
        <w:t>:</w:t>
      </w:r>
    </w:p>
    <w:p w:rsidR="005528B8" w:rsidRPr="00C83929" w:rsidRDefault="005528B8" w:rsidP="00D95E1F">
      <w:pPr>
        <w:pStyle w:val="BodyText"/>
        <w:spacing w:after="0"/>
        <w:jc w:val="both"/>
        <w:rPr>
          <w:szCs w:val="24"/>
        </w:rPr>
      </w:pPr>
    </w:p>
    <w:p w:rsidR="005528B8" w:rsidRPr="00C83929" w:rsidRDefault="005528B8" w:rsidP="005528B8">
      <w:pPr>
        <w:pStyle w:val="BodyText"/>
        <w:numPr>
          <w:ilvl w:val="0"/>
          <w:numId w:val="11"/>
        </w:numPr>
        <w:spacing w:after="0"/>
        <w:ind w:left="567" w:hanging="567"/>
        <w:jc w:val="both"/>
        <w:rPr>
          <w:szCs w:val="24"/>
        </w:rPr>
      </w:pPr>
      <w:r w:rsidRPr="00C83929">
        <w:rPr>
          <w:szCs w:val="24"/>
        </w:rPr>
        <w:t>amend the information required to be submitted to APRA by insurers in the Reinsurance Arrangements Statement;</w:t>
      </w:r>
    </w:p>
    <w:p w:rsidR="005528B8" w:rsidRPr="00C83929" w:rsidRDefault="005528B8" w:rsidP="005528B8">
      <w:pPr>
        <w:pStyle w:val="BodyText"/>
        <w:numPr>
          <w:ilvl w:val="0"/>
          <w:numId w:val="11"/>
        </w:numPr>
        <w:spacing w:after="0"/>
        <w:ind w:left="567" w:hanging="567"/>
        <w:jc w:val="both"/>
        <w:rPr>
          <w:szCs w:val="24"/>
        </w:rPr>
      </w:pPr>
      <w:r w:rsidRPr="00C83929">
        <w:rPr>
          <w:szCs w:val="24"/>
        </w:rPr>
        <w:t xml:space="preserve">exclude two reporting standards for Level 2 insurance groups that were made under the </w:t>
      </w:r>
      <w:r w:rsidRPr="00C83929">
        <w:rPr>
          <w:i/>
          <w:szCs w:val="24"/>
        </w:rPr>
        <w:t xml:space="preserve">Financial Sector (Collection of Data) Act 2001 </w:t>
      </w:r>
      <w:r w:rsidRPr="00C83929">
        <w:rPr>
          <w:szCs w:val="24"/>
        </w:rPr>
        <w:t>from the scope of the limited assurance review of the annual accounts that is required to be completed by the Group Auditor of a Level 2 insurance group; and</w:t>
      </w:r>
    </w:p>
    <w:p w:rsidR="00D95E1F" w:rsidRPr="00C83929" w:rsidRDefault="005528B8" w:rsidP="005528B8">
      <w:pPr>
        <w:pStyle w:val="BodyText"/>
        <w:numPr>
          <w:ilvl w:val="0"/>
          <w:numId w:val="11"/>
        </w:numPr>
        <w:spacing w:after="0"/>
        <w:ind w:left="567" w:hanging="567"/>
        <w:jc w:val="both"/>
        <w:rPr>
          <w:szCs w:val="24"/>
        </w:rPr>
      </w:pPr>
      <w:r w:rsidRPr="00C83929">
        <w:rPr>
          <w:szCs w:val="24"/>
        </w:rPr>
        <w:t>exclude two</w:t>
      </w:r>
      <w:r w:rsidR="00D95E1F" w:rsidRPr="00C83929">
        <w:rPr>
          <w:szCs w:val="24"/>
        </w:rPr>
        <w:t xml:space="preserve"> reporting standards for general insurers that were made under the </w:t>
      </w:r>
      <w:r w:rsidR="00D95E1F" w:rsidRPr="00C83929">
        <w:rPr>
          <w:i/>
          <w:szCs w:val="24"/>
        </w:rPr>
        <w:t xml:space="preserve">Financial Sector (Collection of Data) Act 2001 </w:t>
      </w:r>
      <w:r w:rsidR="00D95E1F" w:rsidRPr="00C83929">
        <w:rPr>
          <w:szCs w:val="24"/>
        </w:rPr>
        <w:t xml:space="preserve">from the scope of the review of the yearly statutory accounts that is required to be completed by the Appointed Auditor of a general insurer. </w:t>
      </w:r>
    </w:p>
    <w:p w:rsidR="00D95E1F" w:rsidRPr="00C83929" w:rsidRDefault="00D95E1F" w:rsidP="00D95E1F">
      <w:pPr>
        <w:pStyle w:val="BodyText"/>
        <w:spacing w:after="0"/>
        <w:jc w:val="both"/>
        <w:rPr>
          <w:szCs w:val="24"/>
        </w:rPr>
      </w:pPr>
    </w:p>
    <w:p w:rsidR="00D95E1F" w:rsidRPr="00C83929" w:rsidRDefault="00D95E1F" w:rsidP="00D95E1F">
      <w:pPr>
        <w:pStyle w:val="BodyText"/>
        <w:jc w:val="both"/>
        <w:rPr>
          <w:b/>
        </w:rPr>
      </w:pPr>
      <w:r w:rsidRPr="00C83929">
        <w:rPr>
          <w:b/>
        </w:rPr>
        <w:t>Human rights implications</w:t>
      </w:r>
    </w:p>
    <w:p w:rsidR="00D95E1F" w:rsidRPr="00C83929" w:rsidRDefault="00D95E1F" w:rsidP="00D95E1F">
      <w:pPr>
        <w:autoSpaceDE w:val="0"/>
        <w:autoSpaceDN w:val="0"/>
        <w:adjustRightInd w:val="0"/>
        <w:jc w:val="both"/>
      </w:pPr>
      <w:r w:rsidRPr="00C83929">
        <w:rPr>
          <w:rFonts w:ascii="Times New Roman" w:eastAsia="Calibri" w:hAnsi="Times New Roman"/>
          <w:sz w:val="24"/>
          <w:szCs w:val="24"/>
        </w:rPr>
        <w:t>APRA has assessed these Legislative Instruments and is of the view that they</w:t>
      </w:r>
      <w:r w:rsidR="00D86A47" w:rsidRPr="00C83929">
        <w:rPr>
          <w:rFonts w:ascii="Times New Roman" w:eastAsia="Calibri" w:hAnsi="Times New Roman"/>
          <w:sz w:val="24"/>
          <w:szCs w:val="24"/>
        </w:rPr>
        <w:t xml:space="preserve"> do</w:t>
      </w:r>
      <w:r w:rsidRPr="00C83929">
        <w:rPr>
          <w:rFonts w:ascii="Times New Roman" w:eastAsia="Calibri" w:hAnsi="Times New Roman"/>
          <w:sz w:val="24"/>
          <w:szCs w:val="24"/>
        </w:rPr>
        <w:t xml:space="preserve"> not engage any of the applicable rights or freedoms recognised or declared in the international instruments listed in section 3 of the HRPS Act. Accordingly, in APRA’s assessment, the instruments are compatible with human rights.</w:t>
      </w:r>
    </w:p>
    <w:p w:rsidR="00D95E1F" w:rsidRPr="00C83929" w:rsidRDefault="00D95E1F" w:rsidP="00D95E1F">
      <w:pPr>
        <w:pStyle w:val="BodyText"/>
        <w:spacing w:after="0"/>
        <w:jc w:val="both"/>
      </w:pPr>
    </w:p>
    <w:p w:rsidR="00D95E1F" w:rsidRPr="00C83929" w:rsidRDefault="00D95E1F" w:rsidP="00D95E1F">
      <w:pPr>
        <w:pStyle w:val="BodyText"/>
        <w:jc w:val="both"/>
        <w:rPr>
          <w:b/>
        </w:rPr>
      </w:pPr>
      <w:r w:rsidRPr="00C83929">
        <w:rPr>
          <w:b/>
        </w:rPr>
        <w:t>Conclusion</w:t>
      </w:r>
    </w:p>
    <w:p w:rsidR="00D95E1F" w:rsidRPr="00740541" w:rsidRDefault="00D95E1F" w:rsidP="00D95E1F">
      <w:pPr>
        <w:pStyle w:val="BodyText"/>
        <w:jc w:val="both"/>
        <w:rPr>
          <w:szCs w:val="24"/>
        </w:rPr>
      </w:pPr>
      <w:r w:rsidRPr="00C83929">
        <w:t>These Legislative Instruments are compatible with human rights because they do not raise any human rights issues.</w:t>
      </w:r>
    </w:p>
    <w:p w:rsidR="00D95E1F" w:rsidRPr="00EA6E05" w:rsidRDefault="00D95E1F" w:rsidP="00DF7DA0">
      <w:pPr>
        <w:spacing w:after="240"/>
        <w:rPr>
          <w:rFonts w:ascii="Times New Roman" w:hAnsi="Times New Roman"/>
          <w:sz w:val="24"/>
          <w:szCs w:val="24"/>
        </w:rPr>
      </w:pPr>
    </w:p>
    <w:sectPr w:rsidR="00D95E1F" w:rsidRPr="00EA6E05" w:rsidSect="003D5032">
      <w:footerReference w:type="default" r:id="rId9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28" w:rsidRDefault="00C33128" w:rsidP="00DF7DA0">
      <w:r>
        <w:separator/>
      </w:r>
    </w:p>
  </w:endnote>
  <w:endnote w:type="continuationSeparator" w:id="0">
    <w:p w:rsidR="00C33128" w:rsidRDefault="00C33128" w:rsidP="00DF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7DA0" w:rsidRPr="00DF7DA0" w:rsidRDefault="00DF7DA0" w:rsidP="00DF7DA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F7DA0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DF7DA0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DF7DA0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C23E2B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DF7DA0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DF7DA0" w:rsidRDefault="00DF7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28" w:rsidRDefault="00C33128" w:rsidP="00DF7DA0">
      <w:r>
        <w:separator/>
      </w:r>
    </w:p>
  </w:footnote>
  <w:footnote w:type="continuationSeparator" w:id="0">
    <w:p w:rsidR="00C33128" w:rsidRDefault="00C33128" w:rsidP="00DF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249"/>
    <w:multiLevelType w:val="hybridMultilevel"/>
    <w:tmpl w:val="989038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137E0"/>
    <w:multiLevelType w:val="hybridMultilevel"/>
    <w:tmpl w:val="7C74E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3914"/>
    <w:multiLevelType w:val="hybridMultilevel"/>
    <w:tmpl w:val="F5C074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83D"/>
    <w:multiLevelType w:val="hybridMultilevel"/>
    <w:tmpl w:val="579EB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5231C"/>
    <w:multiLevelType w:val="hybridMultilevel"/>
    <w:tmpl w:val="5FF4A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677E"/>
    <w:multiLevelType w:val="hybridMultilevel"/>
    <w:tmpl w:val="2700A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35E"/>
    <w:multiLevelType w:val="hybridMultilevel"/>
    <w:tmpl w:val="025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C6E49"/>
    <w:multiLevelType w:val="hybridMultilevel"/>
    <w:tmpl w:val="F70A06DA"/>
    <w:lvl w:ilvl="0" w:tplc="771E19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F640B"/>
    <w:multiLevelType w:val="hybridMultilevel"/>
    <w:tmpl w:val="9990CC8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2F1E"/>
    <w:multiLevelType w:val="hybridMultilevel"/>
    <w:tmpl w:val="A9825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A3D61"/>
    <w:multiLevelType w:val="hybridMultilevel"/>
    <w:tmpl w:val="0120A238"/>
    <w:lvl w:ilvl="0" w:tplc="7DCEE3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28"/>
    <w:rsid w:val="00003D3A"/>
    <w:rsid w:val="00017548"/>
    <w:rsid w:val="000401FC"/>
    <w:rsid w:val="00061C91"/>
    <w:rsid w:val="0006584A"/>
    <w:rsid w:val="000B0D4B"/>
    <w:rsid w:val="000B1D9D"/>
    <w:rsid w:val="000C024A"/>
    <w:rsid w:val="000D184D"/>
    <w:rsid w:val="000E369C"/>
    <w:rsid w:val="000E667F"/>
    <w:rsid w:val="0011445A"/>
    <w:rsid w:val="00120AE0"/>
    <w:rsid w:val="00127ED8"/>
    <w:rsid w:val="00132B51"/>
    <w:rsid w:val="001418C1"/>
    <w:rsid w:val="00155C61"/>
    <w:rsid w:val="00160270"/>
    <w:rsid w:val="0016350D"/>
    <w:rsid w:val="001713A8"/>
    <w:rsid w:val="00173181"/>
    <w:rsid w:val="00182FA1"/>
    <w:rsid w:val="0018497E"/>
    <w:rsid w:val="0019178B"/>
    <w:rsid w:val="00192052"/>
    <w:rsid w:val="001A7E06"/>
    <w:rsid w:val="002047DF"/>
    <w:rsid w:val="002436BD"/>
    <w:rsid w:val="00246723"/>
    <w:rsid w:val="002646CF"/>
    <w:rsid w:val="00282DCA"/>
    <w:rsid w:val="002A73BD"/>
    <w:rsid w:val="002B62EE"/>
    <w:rsid w:val="002C102F"/>
    <w:rsid w:val="002C5178"/>
    <w:rsid w:val="002C7C5D"/>
    <w:rsid w:val="002F3532"/>
    <w:rsid w:val="003031CF"/>
    <w:rsid w:val="0030506B"/>
    <w:rsid w:val="00324F02"/>
    <w:rsid w:val="00330596"/>
    <w:rsid w:val="0035173B"/>
    <w:rsid w:val="00354CB8"/>
    <w:rsid w:val="003866AD"/>
    <w:rsid w:val="00395194"/>
    <w:rsid w:val="0039673F"/>
    <w:rsid w:val="003B762D"/>
    <w:rsid w:val="003C5AC7"/>
    <w:rsid w:val="003D5032"/>
    <w:rsid w:val="003F24B5"/>
    <w:rsid w:val="003F437F"/>
    <w:rsid w:val="0040175E"/>
    <w:rsid w:val="00405551"/>
    <w:rsid w:val="00422164"/>
    <w:rsid w:val="0043371D"/>
    <w:rsid w:val="00443A02"/>
    <w:rsid w:val="004501A9"/>
    <w:rsid w:val="00451575"/>
    <w:rsid w:val="00457C57"/>
    <w:rsid w:val="00470375"/>
    <w:rsid w:val="004722EA"/>
    <w:rsid w:val="0047638B"/>
    <w:rsid w:val="0049519F"/>
    <w:rsid w:val="004B5C07"/>
    <w:rsid w:val="004C211C"/>
    <w:rsid w:val="004C3D07"/>
    <w:rsid w:val="004D2945"/>
    <w:rsid w:val="004D42E0"/>
    <w:rsid w:val="004E2008"/>
    <w:rsid w:val="004E5924"/>
    <w:rsid w:val="004F3227"/>
    <w:rsid w:val="004F5FB8"/>
    <w:rsid w:val="00503664"/>
    <w:rsid w:val="005324EC"/>
    <w:rsid w:val="00535064"/>
    <w:rsid w:val="005528B8"/>
    <w:rsid w:val="0056141D"/>
    <w:rsid w:val="00567034"/>
    <w:rsid w:val="005921E0"/>
    <w:rsid w:val="00597181"/>
    <w:rsid w:val="005B1688"/>
    <w:rsid w:val="005C0A93"/>
    <w:rsid w:val="005C4AB7"/>
    <w:rsid w:val="005C516E"/>
    <w:rsid w:val="005E5910"/>
    <w:rsid w:val="00613CBF"/>
    <w:rsid w:val="00616A26"/>
    <w:rsid w:val="00622480"/>
    <w:rsid w:val="006252F7"/>
    <w:rsid w:val="00641D00"/>
    <w:rsid w:val="00647D58"/>
    <w:rsid w:val="006519A6"/>
    <w:rsid w:val="00657678"/>
    <w:rsid w:val="006756A3"/>
    <w:rsid w:val="00682865"/>
    <w:rsid w:val="006831C8"/>
    <w:rsid w:val="00684F73"/>
    <w:rsid w:val="006A3E56"/>
    <w:rsid w:val="006B093F"/>
    <w:rsid w:val="006B20CD"/>
    <w:rsid w:val="006C6543"/>
    <w:rsid w:val="006C7A2F"/>
    <w:rsid w:val="007031F4"/>
    <w:rsid w:val="007049CF"/>
    <w:rsid w:val="007100C5"/>
    <w:rsid w:val="0071672D"/>
    <w:rsid w:val="007368AD"/>
    <w:rsid w:val="007428D4"/>
    <w:rsid w:val="00747AFF"/>
    <w:rsid w:val="00785CDC"/>
    <w:rsid w:val="007A7354"/>
    <w:rsid w:val="007D3887"/>
    <w:rsid w:val="007E1141"/>
    <w:rsid w:val="007E4B2A"/>
    <w:rsid w:val="008123DE"/>
    <w:rsid w:val="00815B56"/>
    <w:rsid w:val="00817187"/>
    <w:rsid w:val="00821144"/>
    <w:rsid w:val="0082228F"/>
    <w:rsid w:val="00830F66"/>
    <w:rsid w:val="00831608"/>
    <w:rsid w:val="008751B9"/>
    <w:rsid w:val="008811AA"/>
    <w:rsid w:val="00885F41"/>
    <w:rsid w:val="00887A7C"/>
    <w:rsid w:val="008B0CC9"/>
    <w:rsid w:val="008B76BA"/>
    <w:rsid w:val="008C0C2E"/>
    <w:rsid w:val="008C4B51"/>
    <w:rsid w:val="008F26D5"/>
    <w:rsid w:val="009049E7"/>
    <w:rsid w:val="00912BA4"/>
    <w:rsid w:val="00915869"/>
    <w:rsid w:val="00932EFA"/>
    <w:rsid w:val="00945268"/>
    <w:rsid w:val="009543DA"/>
    <w:rsid w:val="009669EA"/>
    <w:rsid w:val="00967D16"/>
    <w:rsid w:val="00982B09"/>
    <w:rsid w:val="009927BF"/>
    <w:rsid w:val="00996A81"/>
    <w:rsid w:val="009A2C39"/>
    <w:rsid w:val="009A5E34"/>
    <w:rsid w:val="009A62F7"/>
    <w:rsid w:val="009B723F"/>
    <w:rsid w:val="009C1DC7"/>
    <w:rsid w:val="009C3488"/>
    <w:rsid w:val="009C5368"/>
    <w:rsid w:val="009D173C"/>
    <w:rsid w:val="009D40EA"/>
    <w:rsid w:val="009E1DD1"/>
    <w:rsid w:val="009E39A6"/>
    <w:rsid w:val="009F1E05"/>
    <w:rsid w:val="009F60B3"/>
    <w:rsid w:val="00A03649"/>
    <w:rsid w:val="00A24796"/>
    <w:rsid w:val="00A279AF"/>
    <w:rsid w:val="00A33AF9"/>
    <w:rsid w:val="00A349D4"/>
    <w:rsid w:val="00A4133B"/>
    <w:rsid w:val="00A502AC"/>
    <w:rsid w:val="00A5056E"/>
    <w:rsid w:val="00A51C3F"/>
    <w:rsid w:val="00A573C7"/>
    <w:rsid w:val="00A6325C"/>
    <w:rsid w:val="00A63A2B"/>
    <w:rsid w:val="00A853EC"/>
    <w:rsid w:val="00A94110"/>
    <w:rsid w:val="00AC2517"/>
    <w:rsid w:val="00AC7A56"/>
    <w:rsid w:val="00B0162C"/>
    <w:rsid w:val="00B03B49"/>
    <w:rsid w:val="00B04B20"/>
    <w:rsid w:val="00B06059"/>
    <w:rsid w:val="00B16219"/>
    <w:rsid w:val="00B2302B"/>
    <w:rsid w:val="00B50A65"/>
    <w:rsid w:val="00B52011"/>
    <w:rsid w:val="00B531A1"/>
    <w:rsid w:val="00B64537"/>
    <w:rsid w:val="00B64B2E"/>
    <w:rsid w:val="00B67E7E"/>
    <w:rsid w:val="00B72EDA"/>
    <w:rsid w:val="00B85B6E"/>
    <w:rsid w:val="00BA28BC"/>
    <w:rsid w:val="00BB1678"/>
    <w:rsid w:val="00BC35C5"/>
    <w:rsid w:val="00BC5684"/>
    <w:rsid w:val="00BD3326"/>
    <w:rsid w:val="00BF2953"/>
    <w:rsid w:val="00C10D87"/>
    <w:rsid w:val="00C23E2B"/>
    <w:rsid w:val="00C302FA"/>
    <w:rsid w:val="00C33128"/>
    <w:rsid w:val="00C40EFA"/>
    <w:rsid w:val="00C56CB7"/>
    <w:rsid w:val="00C57366"/>
    <w:rsid w:val="00C62669"/>
    <w:rsid w:val="00C74A2D"/>
    <w:rsid w:val="00C83929"/>
    <w:rsid w:val="00C91481"/>
    <w:rsid w:val="00C948AA"/>
    <w:rsid w:val="00C95987"/>
    <w:rsid w:val="00CA2565"/>
    <w:rsid w:val="00CA6CB3"/>
    <w:rsid w:val="00CB1468"/>
    <w:rsid w:val="00CB384A"/>
    <w:rsid w:val="00CD1947"/>
    <w:rsid w:val="00CE0730"/>
    <w:rsid w:val="00CE1BB4"/>
    <w:rsid w:val="00CE6785"/>
    <w:rsid w:val="00CF73F0"/>
    <w:rsid w:val="00CF7F3D"/>
    <w:rsid w:val="00D17ABC"/>
    <w:rsid w:val="00D209A9"/>
    <w:rsid w:val="00D23FD5"/>
    <w:rsid w:val="00D52459"/>
    <w:rsid w:val="00D64906"/>
    <w:rsid w:val="00D80A6C"/>
    <w:rsid w:val="00D81CC2"/>
    <w:rsid w:val="00D86A47"/>
    <w:rsid w:val="00D87E36"/>
    <w:rsid w:val="00D95E1F"/>
    <w:rsid w:val="00DA000E"/>
    <w:rsid w:val="00DA2509"/>
    <w:rsid w:val="00DB225B"/>
    <w:rsid w:val="00DB34BD"/>
    <w:rsid w:val="00DC0686"/>
    <w:rsid w:val="00DC3FE6"/>
    <w:rsid w:val="00DF524E"/>
    <w:rsid w:val="00DF7DA0"/>
    <w:rsid w:val="00E03A4C"/>
    <w:rsid w:val="00E13436"/>
    <w:rsid w:val="00E15497"/>
    <w:rsid w:val="00E16789"/>
    <w:rsid w:val="00E201A8"/>
    <w:rsid w:val="00E27C77"/>
    <w:rsid w:val="00E27DAC"/>
    <w:rsid w:val="00E52DFE"/>
    <w:rsid w:val="00E539FA"/>
    <w:rsid w:val="00E758B5"/>
    <w:rsid w:val="00E8586C"/>
    <w:rsid w:val="00E90C89"/>
    <w:rsid w:val="00E91D27"/>
    <w:rsid w:val="00E94003"/>
    <w:rsid w:val="00EA6E05"/>
    <w:rsid w:val="00EB7121"/>
    <w:rsid w:val="00EB728F"/>
    <w:rsid w:val="00EC5653"/>
    <w:rsid w:val="00EE0947"/>
    <w:rsid w:val="00EF1CBC"/>
    <w:rsid w:val="00EF3F26"/>
    <w:rsid w:val="00EF66E8"/>
    <w:rsid w:val="00F04D53"/>
    <w:rsid w:val="00F30C81"/>
    <w:rsid w:val="00F35AE4"/>
    <w:rsid w:val="00F36374"/>
    <w:rsid w:val="00F37D03"/>
    <w:rsid w:val="00F436BC"/>
    <w:rsid w:val="00F712B3"/>
    <w:rsid w:val="00F7706D"/>
    <w:rsid w:val="00F87556"/>
    <w:rsid w:val="00F96BB7"/>
    <w:rsid w:val="00FA3CC5"/>
    <w:rsid w:val="00FA5345"/>
    <w:rsid w:val="00FA77D1"/>
    <w:rsid w:val="00FC154F"/>
    <w:rsid w:val="00FC4794"/>
    <w:rsid w:val="00FD5004"/>
    <w:rsid w:val="00FE5C84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BD"/>
    <w:rPr>
      <w:rFonts w:ascii="Trebuchet MS" w:eastAsia="Times New Roman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bCs/>
      <w:i/>
      <w:color w:val="000000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iCs/>
      <w:color w:val="0C257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sz w:val="20"/>
    </w:rPr>
  </w:style>
  <w:style w:type="paragraph" w:customStyle="1" w:styleId="Heading">
    <w:name w:val="Heading"/>
    <w:basedOn w:val="Normal"/>
    <w:rsid w:val="002436BD"/>
    <w:pPr>
      <w:jc w:val="both"/>
    </w:pPr>
    <w:rPr>
      <w:b/>
      <w:sz w:val="26"/>
      <w:szCs w:val="22"/>
    </w:rPr>
  </w:style>
  <w:style w:type="character" w:styleId="Hyperlink">
    <w:name w:val="Hyperlink"/>
    <w:uiPriority w:val="99"/>
    <w:unhideWhenUsed/>
    <w:rsid w:val="00243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6BD"/>
    <w:pPr>
      <w:ind w:left="720"/>
    </w:pPr>
  </w:style>
  <w:style w:type="character" w:styleId="CommentReference">
    <w:name w:val="annotation reference"/>
    <w:uiPriority w:val="99"/>
    <w:semiHidden/>
    <w:unhideWhenUsed/>
    <w:rsid w:val="00243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6BD"/>
    <w:rPr>
      <w:sz w:val="20"/>
    </w:rPr>
  </w:style>
  <w:style w:type="character" w:customStyle="1" w:styleId="CommentTextChar">
    <w:name w:val="Comment Text Char"/>
    <w:link w:val="CommentText"/>
    <w:uiPriority w:val="99"/>
    <w:rsid w:val="002436BD"/>
    <w:rPr>
      <w:rFonts w:ascii="Trebuchet MS" w:eastAsia="Times New Roman" w:hAnsi="Trebuchet M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4B2E"/>
    <w:rPr>
      <w:rFonts w:ascii="Trebuchet MS" w:eastAsia="Times New Roman" w:hAnsi="Trebuchet MS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7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A0"/>
    <w:rPr>
      <w:rFonts w:ascii="Trebuchet MS" w:eastAsia="Times New Roman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DF7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A0"/>
    <w:rPr>
      <w:rFonts w:ascii="Trebuchet MS" w:eastAsia="Times New Roman" w:hAnsi="Trebuchet MS"/>
      <w:sz w:val="22"/>
    </w:rPr>
  </w:style>
  <w:style w:type="paragraph" w:styleId="Title">
    <w:name w:val="Title"/>
    <w:basedOn w:val="Normal"/>
    <w:link w:val="TitleChar"/>
    <w:qFormat/>
    <w:rsid w:val="00D95E1F"/>
    <w:pPr>
      <w:spacing w:before="36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D95E1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rsid w:val="00D95E1F"/>
    <w:pPr>
      <w:spacing w:after="24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95E1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BD"/>
    <w:rPr>
      <w:rFonts w:ascii="Trebuchet MS" w:eastAsia="Times New Roman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bCs/>
      <w:i/>
      <w:color w:val="000000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iCs/>
      <w:color w:val="0C257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sz w:val="20"/>
    </w:rPr>
  </w:style>
  <w:style w:type="paragraph" w:customStyle="1" w:styleId="Heading">
    <w:name w:val="Heading"/>
    <w:basedOn w:val="Normal"/>
    <w:rsid w:val="002436BD"/>
    <w:pPr>
      <w:jc w:val="both"/>
    </w:pPr>
    <w:rPr>
      <w:b/>
      <w:sz w:val="26"/>
      <w:szCs w:val="22"/>
    </w:rPr>
  </w:style>
  <w:style w:type="character" w:styleId="Hyperlink">
    <w:name w:val="Hyperlink"/>
    <w:uiPriority w:val="99"/>
    <w:unhideWhenUsed/>
    <w:rsid w:val="00243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6BD"/>
    <w:pPr>
      <w:ind w:left="720"/>
    </w:pPr>
  </w:style>
  <w:style w:type="character" w:styleId="CommentReference">
    <w:name w:val="annotation reference"/>
    <w:uiPriority w:val="99"/>
    <w:semiHidden/>
    <w:unhideWhenUsed/>
    <w:rsid w:val="00243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6BD"/>
    <w:rPr>
      <w:sz w:val="20"/>
    </w:rPr>
  </w:style>
  <w:style w:type="character" w:customStyle="1" w:styleId="CommentTextChar">
    <w:name w:val="Comment Text Char"/>
    <w:link w:val="CommentText"/>
    <w:uiPriority w:val="99"/>
    <w:rsid w:val="002436BD"/>
    <w:rPr>
      <w:rFonts w:ascii="Trebuchet MS" w:eastAsia="Times New Roman" w:hAnsi="Trebuchet M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4B2E"/>
    <w:rPr>
      <w:rFonts w:ascii="Trebuchet MS" w:eastAsia="Times New Roman" w:hAnsi="Trebuchet MS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7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A0"/>
    <w:rPr>
      <w:rFonts w:ascii="Trebuchet MS" w:eastAsia="Times New Roman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DF7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A0"/>
    <w:rPr>
      <w:rFonts w:ascii="Trebuchet MS" w:eastAsia="Times New Roman" w:hAnsi="Trebuchet MS"/>
      <w:sz w:val="22"/>
    </w:rPr>
  </w:style>
  <w:style w:type="paragraph" w:styleId="Title">
    <w:name w:val="Title"/>
    <w:basedOn w:val="Normal"/>
    <w:link w:val="TitleChar"/>
    <w:qFormat/>
    <w:rsid w:val="00D95E1F"/>
    <w:pPr>
      <w:spacing w:before="36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D95E1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rsid w:val="00D95E1F"/>
    <w:pPr>
      <w:spacing w:after="24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95E1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413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812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C626-67CF-4D88-BAEA-D10DAD1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Curtain, Stuart</dc:creator>
  <cp:lastModifiedBy>Antonietta Discala</cp:lastModifiedBy>
  <cp:revision>2</cp:revision>
  <cp:lastPrinted>2013-12-09T23:00:00Z</cp:lastPrinted>
  <dcterms:created xsi:type="dcterms:W3CDTF">2013-12-13T00:14:00Z</dcterms:created>
  <dcterms:modified xsi:type="dcterms:W3CDTF">2013-12-13T00:14:00Z</dcterms:modified>
</cp:coreProperties>
</file>