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9B2" w:rsidRPr="000635DA" w:rsidRDefault="00ED69B2" w:rsidP="007F0A52">
      <w:pPr>
        <w:spacing w:before="240"/>
        <w:ind w:left="-357"/>
        <w:jc w:val="center"/>
        <w:outlineLvl w:val="0"/>
        <w:rPr>
          <w:b/>
          <w:sz w:val="28"/>
          <w:szCs w:val="28"/>
          <w:u w:val="single"/>
        </w:rPr>
      </w:pPr>
      <w:r w:rsidRPr="000635DA">
        <w:rPr>
          <w:b/>
          <w:sz w:val="28"/>
          <w:szCs w:val="28"/>
          <w:u w:val="single"/>
        </w:rPr>
        <w:t>EXPLANATORY STATEMENT</w:t>
      </w:r>
    </w:p>
    <w:p w:rsidR="00ED69B2" w:rsidRPr="000C3478" w:rsidRDefault="00A10E8C" w:rsidP="007F0A52">
      <w:pPr>
        <w:spacing w:before="240"/>
        <w:ind w:left="-357"/>
        <w:jc w:val="center"/>
        <w:rPr>
          <w:b/>
          <w:szCs w:val="24"/>
          <w:u w:val="single"/>
        </w:rPr>
      </w:pPr>
      <w:r>
        <w:rPr>
          <w:b/>
          <w:szCs w:val="24"/>
          <w:u w:val="single"/>
        </w:rPr>
        <w:t>Select Legislative Insrument</w:t>
      </w:r>
      <w:r w:rsidR="00BA0480" w:rsidRPr="000C3478">
        <w:rPr>
          <w:b/>
          <w:szCs w:val="24"/>
          <w:u w:val="single"/>
        </w:rPr>
        <w:t xml:space="preserve"> </w:t>
      </w:r>
      <w:r w:rsidR="00ED69B2" w:rsidRPr="000C3478">
        <w:rPr>
          <w:b/>
          <w:szCs w:val="24"/>
          <w:u w:val="single"/>
        </w:rPr>
        <w:t>No.</w:t>
      </w:r>
      <w:r w:rsidR="000635DA">
        <w:rPr>
          <w:b/>
          <w:szCs w:val="24"/>
          <w:u w:val="single"/>
        </w:rPr>
        <w:t xml:space="preserve"> 259, 2013</w:t>
      </w:r>
    </w:p>
    <w:p w:rsidR="00ED69B2" w:rsidRPr="000C3478" w:rsidRDefault="00ED69B2" w:rsidP="007F0A52">
      <w:pPr>
        <w:spacing w:before="240"/>
        <w:ind w:left="-357"/>
        <w:jc w:val="center"/>
        <w:rPr>
          <w:szCs w:val="24"/>
        </w:rPr>
      </w:pPr>
      <w:r w:rsidRPr="000C3478">
        <w:rPr>
          <w:szCs w:val="24"/>
        </w:rPr>
        <w:t xml:space="preserve">Issued by </w:t>
      </w:r>
      <w:r w:rsidR="007F401C">
        <w:rPr>
          <w:szCs w:val="24"/>
        </w:rPr>
        <w:t>A</w:t>
      </w:r>
      <w:r w:rsidR="00B013F2">
        <w:rPr>
          <w:szCs w:val="24"/>
        </w:rPr>
        <w:t>uthority of the Parliamentary Secretary to the</w:t>
      </w:r>
      <w:r w:rsidRPr="000C3478">
        <w:rPr>
          <w:szCs w:val="24"/>
        </w:rPr>
        <w:t xml:space="preserve"> </w:t>
      </w:r>
      <w:r w:rsidR="00693C01" w:rsidRPr="000C3478">
        <w:rPr>
          <w:szCs w:val="24"/>
        </w:rPr>
        <w:t>Minister</w:t>
      </w:r>
      <w:r w:rsidR="00D5788E" w:rsidRPr="000C3478">
        <w:rPr>
          <w:szCs w:val="24"/>
        </w:rPr>
        <w:t xml:space="preserve"> </w:t>
      </w:r>
      <w:r w:rsidRPr="000C3478">
        <w:rPr>
          <w:szCs w:val="24"/>
        </w:rPr>
        <w:t>for Agriculture</w:t>
      </w:r>
    </w:p>
    <w:p w:rsidR="008F0D26" w:rsidRDefault="00ED69B2" w:rsidP="007F0A52">
      <w:pPr>
        <w:spacing w:before="240"/>
        <w:ind w:left="-357"/>
        <w:jc w:val="center"/>
        <w:rPr>
          <w:i/>
          <w:szCs w:val="24"/>
        </w:rPr>
      </w:pPr>
      <w:r w:rsidRPr="000C3478">
        <w:rPr>
          <w:i/>
          <w:szCs w:val="24"/>
        </w:rPr>
        <w:t>Fisheries Levy Act 1984</w:t>
      </w:r>
    </w:p>
    <w:p w:rsidR="00ED69B2" w:rsidRPr="000C3478" w:rsidRDefault="00ED69B2" w:rsidP="007F0A52">
      <w:pPr>
        <w:spacing w:before="240"/>
        <w:rPr>
          <w:i/>
          <w:szCs w:val="24"/>
        </w:rPr>
      </w:pPr>
      <w:bookmarkStart w:id="0" w:name="_GoBack"/>
      <w:r w:rsidRPr="000C3478">
        <w:rPr>
          <w:i/>
          <w:szCs w:val="24"/>
        </w:rPr>
        <w:t>Fisheries Levy (Torres Strait Prawn Fishery) Amendment Regulation 201</w:t>
      </w:r>
      <w:r w:rsidR="00B30E8A">
        <w:rPr>
          <w:i/>
          <w:szCs w:val="24"/>
        </w:rPr>
        <w:t>3</w:t>
      </w:r>
      <w:r w:rsidRPr="000C3478">
        <w:rPr>
          <w:i/>
          <w:szCs w:val="24"/>
        </w:rPr>
        <w:t xml:space="preserve"> (No.</w:t>
      </w:r>
      <w:r w:rsidR="002E2C65">
        <w:rPr>
          <w:i/>
          <w:szCs w:val="24"/>
        </w:rPr>
        <w:t xml:space="preserve"> 1</w:t>
      </w:r>
      <w:r w:rsidRPr="000C3478">
        <w:rPr>
          <w:i/>
          <w:szCs w:val="24"/>
        </w:rPr>
        <w:t>)</w:t>
      </w:r>
    </w:p>
    <w:bookmarkEnd w:id="0"/>
    <w:p w:rsidR="00A074D7" w:rsidRDefault="00ED69B2">
      <w:pPr>
        <w:spacing w:before="240"/>
        <w:rPr>
          <w:szCs w:val="24"/>
        </w:rPr>
      </w:pPr>
      <w:r w:rsidRPr="000C3478">
        <w:rPr>
          <w:szCs w:val="24"/>
        </w:rPr>
        <w:t xml:space="preserve">The </w:t>
      </w:r>
      <w:r w:rsidRPr="000C3478">
        <w:rPr>
          <w:i/>
          <w:szCs w:val="24"/>
        </w:rPr>
        <w:t>Fisheries Levy (Torres Strait Prawn Fishery) Amendment Regulation 201</w:t>
      </w:r>
      <w:r w:rsidR="005A2140">
        <w:rPr>
          <w:i/>
          <w:szCs w:val="24"/>
        </w:rPr>
        <w:t>3</w:t>
      </w:r>
      <w:r w:rsidRPr="000C3478">
        <w:rPr>
          <w:i/>
          <w:szCs w:val="24"/>
        </w:rPr>
        <w:t xml:space="preserve"> (No.</w:t>
      </w:r>
      <w:r w:rsidR="002E2C65">
        <w:rPr>
          <w:i/>
          <w:szCs w:val="24"/>
        </w:rPr>
        <w:t xml:space="preserve"> 1</w:t>
      </w:r>
      <w:r w:rsidRPr="000C3478">
        <w:rPr>
          <w:i/>
          <w:szCs w:val="24"/>
        </w:rPr>
        <w:t xml:space="preserve">) </w:t>
      </w:r>
      <w:r w:rsidRPr="000C3478">
        <w:rPr>
          <w:szCs w:val="24"/>
        </w:rPr>
        <w:t>(the Regulations</w:t>
      </w:r>
      <w:r w:rsidRPr="00E42DE5">
        <w:rPr>
          <w:szCs w:val="24"/>
        </w:rPr>
        <w:t>)</w:t>
      </w:r>
      <w:r w:rsidRPr="000C3478">
        <w:rPr>
          <w:i/>
          <w:szCs w:val="24"/>
        </w:rPr>
        <w:t xml:space="preserve"> </w:t>
      </w:r>
      <w:r w:rsidR="00883D2C">
        <w:rPr>
          <w:szCs w:val="24"/>
        </w:rPr>
        <w:t>is</w:t>
      </w:r>
      <w:r w:rsidRPr="000C3478">
        <w:rPr>
          <w:szCs w:val="24"/>
        </w:rPr>
        <w:t xml:space="preserve"> a legislative instrument for the purposes of the </w:t>
      </w:r>
      <w:r w:rsidRPr="000C3478">
        <w:rPr>
          <w:i/>
          <w:szCs w:val="24"/>
        </w:rPr>
        <w:t>Legislative Instruments Act 2003</w:t>
      </w:r>
      <w:r w:rsidRPr="00E42DE5">
        <w:rPr>
          <w:szCs w:val="24"/>
        </w:rPr>
        <w:t>.</w:t>
      </w:r>
    </w:p>
    <w:p w:rsidR="00A074D7" w:rsidRDefault="00530473">
      <w:pPr>
        <w:pStyle w:val="Contactdetails"/>
        <w:spacing w:before="240"/>
        <w:rPr>
          <w:szCs w:val="24"/>
        </w:rPr>
      </w:pPr>
      <w:r w:rsidRPr="000C3478">
        <w:rPr>
          <w:szCs w:val="24"/>
        </w:rPr>
        <w:t>Section 8 of the</w:t>
      </w:r>
      <w:r w:rsidRPr="000C3478">
        <w:rPr>
          <w:i/>
          <w:szCs w:val="24"/>
        </w:rPr>
        <w:t xml:space="preserve"> Fisheries Levy Act 1984 </w:t>
      </w:r>
      <w:r w:rsidRPr="000C3478">
        <w:rPr>
          <w:szCs w:val="24"/>
        </w:rPr>
        <w:t xml:space="preserve">(Levy Act) provides that the </w:t>
      </w:r>
      <w:r w:rsidRPr="000C3478">
        <w:rPr>
          <w:szCs w:val="24"/>
        </w:rPr>
        <w:br/>
        <w:t xml:space="preserve">Governor-General may make regulations for the purposes of sections 5 and 6 of the Levy Act.  Section 5 of the Levy Act imposes a levy on, amongst other things, the grant or renewal of a licence and the allocation and renewal of units of fishing capacity issued under the </w:t>
      </w:r>
      <w:r w:rsidRPr="000C3478">
        <w:rPr>
          <w:i/>
          <w:szCs w:val="24"/>
        </w:rPr>
        <w:t>Torres Strait Fisheries Act 198</w:t>
      </w:r>
      <w:r w:rsidR="000014B2" w:rsidRPr="000C3478">
        <w:rPr>
          <w:i/>
          <w:szCs w:val="24"/>
        </w:rPr>
        <w:t>4</w:t>
      </w:r>
      <w:r w:rsidRPr="000C3478">
        <w:rPr>
          <w:szCs w:val="24"/>
        </w:rPr>
        <w:t xml:space="preserve">.  Section 6 of the Levy Act provides that the amount of levy imposed on the grant or renewal of a licence or on the allocation or renewal of units of fishing capacity is  specified in the </w:t>
      </w:r>
      <w:r w:rsidR="00D5788E" w:rsidRPr="000C3478">
        <w:rPr>
          <w:i/>
          <w:szCs w:val="24"/>
        </w:rPr>
        <w:t xml:space="preserve">Fisheries Levy (Torres Strait Prawn Fishery) </w:t>
      </w:r>
      <w:r w:rsidRPr="000C3478">
        <w:rPr>
          <w:i/>
          <w:szCs w:val="24"/>
        </w:rPr>
        <w:t>Regulations</w:t>
      </w:r>
      <w:r w:rsidR="00D5788E" w:rsidRPr="000C3478">
        <w:rPr>
          <w:i/>
          <w:szCs w:val="24"/>
        </w:rPr>
        <w:t xml:space="preserve"> 1998</w:t>
      </w:r>
      <w:r w:rsidR="000B18ED" w:rsidRPr="000C3478">
        <w:rPr>
          <w:i/>
          <w:szCs w:val="24"/>
        </w:rPr>
        <w:t xml:space="preserve"> </w:t>
      </w:r>
      <w:r w:rsidR="000B18ED" w:rsidRPr="000C3478">
        <w:rPr>
          <w:szCs w:val="24"/>
        </w:rPr>
        <w:t xml:space="preserve">(the </w:t>
      </w:r>
      <w:r w:rsidR="00EE0CD0">
        <w:rPr>
          <w:szCs w:val="24"/>
        </w:rPr>
        <w:t>P</w:t>
      </w:r>
      <w:r w:rsidR="00EE0CD0" w:rsidRPr="000C3478">
        <w:rPr>
          <w:szCs w:val="24"/>
        </w:rPr>
        <w:t xml:space="preserve">rincipal </w:t>
      </w:r>
      <w:r w:rsidR="000B18ED" w:rsidRPr="000C3478">
        <w:rPr>
          <w:szCs w:val="24"/>
        </w:rPr>
        <w:t>Regulations)</w:t>
      </w:r>
      <w:r w:rsidRPr="000C3478">
        <w:rPr>
          <w:szCs w:val="24"/>
        </w:rPr>
        <w:t>. Section 7 of the Levy Act provides that the levy is payable at the time of the grant, renewal or variation of the licence, and at the time of the allocation or renewal of units of fishing capacity.</w:t>
      </w:r>
    </w:p>
    <w:p w:rsidR="00A074D7" w:rsidRDefault="00530473">
      <w:pPr>
        <w:pStyle w:val="Contactdetails"/>
        <w:spacing w:before="240"/>
        <w:rPr>
          <w:szCs w:val="24"/>
        </w:rPr>
      </w:pPr>
      <w:r w:rsidRPr="000C3478">
        <w:rPr>
          <w:szCs w:val="24"/>
        </w:rPr>
        <w:t>The attributable costs of managing the Torres Strait Prawn Fishery (</w:t>
      </w:r>
      <w:r w:rsidR="000014B2" w:rsidRPr="000C3478">
        <w:rPr>
          <w:szCs w:val="24"/>
        </w:rPr>
        <w:t>the Fishery</w:t>
      </w:r>
      <w:r w:rsidRPr="000C3478">
        <w:rPr>
          <w:szCs w:val="24"/>
        </w:rPr>
        <w:t>) are recovered from industry pursuant to a decision of the Protected Zone Joint Authority (</w:t>
      </w:r>
      <w:proofErr w:type="spellStart"/>
      <w:r w:rsidRPr="000C3478">
        <w:rPr>
          <w:szCs w:val="24"/>
        </w:rPr>
        <w:t>PZJA</w:t>
      </w:r>
      <w:proofErr w:type="spellEnd"/>
      <w:r w:rsidRPr="000C3478">
        <w:rPr>
          <w:szCs w:val="24"/>
        </w:rPr>
        <w:t xml:space="preserve">). The </w:t>
      </w:r>
      <w:proofErr w:type="spellStart"/>
      <w:r w:rsidRPr="000C3478">
        <w:rPr>
          <w:szCs w:val="24"/>
        </w:rPr>
        <w:t>PZJA</w:t>
      </w:r>
      <w:proofErr w:type="spellEnd"/>
      <w:r w:rsidRPr="000C3478">
        <w:rPr>
          <w:szCs w:val="24"/>
        </w:rPr>
        <w:t xml:space="preserve"> agreed to split the costs to be recovered on the basis of fixed (per </w:t>
      </w:r>
      <w:r w:rsidR="00D5788E" w:rsidRPr="000C3478">
        <w:rPr>
          <w:szCs w:val="24"/>
        </w:rPr>
        <w:t>licence</w:t>
      </w:r>
      <w:r w:rsidRPr="000C3478">
        <w:rPr>
          <w:szCs w:val="24"/>
        </w:rPr>
        <w:t xml:space="preserve">) and variable (per day – now per unit) components to provide an equitable division of expenses depending on operators’ investment in the </w:t>
      </w:r>
      <w:r w:rsidR="00883D2C">
        <w:rPr>
          <w:szCs w:val="24"/>
        </w:rPr>
        <w:t>F</w:t>
      </w:r>
      <w:r w:rsidRPr="000C3478">
        <w:rPr>
          <w:szCs w:val="24"/>
        </w:rPr>
        <w:t xml:space="preserve">ishery. The </w:t>
      </w:r>
      <w:r w:rsidR="000014B2" w:rsidRPr="000C3478">
        <w:rPr>
          <w:szCs w:val="24"/>
        </w:rPr>
        <w:t>Fishery</w:t>
      </w:r>
      <w:r w:rsidRPr="000C3478">
        <w:rPr>
          <w:szCs w:val="24"/>
        </w:rPr>
        <w:t xml:space="preserve"> is the only </w:t>
      </w:r>
      <w:smartTag w:uri="urn:schemas-microsoft-com:office:smarttags" w:element="place">
        <w:r w:rsidRPr="000C3478">
          <w:rPr>
            <w:szCs w:val="24"/>
          </w:rPr>
          <w:t>Torres Strait</w:t>
        </w:r>
      </w:smartTag>
      <w:r w:rsidRPr="000C3478">
        <w:rPr>
          <w:szCs w:val="24"/>
        </w:rPr>
        <w:t xml:space="preserve"> fishery currently subject to cost recovery arrangements.</w:t>
      </w:r>
    </w:p>
    <w:p w:rsidR="00A074D7" w:rsidRDefault="00802415">
      <w:pPr>
        <w:pStyle w:val="Contactdetails"/>
        <w:spacing w:before="240"/>
        <w:rPr>
          <w:szCs w:val="24"/>
        </w:rPr>
      </w:pPr>
      <w:r w:rsidRPr="000C3478">
        <w:rPr>
          <w:szCs w:val="24"/>
        </w:rPr>
        <w:t xml:space="preserve">The </w:t>
      </w:r>
      <w:smartTag w:uri="urn:schemas-microsoft-com:office:smarttags" w:element="place">
        <w:r w:rsidRPr="000C3478">
          <w:rPr>
            <w:i/>
            <w:szCs w:val="24"/>
          </w:rPr>
          <w:t>Torres Strait</w:t>
        </w:r>
      </w:smartTag>
      <w:r w:rsidRPr="000C3478">
        <w:rPr>
          <w:i/>
          <w:szCs w:val="24"/>
        </w:rPr>
        <w:t xml:space="preserve"> Prawn Fishery Management Plan 2008</w:t>
      </w:r>
      <w:r w:rsidRPr="000C3478">
        <w:rPr>
          <w:szCs w:val="24"/>
        </w:rPr>
        <w:t xml:space="preserve"> (the Plan) was determined on </w:t>
      </w:r>
      <w:r w:rsidRPr="000C3478">
        <w:rPr>
          <w:szCs w:val="24"/>
        </w:rPr>
        <w:br/>
        <w:t xml:space="preserve">6 February 2009. The Plan provides for the allocation of ‘units of fishing capacity’ to </w:t>
      </w:r>
      <w:r w:rsidR="00EE0CD0">
        <w:rPr>
          <w:szCs w:val="24"/>
        </w:rPr>
        <w:t>the</w:t>
      </w:r>
      <w:r w:rsidRPr="000C3478">
        <w:rPr>
          <w:szCs w:val="24"/>
        </w:rPr>
        <w:t xml:space="preserve"> Fishery licence holders. The units of fishing capacity are then converted annually into a number of fishing days (annual use entitlement) depending on the total allowable effort for the fishery in a given season. </w:t>
      </w:r>
    </w:p>
    <w:p w:rsidR="00A074D7" w:rsidRDefault="00530473">
      <w:pPr>
        <w:spacing w:before="240"/>
        <w:rPr>
          <w:szCs w:val="24"/>
        </w:rPr>
      </w:pPr>
      <w:r w:rsidRPr="000C3478">
        <w:rPr>
          <w:szCs w:val="24"/>
        </w:rPr>
        <w:t xml:space="preserve">The levy costs for the </w:t>
      </w:r>
      <w:r w:rsidR="000014B2" w:rsidRPr="000C3478">
        <w:rPr>
          <w:szCs w:val="24"/>
        </w:rPr>
        <w:t>Fishery</w:t>
      </w:r>
      <w:r w:rsidRPr="000C3478">
        <w:rPr>
          <w:szCs w:val="24"/>
        </w:rPr>
        <w:t xml:space="preserve"> are attributable to services provided by the Australian Fisheries Management Authority (</w:t>
      </w:r>
      <w:proofErr w:type="spellStart"/>
      <w:r w:rsidRPr="000C3478">
        <w:rPr>
          <w:szCs w:val="24"/>
        </w:rPr>
        <w:t>AFMA</w:t>
      </w:r>
      <w:proofErr w:type="spellEnd"/>
      <w:r w:rsidRPr="000C3478">
        <w:rPr>
          <w:szCs w:val="24"/>
        </w:rPr>
        <w:t xml:space="preserve">) and Queensland </w:t>
      </w:r>
      <w:r w:rsidR="00CF55F8" w:rsidRPr="000C3478">
        <w:rPr>
          <w:szCs w:val="24"/>
        </w:rPr>
        <w:t>Department of Agriculture, Fisheries and Forestry (</w:t>
      </w:r>
      <w:proofErr w:type="spellStart"/>
      <w:r w:rsidR="00CF55F8" w:rsidRPr="000C3478">
        <w:rPr>
          <w:szCs w:val="24"/>
        </w:rPr>
        <w:t>QDAFF</w:t>
      </w:r>
      <w:proofErr w:type="spellEnd"/>
      <w:r w:rsidR="00CF55F8" w:rsidRPr="000C3478">
        <w:rPr>
          <w:szCs w:val="24"/>
        </w:rPr>
        <w:t>)</w:t>
      </w:r>
      <w:r w:rsidRPr="000C3478">
        <w:rPr>
          <w:szCs w:val="24"/>
        </w:rPr>
        <w:t xml:space="preserve">. </w:t>
      </w:r>
      <w:proofErr w:type="spellStart"/>
      <w:r w:rsidR="00CF55F8" w:rsidRPr="000C3478">
        <w:rPr>
          <w:szCs w:val="24"/>
        </w:rPr>
        <w:t>QDAFF</w:t>
      </w:r>
      <w:proofErr w:type="spellEnd"/>
      <w:r w:rsidR="00CF55F8" w:rsidRPr="000C3478">
        <w:rPr>
          <w:szCs w:val="24"/>
        </w:rPr>
        <w:t xml:space="preserve"> </w:t>
      </w:r>
      <w:r w:rsidRPr="000C3478">
        <w:rPr>
          <w:szCs w:val="24"/>
        </w:rPr>
        <w:t xml:space="preserve">is responsible for administering the licensing </w:t>
      </w:r>
      <w:r w:rsidR="00B657D8" w:rsidRPr="000C3478">
        <w:rPr>
          <w:szCs w:val="24"/>
        </w:rPr>
        <w:t xml:space="preserve">and compliance </w:t>
      </w:r>
      <w:r w:rsidRPr="000C3478">
        <w:rPr>
          <w:szCs w:val="24"/>
        </w:rPr>
        <w:t xml:space="preserve">component </w:t>
      </w:r>
      <w:r w:rsidR="00F16223" w:rsidRPr="000C3478">
        <w:rPr>
          <w:szCs w:val="24"/>
        </w:rPr>
        <w:t>in</w:t>
      </w:r>
      <w:r w:rsidR="00B657D8" w:rsidRPr="000C3478">
        <w:rPr>
          <w:szCs w:val="24"/>
        </w:rPr>
        <w:t xml:space="preserve"> </w:t>
      </w:r>
      <w:r w:rsidRPr="000C3478">
        <w:rPr>
          <w:szCs w:val="24"/>
        </w:rPr>
        <w:t xml:space="preserve">management of the </w:t>
      </w:r>
      <w:r w:rsidR="000014B2" w:rsidRPr="000C3478">
        <w:rPr>
          <w:szCs w:val="24"/>
        </w:rPr>
        <w:t xml:space="preserve">Fishery </w:t>
      </w:r>
      <w:r w:rsidRPr="000C3478">
        <w:rPr>
          <w:szCs w:val="24"/>
        </w:rPr>
        <w:t xml:space="preserve">and distributing the annual levy invoices. </w:t>
      </w:r>
      <w:proofErr w:type="spellStart"/>
      <w:r w:rsidRPr="000C3478">
        <w:rPr>
          <w:szCs w:val="24"/>
        </w:rPr>
        <w:t>AFMA</w:t>
      </w:r>
      <w:proofErr w:type="spellEnd"/>
      <w:r w:rsidRPr="000C3478">
        <w:rPr>
          <w:szCs w:val="24"/>
        </w:rPr>
        <w:t xml:space="preserve"> is responsible for general management and consultation in relation to the </w:t>
      </w:r>
      <w:r w:rsidR="00EE0CD0">
        <w:rPr>
          <w:szCs w:val="24"/>
        </w:rPr>
        <w:t>F</w:t>
      </w:r>
      <w:r w:rsidR="00EE0CD0" w:rsidRPr="000C3478">
        <w:rPr>
          <w:szCs w:val="24"/>
        </w:rPr>
        <w:t>ishery</w:t>
      </w:r>
      <w:r w:rsidRPr="000C3478">
        <w:rPr>
          <w:szCs w:val="24"/>
        </w:rPr>
        <w:t xml:space="preserve">. </w:t>
      </w:r>
    </w:p>
    <w:p w:rsidR="00E608A3" w:rsidRPr="00A07ED7" w:rsidRDefault="00E608A3" w:rsidP="00E608A3">
      <w:pPr>
        <w:spacing w:before="240"/>
        <w:ind w:right="-1"/>
        <w:rPr>
          <w:szCs w:val="24"/>
        </w:rPr>
      </w:pPr>
      <w:r w:rsidRPr="00A07ED7">
        <w:rPr>
          <w:szCs w:val="24"/>
        </w:rPr>
        <w:t xml:space="preserve">The Regulation </w:t>
      </w:r>
      <w:r w:rsidR="00001631" w:rsidRPr="00A07ED7">
        <w:rPr>
          <w:szCs w:val="24"/>
        </w:rPr>
        <w:t>increases</w:t>
      </w:r>
      <w:r w:rsidRPr="00A07ED7">
        <w:rPr>
          <w:szCs w:val="24"/>
        </w:rPr>
        <w:t xml:space="preserve"> the levy for licences granted or renewed in the Fishery from $3,359.52 to $3766.54 per licence (a $407.02 increase per licence) and increase</w:t>
      </w:r>
      <w:r w:rsidR="00001631" w:rsidRPr="00A07ED7">
        <w:rPr>
          <w:szCs w:val="24"/>
        </w:rPr>
        <w:t>s</w:t>
      </w:r>
      <w:r w:rsidRPr="00A07ED7">
        <w:rPr>
          <w:szCs w:val="24"/>
        </w:rPr>
        <w:t xml:space="preserve"> the levy for each individual allocated fishing unit from $23.75 to $25.63 per unit (a $1.88 increase per unit).  The increase is a result of a reduced carry forward surplus compared to past years ($11,969 in 2013/14 compared to $53,008 in 2012/13).  Collection of the increased levy w</w:t>
      </w:r>
      <w:r w:rsidR="00001631" w:rsidRPr="00A07ED7">
        <w:rPr>
          <w:szCs w:val="24"/>
        </w:rPr>
        <w:t xml:space="preserve">ill </w:t>
      </w:r>
      <w:r w:rsidRPr="00A07ED7">
        <w:rPr>
          <w:szCs w:val="24"/>
        </w:rPr>
        <w:t xml:space="preserve">commence in December 2013.  </w:t>
      </w:r>
    </w:p>
    <w:p w:rsidR="00A074D7" w:rsidRPr="00A07ED7" w:rsidRDefault="00530473">
      <w:pPr>
        <w:spacing w:before="240"/>
        <w:rPr>
          <w:szCs w:val="24"/>
        </w:rPr>
      </w:pPr>
      <w:bookmarkStart w:id="1" w:name="OLE_LINK7"/>
      <w:r w:rsidRPr="00A07ED7">
        <w:rPr>
          <w:szCs w:val="24"/>
        </w:rPr>
        <w:lastRenderedPageBreak/>
        <w:t>For more detailed information on the basis of the 20</w:t>
      </w:r>
      <w:r w:rsidR="001D2A39" w:rsidRPr="00A07ED7">
        <w:rPr>
          <w:szCs w:val="24"/>
        </w:rPr>
        <w:t>1</w:t>
      </w:r>
      <w:r w:rsidR="00B30E8A" w:rsidRPr="00A07ED7">
        <w:rPr>
          <w:szCs w:val="24"/>
        </w:rPr>
        <w:t>3</w:t>
      </w:r>
      <w:r w:rsidRPr="00A07ED7">
        <w:rPr>
          <w:szCs w:val="24"/>
        </w:rPr>
        <w:t>–1</w:t>
      </w:r>
      <w:r w:rsidR="00B30E8A" w:rsidRPr="00A07ED7">
        <w:rPr>
          <w:szCs w:val="24"/>
        </w:rPr>
        <w:t>4</w:t>
      </w:r>
      <w:r w:rsidRPr="00A07ED7">
        <w:rPr>
          <w:szCs w:val="24"/>
        </w:rPr>
        <w:t xml:space="preserve"> </w:t>
      </w:r>
      <w:r w:rsidR="00080730" w:rsidRPr="00A07ED7">
        <w:rPr>
          <w:szCs w:val="24"/>
        </w:rPr>
        <w:t xml:space="preserve">financial year </w:t>
      </w:r>
      <w:r w:rsidRPr="00A07ED7">
        <w:rPr>
          <w:szCs w:val="24"/>
        </w:rPr>
        <w:t xml:space="preserve">levy and comparisons </w:t>
      </w:r>
      <w:r w:rsidR="009F007A" w:rsidRPr="00A07ED7">
        <w:rPr>
          <w:szCs w:val="24"/>
        </w:rPr>
        <w:t xml:space="preserve">to the </w:t>
      </w:r>
      <w:r w:rsidRPr="00A07ED7">
        <w:rPr>
          <w:szCs w:val="24"/>
        </w:rPr>
        <w:t>20</w:t>
      </w:r>
      <w:r w:rsidR="008C0EE2" w:rsidRPr="00A07ED7">
        <w:rPr>
          <w:szCs w:val="24"/>
        </w:rPr>
        <w:t>1</w:t>
      </w:r>
      <w:r w:rsidR="00B30E8A" w:rsidRPr="00A07ED7">
        <w:rPr>
          <w:szCs w:val="24"/>
        </w:rPr>
        <w:t>2</w:t>
      </w:r>
      <w:r w:rsidRPr="00A07ED7">
        <w:rPr>
          <w:szCs w:val="24"/>
        </w:rPr>
        <w:t>–</w:t>
      </w:r>
      <w:r w:rsidR="001D2A39" w:rsidRPr="00A07ED7">
        <w:rPr>
          <w:szCs w:val="24"/>
        </w:rPr>
        <w:t>1</w:t>
      </w:r>
      <w:r w:rsidR="00B30E8A" w:rsidRPr="00A07ED7">
        <w:rPr>
          <w:szCs w:val="24"/>
        </w:rPr>
        <w:t>3</w:t>
      </w:r>
      <w:r w:rsidRPr="00A07ED7">
        <w:rPr>
          <w:szCs w:val="24"/>
        </w:rPr>
        <w:t xml:space="preserve"> </w:t>
      </w:r>
      <w:r w:rsidR="009F007A" w:rsidRPr="00A07ED7">
        <w:rPr>
          <w:szCs w:val="24"/>
        </w:rPr>
        <w:t>levy</w:t>
      </w:r>
      <w:r w:rsidR="00080730" w:rsidRPr="00A07ED7">
        <w:rPr>
          <w:szCs w:val="24"/>
        </w:rPr>
        <w:t xml:space="preserve"> </w:t>
      </w:r>
      <w:r w:rsidRPr="00A07ED7">
        <w:rPr>
          <w:szCs w:val="24"/>
        </w:rPr>
        <w:t xml:space="preserve">see </w:t>
      </w:r>
      <w:r w:rsidRPr="00A07ED7">
        <w:rPr>
          <w:szCs w:val="24"/>
          <w:u w:val="single"/>
        </w:rPr>
        <w:t>Attachment</w:t>
      </w:r>
      <w:r w:rsidR="00E40895" w:rsidRPr="00A07ED7">
        <w:rPr>
          <w:szCs w:val="24"/>
          <w:u w:val="single"/>
        </w:rPr>
        <w:t xml:space="preserve"> A</w:t>
      </w:r>
      <w:r w:rsidR="005A7565" w:rsidRPr="00A07ED7">
        <w:rPr>
          <w:szCs w:val="24"/>
        </w:rPr>
        <w:t>.</w:t>
      </w:r>
      <w:r w:rsidRPr="00A07ED7">
        <w:rPr>
          <w:szCs w:val="24"/>
        </w:rPr>
        <w:t xml:space="preserve"> </w:t>
      </w:r>
    </w:p>
    <w:p w:rsidR="00001631" w:rsidRPr="0041250A" w:rsidRDefault="00001631">
      <w:pPr>
        <w:spacing w:before="240"/>
        <w:rPr>
          <w:szCs w:val="24"/>
        </w:rPr>
      </w:pPr>
      <w:r w:rsidRPr="00A07ED7">
        <w:rPr>
          <w:szCs w:val="24"/>
        </w:rPr>
        <w:t>The levies are issued on an annual basis and recover the costs of managing the Fishery.  Licences cannot be issued for the 2014 fishing season until levies have been paid. The small increase in the levies for the 2014 season is not expected to significantly affect licence holders.</w:t>
      </w:r>
      <w:r w:rsidRPr="0041250A">
        <w:rPr>
          <w:szCs w:val="24"/>
        </w:rPr>
        <w:t xml:space="preserve"> </w:t>
      </w:r>
    </w:p>
    <w:bookmarkEnd w:id="1"/>
    <w:p w:rsidR="00A074D7" w:rsidRDefault="00BB63A3">
      <w:pPr>
        <w:spacing w:before="240"/>
        <w:rPr>
          <w:b/>
        </w:rPr>
      </w:pPr>
      <w:r w:rsidRPr="00BB63A3">
        <w:rPr>
          <w:b/>
        </w:rPr>
        <w:t>Consultation</w:t>
      </w:r>
    </w:p>
    <w:p w:rsidR="00A074D7" w:rsidRDefault="00530473">
      <w:pPr>
        <w:pStyle w:val="Contactdetails"/>
        <w:spacing w:before="240"/>
        <w:rPr>
          <w:szCs w:val="24"/>
          <w:lang w:eastAsia="en-US"/>
        </w:rPr>
      </w:pPr>
      <w:r w:rsidRPr="000C3478">
        <w:rPr>
          <w:szCs w:val="24"/>
          <w:lang w:eastAsia="en-US"/>
        </w:rPr>
        <w:t>The budgets on which the rates for the levy are based were prepared in consultation with the Torres Strait Prawn Management Advisory Committee (</w:t>
      </w:r>
      <w:proofErr w:type="spellStart"/>
      <w:r w:rsidRPr="000C3478">
        <w:rPr>
          <w:szCs w:val="24"/>
          <w:lang w:eastAsia="en-US"/>
        </w:rPr>
        <w:t>TSPMAC</w:t>
      </w:r>
      <w:proofErr w:type="spellEnd"/>
      <w:r w:rsidRPr="000C3478">
        <w:rPr>
          <w:szCs w:val="24"/>
          <w:lang w:eastAsia="en-US"/>
        </w:rPr>
        <w:t xml:space="preserve">). The </w:t>
      </w:r>
      <w:proofErr w:type="spellStart"/>
      <w:r w:rsidRPr="000C3478">
        <w:rPr>
          <w:szCs w:val="24"/>
          <w:lang w:eastAsia="en-US"/>
        </w:rPr>
        <w:t>TSPMAC</w:t>
      </w:r>
      <w:proofErr w:type="spellEnd"/>
      <w:r w:rsidRPr="000C3478">
        <w:rPr>
          <w:szCs w:val="24"/>
          <w:lang w:eastAsia="en-US"/>
        </w:rPr>
        <w:t>, made up of representatives from industry and government</w:t>
      </w:r>
      <w:r w:rsidR="00EE0CD0">
        <w:rPr>
          <w:szCs w:val="24"/>
          <w:lang w:eastAsia="en-US"/>
        </w:rPr>
        <w:t>,</w:t>
      </w:r>
      <w:r w:rsidRPr="000C3478">
        <w:rPr>
          <w:szCs w:val="24"/>
          <w:lang w:eastAsia="en-US"/>
        </w:rPr>
        <w:t xml:space="preserve"> noted the </w:t>
      </w:r>
      <w:r w:rsidR="00473449" w:rsidRPr="000C3478">
        <w:rPr>
          <w:szCs w:val="24"/>
          <w:lang w:eastAsia="en-US"/>
        </w:rPr>
        <w:t xml:space="preserve">draft </w:t>
      </w:r>
      <w:r w:rsidRPr="000C3478">
        <w:rPr>
          <w:szCs w:val="24"/>
          <w:lang w:eastAsia="en-US"/>
        </w:rPr>
        <w:t>20</w:t>
      </w:r>
      <w:r w:rsidR="001D2A39" w:rsidRPr="000C3478">
        <w:rPr>
          <w:szCs w:val="24"/>
          <w:lang w:eastAsia="en-US"/>
        </w:rPr>
        <w:t>1</w:t>
      </w:r>
      <w:r w:rsidR="00B30E8A">
        <w:rPr>
          <w:szCs w:val="24"/>
          <w:lang w:eastAsia="en-US"/>
        </w:rPr>
        <w:t>3</w:t>
      </w:r>
      <w:r w:rsidRPr="000C3478">
        <w:rPr>
          <w:szCs w:val="24"/>
          <w:lang w:eastAsia="en-US"/>
        </w:rPr>
        <w:t>–1</w:t>
      </w:r>
      <w:r w:rsidR="00B30E8A">
        <w:rPr>
          <w:szCs w:val="24"/>
          <w:lang w:eastAsia="en-US"/>
        </w:rPr>
        <w:t>4</w:t>
      </w:r>
      <w:r w:rsidRPr="000C3478">
        <w:rPr>
          <w:szCs w:val="24"/>
          <w:lang w:eastAsia="en-US"/>
        </w:rPr>
        <w:t xml:space="preserve"> budget </w:t>
      </w:r>
      <w:r w:rsidR="00473449" w:rsidRPr="000C3478">
        <w:rPr>
          <w:szCs w:val="24"/>
          <w:lang w:eastAsia="en-US"/>
        </w:rPr>
        <w:t xml:space="preserve">at </w:t>
      </w:r>
      <w:r w:rsidR="008C0EE2" w:rsidRPr="000C3478">
        <w:rPr>
          <w:szCs w:val="24"/>
          <w:lang w:eastAsia="en-US"/>
        </w:rPr>
        <w:t xml:space="preserve">an </w:t>
      </w:r>
      <w:r w:rsidR="008C0EE2" w:rsidRPr="002E2C65">
        <w:rPr>
          <w:szCs w:val="24"/>
          <w:lang w:eastAsia="en-US"/>
        </w:rPr>
        <w:t xml:space="preserve">out of session meeting in </w:t>
      </w:r>
      <w:r w:rsidR="00BB4605" w:rsidRPr="00B013F2">
        <w:rPr>
          <w:szCs w:val="24"/>
          <w:lang w:eastAsia="en-US"/>
        </w:rPr>
        <w:t>April</w:t>
      </w:r>
      <w:r w:rsidR="008C0EE2" w:rsidRPr="00B013F2">
        <w:rPr>
          <w:szCs w:val="24"/>
          <w:lang w:eastAsia="en-US"/>
        </w:rPr>
        <w:t xml:space="preserve"> 201</w:t>
      </w:r>
      <w:r w:rsidR="00BB4605" w:rsidRPr="00B013F2">
        <w:rPr>
          <w:szCs w:val="24"/>
          <w:lang w:eastAsia="en-US"/>
        </w:rPr>
        <w:t>3</w:t>
      </w:r>
      <w:r w:rsidR="00A728AE" w:rsidRPr="00B013F2">
        <w:rPr>
          <w:szCs w:val="24"/>
          <w:lang w:eastAsia="en-US"/>
        </w:rPr>
        <w:t>.</w:t>
      </w:r>
      <w:r w:rsidR="00BB4605">
        <w:rPr>
          <w:szCs w:val="24"/>
          <w:lang w:eastAsia="en-US"/>
        </w:rPr>
        <w:t xml:space="preserve">  </w:t>
      </w:r>
      <w:r w:rsidRPr="000C3478">
        <w:rPr>
          <w:szCs w:val="24"/>
          <w:lang w:eastAsia="en-US"/>
        </w:rPr>
        <w:t xml:space="preserve">The </w:t>
      </w:r>
      <w:r w:rsidR="00473449" w:rsidRPr="000C3478">
        <w:rPr>
          <w:szCs w:val="24"/>
          <w:lang w:eastAsia="en-US"/>
        </w:rPr>
        <w:t xml:space="preserve">final budget and </w:t>
      </w:r>
      <w:r w:rsidRPr="000C3478">
        <w:rPr>
          <w:szCs w:val="24"/>
          <w:lang w:eastAsia="en-US"/>
        </w:rPr>
        <w:t xml:space="preserve">levy regulations </w:t>
      </w:r>
      <w:r w:rsidR="00E42C23" w:rsidRPr="000C3478">
        <w:rPr>
          <w:szCs w:val="24"/>
          <w:lang w:eastAsia="en-US"/>
        </w:rPr>
        <w:t xml:space="preserve">will be provided to the </w:t>
      </w:r>
      <w:proofErr w:type="spellStart"/>
      <w:r w:rsidRPr="000C3478">
        <w:rPr>
          <w:szCs w:val="24"/>
          <w:lang w:eastAsia="en-US"/>
        </w:rPr>
        <w:t>TSPMAC</w:t>
      </w:r>
      <w:proofErr w:type="spellEnd"/>
      <w:r w:rsidRPr="000C3478">
        <w:rPr>
          <w:szCs w:val="24"/>
          <w:lang w:eastAsia="en-US"/>
        </w:rPr>
        <w:t xml:space="preserve"> </w:t>
      </w:r>
      <w:r w:rsidR="00E42C23" w:rsidRPr="000C3478">
        <w:rPr>
          <w:szCs w:val="24"/>
          <w:lang w:eastAsia="en-US"/>
        </w:rPr>
        <w:t xml:space="preserve">and </w:t>
      </w:r>
      <w:r w:rsidR="00EE0CD0">
        <w:rPr>
          <w:szCs w:val="24"/>
          <w:lang w:eastAsia="en-US"/>
        </w:rPr>
        <w:t xml:space="preserve">the </w:t>
      </w:r>
      <w:proofErr w:type="spellStart"/>
      <w:r w:rsidR="00E42C23" w:rsidRPr="000C3478">
        <w:rPr>
          <w:szCs w:val="24"/>
          <w:lang w:eastAsia="en-US"/>
        </w:rPr>
        <w:t>PZJA</w:t>
      </w:r>
      <w:proofErr w:type="spellEnd"/>
      <w:r w:rsidR="00E42C23" w:rsidRPr="000C3478">
        <w:rPr>
          <w:szCs w:val="24"/>
          <w:lang w:eastAsia="en-US"/>
        </w:rPr>
        <w:t xml:space="preserve"> for noting following their determination.</w:t>
      </w:r>
      <w:r w:rsidRPr="000C3478">
        <w:rPr>
          <w:szCs w:val="24"/>
          <w:lang w:eastAsia="en-US"/>
        </w:rPr>
        <w:t xml:space="preserve"> </w:t>
      </w:r>
      <w:proofErr w:type="spellStart"/>
      <w:r w:rsidRPr="000C3478">
        <w:rPr>
          <w:szCs w:val="24"/>
          <w:lang w:eastAsia="en-US"/>
        </w:rPr>
        <w:t>AFMA</w:t>
      </w:r>
      <w:proofErr w:type="spellEnd"/>
      <w:r w:rsidRPr="000C3478">
        <w:rPr>
          <w:szCs w:val="24"/>
          <w:lang w:eastAsia="en-US"/>
        </w:rPr>
        <w:t xml:space="preserve"> consulted with </w:t>
      </w:r>
      <w:r w:rsidR="00E20F52" w:rsidRPr="000C3478">
        <w:rPr>
          <w:szCs w:val="24"/>
          <w:lang w:eastAsia="en-US"/>
        </w:rPr>
        <w:t xml:space="preserve">the Department of Agriculture </w:t>
      </w:r>
      <w:r w:rsidRPr="000C3478">
        <w:rPr>
          <w:szCs w:val="24"/>
          <w:lang w:eastAsia="en-US"/>
        </w:rPr>
        <w:t>a</w:t>
      </w:r>
      <w:r w:rsidR="00E20F52" w:rsidRPr="000C3478">
        <w:rPr>
          <w:szCs w:val="24"/>
          <w:lang w:eastAsia="en-US"/>
        </w:rPr>
        <w:t xml:space="preserve">s well as </w:t>
      </w:r>
      <w:proofErr w:type="spellStart"/>
      <w:r w:rsidR="00CF55F8" w:rsidRPr="000C3478">
        <w:rPr>
          <w:szCs w:val="24"/>
          <w:lang w:eastAsia="en-US"/>
        </w:rPr>
        <w:t>QDAFF</w:t>
      </w:r>
      <w:proofErr w:type="spellEnd"/>
      <w:r w:rsidR="00CF55F8" w:rsidRPr="000C3478">
        <w:rPr>
          <w:szCs w:val="24"/>
          <w:lang w:eastAsia="en-US"/>
        </w:rPr>
        <w:t xml:space="preserve"> </w:t>
      </w:r>
      <w:r w:rsidRPr="000C3478">
        <w:rPr>
          <w:szCs w:val="24"/>
          <w:lang w:eastAsia="en-US"/>
        </w:rPr>
        <w:t>about the Regulations and as</w:t>
      </w:r>
      <w:r w:rsidR="001D2A39" w:rsidRPr="000C3478">
        <w:rPr>
          <w:szCs w:val="24"/>
          <w:lang w:eastAsia="en-US"/>
        </w:rPr>
        <w:t>sociated explanatory documents.</w:t>
      </w:r>
    </w:p>
    <w:p w:rsidR="00A074D7" w:rsidRDefault="00883D2C">
      <w:pPr>
        <w:pStyle w:val="AFMANormal"/>
        <w:jc w:val="left"/>
        <w:rPr>
          <w:szCs w:val="24"/>
        </w:rPr>
      </w:pPr>
      <w:r w:rsidRPr="00883D2C">
        <w:rPr>
          <w:szCs w:val="24"/>
        </w:rPr>
        <w:t xml:space="preserve">The Office of Best Practice Regulation </w:t>
      </w:r>
      <w:r w:rsidR="008F0D26">
        <w:rPr>
          <w:szCs w:val="24"/>
        </w:rPr>
        <w:t xml:space="preserve">was consulted in the preparation of the Regulation (ID: 14421). </w:t>
      </w:r>
    </w:p>
    <w:p w:rsidR="00A074D7" w:rsidRDefault="00A264D0">
      <w:pPr>
        <w:pStyle w:val="AFMANormal"/>
        <w:jc w:val="left"/>
        <w:rPr>
          <w:szCs w:val="24"/>
        </w:rPr>
      </w:pPr>
      <w:r>
        <w:rPr>
          <w:szCs w:val="24"/>
        </w:rPr>
        <w:t xml:space="preserve">The Regulation is compatible with the human rights and freedoms recognised or declared under section 3 of the </w:t>
      </w:r>
      <w:r>
        <w:rPr>
          <w:i/>
          <w:szCs w:val="24"/>
        </w:rPr>
        <w:t>Human Rights (Parliamentary Secretary) Act 2011.</w:t>
      </w:r>
      <w:r>
        <w:rPr>
          <w:szCs w:val="24"/>
        </w:rPr>
        <w:t xml:space="preserve"> A full statement of compatibility is set out in </w:t>
      </w:r>
      <w:r w:rsidRPr="0069302F">
        <w:rPr>
          <w:szCs w:val="24"/>
          <w:u w:val="single"/>
        </w:rPr>
        <w:t>Attachment B</w:t>
      </w:r>
      <w:r>
        <w:rPr>
          <w:szCs w:val="24"/>
        </w:rPr>
        <w:t xml:space="preserve">. </w:t>
      </w:r>
    </w:p>
    <w:p w:rsidR="00F01A65" w:rsidRPr="008F0D26" w:rsidRDefault="00F01A65" w:rsidP="009F58FB">
      <w:pPr>
        <w:tabs>
          <w:tab w:val="left" w:pos="3686"/>
          <w:tab w:val="left" w:pos="5245"/>
        </w:tabs>
        <w:spacing w:before="240"/>
        <w:jc w:val="both"/>
        <w:rPr>
          <w:b/>
          <w:szCs w:val="24"/>
        </w:rPr>
      </w:pPr>
      <w:r w:rsidRPr="0069302F">
        <w:rPr>
          <w:b/>
          <w:szCs w:val="24"/>
        </w:rPr>
        <w:t xml:space="preserve">Details of the </w:t>
      </w:r>
      <w:r w:rsidRPr="0069302F">
        <w:rPr>
          <w:b/>
          <w:i/>
          <w:szCs w:val="24"/>
        </w:rPr>
        <w:t>Fisheries Levy (Torres Strait Prawn Fishery) Amendment Regulation 201</w:t>
      </w:r>
      <w:r w:rsidR="00B30E8A" w:rsidRPr="0069302F">
        <w:rPr>
          <w:b/>
          <w:i/>
          <w:szCs w:val="24"/>
        </w:rPr>
        <w:t>3</w:t>
      </w:r>
      <w:r w:rsidRPr="0069302F">
        <w:rPr>
          <w:b/>
          <w:i/>
          <w:szCs w:val="24"/>
        </w:rPr>
        <w:t xml:space="preserve"> (No.</w:t>
      </w:r>
      <w:r w:rsidR="002E2C65" w:rsidRPr="0069302F">
        <w:rPr>
          <w:b/>
          <w:i/>
          <w:szCs w:val="24"/>
        </w:rPr>
        <w:t xml:space="preserve"> 1</w:t>
      </w:r>
      <w:r w:rsidRPr="0069302F">
        <w:rPr>
          <w:b/>
          <w:i/>
          <w:szCs w:val="24"/>
        </w:rPr>
        <w:t>)</w:t>
      </w:r>
    </w:p>
    <w:p w:rsidR="008F0D26" w:rsidRPr="008F0D26" w:rsidRDefault="008F0D26" w:rsidP="009F58FB">
      <w:pPr>
        <w:tabs>
          <w:tab w:val="left" w:pos="3686"/>
          <w:tab w:val="left" w:pos="5245"/>
        </w:tabs>
        <w:spacing w:before="240"/>
        <w:jc w:val="both"/>
        <w:rPr>
          <w:szCs w:val="24"/>
          <w:u w:val="single"/>
        </w:rPr>
      </w:pPr>
      <w:r w:rsidRPr="008F0D26">
        <w:rPr>
          <w:szCs w:val="24"/>
          <w:u w:val="single"/>
        </w:rPr>
        <w:t xml:space="preserve">Section </w:t>
      </w:r>
      <w:r w:rsidR="00530473" w:rsidRPr="008F0D26">
        <w:rPr>
          <w:szCs w:val="24"/>
          <w:u w:val="single"/>
        </w:rPr>
        <w:t xml:space="preserve">1 </w:t>
      </w:r>
      <w:r w:rsidRPr="008F0D26">
        <w:rPr>
          <w:szCs w:val="24"/>
          <w:u w:val="single"/>
        </w:rPr>
        <w:t>– Name of Regulation</w:t>
      </w:r>
    </w:p>
    <w:p w:rsidR="00530473" w:rsidRPr="000C3478" w:rsidRDefault="008F0D26" w:rsidP="009F58FB">
      <w:pPr>
        <w:tabs>
          <w:tab w:val="left" w:pos="3686"/>
          <w:tab w:val="left" w:pos="5245"/>
        </w:tabs>
        <w:spacing w:before="240"/>
        <w:jc w:val="both"/>
        <w:rPr>
          <w:szCs w:val="24"/>
        </w:rPr>
      </w:pPr>
      <w:r w:rsidRPr="0069302F">
        <w:rPr>
          <w:szCs w:val="24"/>
        </w:rPr>
        <w:t>This section</w:t>
      </w:r>
      <w:r>
        <w:rPr>
          <w:b/>
          <w:szCs w:val="24"/>
        </w:rPr>
        <w:t xml:space="preserve"> </w:t>
      </w:r>
      <w:r w:rsidR="00530473" w:rsidRPr="000C3478">
        <w:rPr>
          <w:szCs w:val="24"/>
        </w:rPr>
        <w:t xml:space="preserve">provides for the instrument to be cited as the </w:t>
      </w:r>
      <w:r w:rsidR="00530473" w:rsidRPr="000C3478">
        <w:rPr>
          <w:i/>
          <w:szCs w:val="24"/>
        </w:rPr>
        <w:t>Fisher</w:t>
      </w:r>
      <w:r w:rsidR="00D5788E" w:rsidRPr="000C3478">
        <w:rPr>
          <w:i/>
          <w:szCs w:val="24"/>
        </w:rPr>
        <w:t>ies</w:t>
      </w:r>
      <w:r w:rsidR="00530473" w:rsidRPr="000C3478">
        <w:rPr>
          <w:i/>
          <w:szCs w:val="24"/>
        </w:rPr>
        <w:t xml:space="preserve"> Levy (Torres Strait Prawn Fishery) Amendment Regulation 20</w:t>
      </w:r>
      <w:r w:rsidR="001D2A39" w:rsidRPr="000C3478">
        <w:rPr>
          <w:i/>
          <w:szCs w:val="24"/>
        </w:rPr>
        <w:t>1</w:t>
      </w:r>
      <w:r w:rsidR="00B30E8A">
        <w:rPr>
          <w:i/>
          <w:szCs w:val="24"/>
        </w:rPr>
        <w:t>3</w:t>
      </w:r>
      <w:r w:rsidR="00530473" w:rsidRPr="000C3478">
        <w:rPr>
          <w:i/>
          <w:szCs w:val="24"/>
        </w:rPr>
        <w:t xml:space="preserve"> (No</w:t>
      </w:r>
      <w:r w:rsidR="002E2C65">
        <w:rPr>
          <w:i/>
          <w:szCs w:val="24"/>
        </w:rPr>
        <w:t xml:space="preserve"> 1</w:t>
      </w:r>
      <w:r w:rsidR="00530473" w:rsidRPr="000C3478">
        <w:rPr>
          <w:i/>
          <w:szCs w:val="24"/>
        </w:rPr>
        <w:t>)</w:t>
      </w:r>
      <w:r w:rsidR="00530473" w:rsidRPr="000C3478">
        <w:rPr>
          <w:szCs w:val="24"/>
        </w:rPr>
        <w:t>.</w:t>
      </w:r>
    </w:p>
    <w:p w:rsidR="008F0D26" w:rsidRPr="0069302F" w:rsidRDefault="008F0D26" w:rsidP="009F58FB">
      <w:pPr>
        <w:tabs>
          <w:tab w:val="left" w:pos="3686"/>
          <w:tab w:val="left" w:pos="5245"/>
        </w:tabs>
        <w:spacing w:before="240"/>
        <w:jc w:val="both"/>
        <w:rPr>
          <w:szCs w:val="24"/>
          <w:u w:val="single"/>
        </w:rPr>
      </w:pPr>
      <w:r w:rsidRPr="0069302F">
        <w:rPr>
          <w:szCs w:val="24"/>
          <w:u w:val="single"/>
        </w:rPr>
        <w:t xml:space="preserve">Section </w:t>
      </w:r>
      <w:r w:rsidR="00530473" w:rsidRPr="0069302F">
        <w:rPr>
          <w:szCs w:val="24"/>
          <w:u w:val="single"/>
        </w:rPr>
        <w:t xml:space="preserve">2 </w:t>
      </w:r>
      <w:r w:rsidRPr="0069302F">
        <w:rPr>
          <w:szCs w:val="24"/>
          <w:u w:val="single"/>
        </w:rPr>
        <w:t xml:space="preserve">– Commencement </w:t>
      </w:r>
    </w:p>
    <w:p w:rsidR="00530473" w:rsidRPr="000C3478" w:rsidRDefault="008F0D26" w:rsidP="009F58FB">
      <w:pPr>
        <w:tabs>
          <w:tab w:val="left" w:pos="3686"/>
          <w:tab w:val="left" w:pos="5245"/>
        </w:tabs>
        <w:spacing w:before="240"/>
        <w:jc w:val="both"/>
        <w:rPr>
          <w:szCs w:val="24"/>
        </w:rPr>
      </w:pPr>
      <w:r>
        <w:rPr>
          <w:szCs w:val="24"/>
        </w:rPr>
        <w:t xml:space="preserve">This section </w:t>
      </w:r>
      <w:r w:rsidR="00530473" w:rsidRPr="000C3478">
        <w:rPr>
          <w:szCs w:val="24"/>
        </w:rPr>
        <w:t xml:space="preserve">provides that the instrument commences </w:t>
      </w:r>
      <w:r w:rsidR="00883D2C">
        <w:rPr>
          <w:szCs w:val="24"/>
        </w:rPr>
        <w:t xml:space="preserve">on </w:t>
      </w:r>
      <w:r w:rsidR="00530473" w:rsidRPr="000C3478">
        <w:rPr>
          <w:szCs w:val="24"/>
        </w:rPr>
        <w:t>the day after it is registered.</w:t>
      </w:r>
    </w:p>
    <w:p w:rsidR="008F0D26" w:rsidRPr="0069302F" w:rsidRDefault="008F0D26" w:rsidP="009F58FB">
      <w:pPr>
        <w:tabs>
          <w:tab w:val="left" w:pos="3686"/>
          <w:tab w:val="left" w:pos="5245"/>
        </w:tabs>
        <w:spacing w:before="240"/>
        <w:jc w:val="both"/>
        <w:rPr>
          <w:szCs w:val="24"/>
          <w:u w:val="single"/>
        </w:rPr>
      </w:pPr>
      <w:r w:rsidRPr="0069302F">
        <w:rPr>
          <w:szCs w:val="24"/>
          <w:u w:val="single"/>
        </w:rPr>
        <w:t xml:space="preserve">Section </w:t>
      </w:r>
      <w:r w:rsidR="002E2C65" w:rsidRPr="0069302F">
        <w:rPr>
          <w:szCs w:val="24"/>
          <w:u w:val="single"/>
        </w:rPr>
        <w:t>3</w:t>
      </w:r>
      <w:r w:rsidRPr="0069302F">
        <w:rPr>
          <w:szCs w:val="24"/>
          <w:u w:val="single"/>
        </w:rPr>
        <w:t xml:space="preserve"> - Authority</w:t>
      </w:r>
    </w:p>
    <w:p w:rsidR="002E2C65" w:rsidRDefault="008F0D26" w:rsidP="009F58FB">
      <w:pPr>
        <w:tabs>
          <w:tab w:val="left" w:pos="3686"/>
          <w:tab w:val="left" w:pos="5245"/>
        </w:tabs>
        <w:spacing w:before="240"/>
        <w:jc w:val="both"/>
        <w:rPr>
          <w:b/>
          <w:szCs w:val="24"/>
        </w:rPr>
      </w:pPr>
      <w:r w:rsidRPr="0069302F">
        <w:rPr>
          <w:szCs w:val="24"/>
        </w:rPr>
        <w:t>This section</w:t>
      </w:r>
      <w:r w:rsidR="002E2C65">
        <w:rPr>
          <w:b/>
          <w:szCs w:val="24"/>
        </w:rPr>
        <w:t xml:space="preserve"> </w:t>
      </w:r>
      <w:r w:rsidR="002E2C65" w:rsidRPr="00B013F2">
        <w:rPr>
          <w:szCs w:val="24"/>
        </w:rPr>
        <w:t xml:space="preserve">provides that the authority for making the regulation is the </w:t>
      </w:r>
      <w:r w:rsidR="002E2C65" w:rsidRPr="00B013F2">
        <w:rPr>
          <w:i/>
          <w:szCs w:val="24"/>
        </w:rPr>
        <w:t>Fisheries Levy Act 1984</w:t>
      </w:r>
      <w:r w:rsidR="002E2C65" w:rsidRPr="00B013F2">
        <w:rPr>
          <w:szCs w:val="24"/>
        </w:rPr>
        <w:t>.</w:t>
      </w:r>
    </w:p>
    <w:p w:rsidR="008F0D26" w:rsidRPr="0069302F" w:rsidRDefault="008F0D26" w:rsidP="009F58FB">
      <w:pPr>
        <w:tabs>
          <w:tab w:val="left" w:pos="3686"/>
          <w:tab w:val="left" w:pos="5245"/>
        </w:tabs>
        <w:spacing w:before="240"/>
        <w:jc w:val="both"/>
        <w:rPr>
          <w:szCs w:val="24"/>
          <w:u w:val="single"/>
        </w:rPr>
      </w:pPr>
      <w:r w:rsidRPr="0069302F">
        <w:rPr>
          <w:szCs w:val="24"/>
          <w:u w:val="single"/>
        </w:rPr>
        <w:t xml:space="preserve">Section </w:t>
      </w:r>
      <w:r w:rsidR="002E2C65" w:rsidRPr="0069302F">
        <w:rPr>
          <w:szCs w:val="24"/>
          <w:u w:val="single"/>
        </w:rPr>
        <w:t>4</w:t>
      </w:r>
      <w:r w:rsidRPr="0069302F">
        <w:rPr>
          <w:szCs w:val="24"/>
          <w:u w:val="single"/>
        </w:rPr>
        <w:t xml:space="preserve"> - Schedules</w:t>
      </w:r>
    </w:p>
    <w:p w:rsidR="00F01A65" w:rsidRDefault="008F0D26" w:rsidP="008F0D26">
      <w:pPr>
        <w:tabs>
          <w:tab w:val="left" w:pos="3686"/>
          <w:tab w:val="left" w:pos="5245"/>
        </w:tabs>
        <w:spacing w:before="240"/>
        <w:jc w:val="both"/>
        <w:rPr>
          <w:szCs w:val="24"/>
        </w:rPr>
      </w:pPr>
      <w:r w:rsidRPr="0069302F">
        <w:rPr>
          <w:szCs w:val="24"/>
        </w:rPr>
        <w:t>This section</w:t>
      </w:r>
      <w:r w:rsidR="00530473" w:rsidRPr="000C3478">
        <w:rPr>
          <w:szCs w:val="24"/>
        </w:rPr>
        <w:t xml:space="preserve"> provides that Schedule 1 amends the </w:t>
      </w:r>
      <w:r w:rsidR="00530473" w:rsidRPr="000C3478">
        <w:rPr>
          <w:i/>
          <w:szCs w:val="24"/>
        </w:rPr>
        <w:t>Fisheries Levy (Torres Strait Prawn Fishery) Regulations 1998</w:t>
      </w:r>
      <w:r w:rsidR="00530473" w:rsidRPr="000C3478">
        <w:rPr>
          <w:szCs w:val="24"/>
        </w:rPr>
        <w:t>.</w:t>
      </w:r>
    </w:p>
    <w:p w:rsidR="008F0D26" w:rsidRPr="0069302F" w:rsidRDefault="008F0D26" w:rsidP="008F0D26">
      <w:pPr>
        <w:tabs>
          <w:tab w:val="left" w:pos="3686"/>
          <w:tab w:val="left" w:pos="5245"/>
        </w:tabs>
        <w:spacing w:before="240"/>
        <w:jc w:val="both"/>
        <w:rPr>
          <w:szCs w:val="24"/>
          <w:u w:val="single"/>
        </w:rPr>
      </w:pPr>
      <w:r w:rsidRPr="0069302F">
        <w:rPr>
          <w:szCs w:val="24"/>
          <w:u w:val="single"/>
        </w:rPr>
        <w:t xml:space="preserve">Schedule 1 – Amendments </w:t>
      </w:r>
    </w:p>
    <w:p w:rsidR="00B87E8C" w:rsidRPr="000C3478" w:rsidRDefault="00B87E8C" w:rsidP="008F0D26">
      <w:pPr>
        <w:tabs>
          <w:tab w:val="left" w:pos="3686"/>
          <w:tab w:val="left" w:pos="5245"/>
        </w:tabs>
        <w:spacing w:before="240"/>
        <w:rPr>
          <w:szCs w:val="24"/>
        </w:rPr>
      </w:pPr>
      <w:r w:rsidRPr="003276D1">
        <w:rPr>
          <w:b/>
          <w:szCs w:val="24"/>
        </w:rPr>
        <w:t>Item 1</w:t>
      </w:r>
      <w:r w:rsidRPr="000C3478">
        <w:rPr>
          <w:b/>
          <w:szCs w:val="24"/>
        </w:rPr>
        <w:t xml:space="preserve"> </w:t>
      </w:r>
      <w:r w:rsidRPr="000C3478">
        <w:rPr>
          <w:szCs w:val="24"/>
        </w:rPr>
        <w:t xml:space="preserve">amends </w:t>
      </w:r>
      <w:proofErr w:type="spellStart"/>
      <w:r w:rsidR="00EE0CD0">
        <w:rPr>
          <w:szCs w:val="24"/>
        </w:rPr>
        <w:t>s</w:t>
      </w:r>
      <w:r w:rsidR="00EE0CD0" w:rsidRPr="000C3478">
        <w:rPr>
          <w:szCs w:val="24"/>
        </w:rPr>
        <w:t>ubregulation</w:t>
      </w:r>
      <w:proofErr w:type="spellEnd"/>
      <w:r w:rsidR="00EE0CD0" w:rsidRPr="000C3478">
        <w:rPr>
          <w:szCs w:val="24"/>
        </w:rPr>
        <w:t xml:space="preserve"> </w:t>
      </w:r>
      <w:r w:rsidRPr="000C3478">
        <w:rPr>
          <w:szCs w:val="24"/>
        </w:rPr>
        <w:t xml:space="preserve">4(1) </w:t>
      </w:r>
      <w:r w:rsidR="002E2C65">
        <w:rPr>
          <w:szCs w:val="24"/>
        </w:rPr>
        <w:t xml:space="preserve">and </w:t>
      </w:r>
      <w:proofErr w:type="spellStart"/>
      <w:r w:rsidR="002E2C65">
        <w:rPr>
          <w:szCs w:val="24"/>
        </w:rPr>
        <w:t>subregulation</w:t>
      </w:r>
      <w:proofErr w:type="spellEnd"/>
      <w:r w:rsidR="002E2C65">
        <w:rPr>
          <w:szCs w:val="24"/>
        </w:rPr>
        <w:t xml:space="preserve"> 4(2) </w:t>
      </w:r>
      <w:r w:rsidRPr="000C3478">
        <w:rPr>
          <w:szCs w:val="24"/>
        </w:rPr>
        <w:t>to</w:t>
      </w:r>
      <w:r w:rsidRPr="000C3478">
        <w:rPr>
          <w:b/>
          <w:szCs w:val="24"/>
        </w:rPr>
        <w:t xml:space="preserve"> </w:t>
      </w:r>
      <w:r w:rsidRPr="000C3478">
        <w:rPr>
          <w:szCs w:val="24"/>
        </w:rPr>
        <w:t>provide for the 201</w:t>
      </w:r>
      <w:r w:rsidR="00B30E8A">
        <w:rPr>
          <w:szCs w:val="24"/>
        </w:rPr>
        <w:t>4</w:t>
      </w:r>
      <w:r w:rsidRPr="000C3478">
        <w:rPr>
          <w:szCs w:val="24"/>
        </w:rPr>
        <w:t xml:space="preserve"> fee for the granting of a licence, </w:t>
      </w:r>
      <w:r w:rsidR="00883D2C">
        <w:rPr>
          <w:szCs w:val="24"/>
        </w:rPr>
        <w:t>by omitting the figure $3</w:t>
      </w:r>
      <w:r w:rsidR="00B30E8A">
        <w:rPr>
          <w:szCs w:val="24"/>
        </w:rPr>
        <w:t>359</w:t>
      </w:r>
      <w:r w:rsidR="00883D2C">
        <w:rPr>
          <w:szCs w:val="24"/>
        </w:rPr>
        <w:t>.</w:t>
      </w:r>
      <w:r w:rsidR="00B30E8A">
        <w:rPr>
          <w:szCs w:val="24"/>
        </w:rPr>
        <w:t>52</w:t>
      </w:r>
      <w:r w:rsidR="00883D2C">
        <w:rPr>
          <w:szCs w:val="24"/>
        </w:rPr>
        <w:t xml:space="preserve"> and inserting the figure $3</w:t>
      </w:r>
      <w:r w:rsidR="00B30E8A">
        <w:rPr>
          <w:szCs w:val="24"/>
        </w:rPr>
        <w:t>766</w:t>
      </w:r>
      <w:r w:rsidR="00883D2C">
        <w:rPr>
          <w:szCs w:val="24"/>
        </w:rPr>
        <w:t>.5</w:t>
      </w:r>
      <w:r w:rsidR="00B30E8A">
        <w:rPr>
          <w:szCs w:val="24"/>
        </w:rPr>
        <w:t>4</w:t>
      </w:r>
      <w:r w:rsidR="002E2C65">
        <w:rPr>
          <w:szCs w:val="24"/>
        </w:rPr>
        <w:t xml:space="preserve"> and for the fee payable on the grant of a license for each unit of capacity allocated to the person by omitting the figure $23.75 and inserting the figure $25.63.</w:t>
      </w:r>
    </w:p>
    <w:p w:rsidR="00904573" w:rsidRPr="000C3478" w:rsidRDefault="00B87E8C" w:rsidP="008F0D26">
      <w:pPr>
        <w:tabs>
          <w:tab w:val="left" w:pos="3686"/>
          <w:tab w:val="left" w:pos="5245"/>
        </w:tabs>
        <w:spacing w:before="240"/>
        <w:rPr>
          <w:szCs w:val="24"/>
        </w:rPr>
      </w:pPr>
      <w:r w:rsidRPr="000C3478">
        <w:rPr>
          <w:b/>
          <w:szCs w:val="24"/>
        </w:rPr>
        <w:lastRenderedPageBreak/>
        <w:t xml:space="preserve">Item 2 </w:t>
      </w:r>
      <w:r w:rsidR="00904573" w:rsidRPr="000C3478">
        <w:rPr>
          <w:szCs w:val="24"/>
        </w:rPr>
        <w:t xml:space="preserve">amends </w:t>
      </w:r>
      <w:proofErr w:type="spellStart"/>
      <w:r w:rsidR="00904573" w:rsidRPr="000C3478">
        <w:rPr>
          <w:szCs w:val="24"/>
        </w:rPr>
        <w:t>subregulation</w:t>
      </w:r>
      <w:proofErr w:type="spellEnd"/>
      <w:r w:rsidR="00904573">
        <w:rPr>
          <w:szCs w:val="24"/>
        </w:rPr>
        <w:t xml:space="preserve"> 4(3</w:t>
      </w:r>
      <w:r w:rsidR="00904573" w:rsidRPr="000C3478">
        <w:rPr>
          <w:szCs w:val="24"/>
        </w:rPr>
        <w:t>)</w:t>
      </w:r>
      <w:r w:rsidR="00904573">
        <w:rPr>
          <w:szCs w:val="24"/>
        </w:rPr>
        <w:t xml:space="preserve">, </w:t>
      </w:r>
      <w:proofErr w:type="spellStart"/>
      <w:r w:rsidR="00904573">
        <w:rPr>
          <w:szCs w:val="24"/>
        </w:rPr>
        <w:t>subregulation</w:t>
      </w:r>
      <w:proofErr w:type="spellEnd"/>
      <w:r w:rsidR="00904573">
        <w:rPr>
          <w:szCs w:val="24"/>
        </w:rPr>
        <w:t xml:space="preserve"> 4(4) and </w:t>
      </w:r>
      <w:proofErr w:type="spellStart"/>
      <w:r w:rsidR="00904573">
        <w:rPr>
          <w:szCs w:val="24"/>
        </w:rPr>
        <w:t>subregulation</w:t>
      </w:r>
      <w:proofErr w:type="spellEnd"/>
      <w:r w:rsidR="00904573">
        <w:rPr>
          <w:szCs w:val="24"/>
        </w:rPr>
        <w:t xml:space="preserve"> 4(5) </w:t>
      </w:r>
      <w:r w:rsidR="00904573" w:rsidRPr="000C3478">
        <w:rPr>
          <w:szCs w:val="24"/>
        </w:rPr>
        <w:t>to</w:t>
      </w:r>
      <w:r w:rsidR="00904573" w:rsidRPr="000C3478">
        <w:rPr>
          <w:b/>
          <w:szCs w:val="24"/>
        </w:rPr>
        <w:t xml:space="preserve"> </w:t>
      </w:r>
      <w:r w:rsidR="00904573" w:rsidRPr="000C3478">
        <w:rPr>
          <w:szCs w:val="24"/>
        </w:rPr>
        <w:t xml:space="preserve">provide the fee payable for each unit of fishing capacity </w:t>
      </w:r>
      <w:r w:rsidR="00904573">
        <w:rPr>
          <w:szCs w:val="24"/>
        </w:rPr>
        <w:t>by omitting the figure $2</w:t>
      </w:r>
      <w:r w:rsidR="00B30E8A">
        <w:rPr>
          <w:szCs w:val="24"/>
        </w:rPr>
        <w:t>3</w:t>
      </w:r>
      <w:r w:rsidR="00904573">
        <w:rPr>
          <w:szCs w:val="24"/>
        </w:rPr>
        <w:t>.</w:t>
      </w:r>
      <w:r w:rsidR="00B30E8A">
        <w:rPr>
          <w:szCs w:val="24"/>
        </w:rPr>
        <w:t>75</w:t>
      </w:r>
      <w:r w:rsidR="00904573">
        <w:rPr>
          <w:szCs w:val="24"/>
        </w:rPr>
        <w:t xml:space="preserve"> and inserting the figure $2</w:t>
      </w:r>
      <w:r w:rsidR="00B30E8A">
        <w:rPr>
          <w:szCs w:val="24"/>
        </w:rPr>
        <w:t>5</w:t>
      </w:r>
      <w:r w:rsidR="00904573">
        <w:rPr>
          <w:szCs w:val="24"/>
        </w:rPr>
        <w:t>.</w:t>
      </w:r>
      <w:r w:rsidR="00B30E8A">
        <w:rPr>
          <w:szCs w:val="24"/>
        </w:rPr>
        <w:t>63</w:t>
      </w:r>
      <w:r w:rsidR="00904573">
        <w:rPr>
          <w:szCs w:val="24"/>
        </w:rPr>
        <w:t>.</w:t>
      </w:r>
    </w:p>
    <w:p w:rsidR="00904573" w:rsidRPr="000C3478" w:rsidRDefault="00904573" w:rsidP="008F0D26">
      <w:pPr>
        <w:tabs>
          <w:tab w:val="left" w:pos="3686"/>
          <w:tab w:val="left" w:pos="5245"/>
        </w:tabs>
        <w:spacing w:before="240"/>
        <w:rPr>
          <w:szCs w:val="24"/>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75808" w:rsidRDefault="00A75808" w:rsidP="000C3478">
      <w:pPr>
        <w:tabs>
          <w:tab w:val="left" w:pos="3686"/>
          <w:tab w:val="left" w:pos="5245"/>
        </w:tabs>
        <w:ind w:left="-357"/>
        <w:jc w:val="right"/>
        <w:rPr>
          <w:b/>
          <w:szCs w:val="24"/>
          <w:u w:val="single"/>
        </w:rPr>
      </w:pPr>
    </w:p>
    <w:p w:rsidR="00AD1CB0" w:rsidRPr="0069302F" w:rsidRDefault="00AD1CB0" w:rsidP="000C3478">
      <w:pPr>
        <w:tabs>
          <w:tab w:val="left" w:pos="3686"/>
          <w:tab w:val="left" w:pos="5245"/>
        </w:tabs>
        <w:ind w:left="-357"/>
        <w:jc w:val="right"/>
        <w:rPr>
          <w:b/>
          <w:szCs w:val="24"/>
        </w:rPr>
      </w:pPr>
      <w:r w:rsidRPr="0069302F">
        <w:rPr>
          <w:b/>
          <w:szCs w:val="24"/>
          <w:u w:val="single"/>
        </w:rPr>
        <w:t>A</w:t>
      </w:r>
      <w:r w:rsidR="00C15AF5" w:rsidRPr="0069302F">
        <w:rPr>
          <w:b/>
          <w:szCs w:val="24"/>
          <w:u w:val="single"/>
        </w:rPr>
        <w:t>TTACHMENT A</w:t>
      </w:r>
    </w:p>
    <w:p w:rsidR="00AD1CB0" w:rsidRPr="00B013F2" w:rsidRDefault="00AD1CB0" w:rsidP="00C15AF5">
      <w:pPr>
        <w:spacing w:before="120"/>
        <w:ind w:left="-357" w:right="-1" w:firstLine="357"/>
        <w:rPr>
          <w:b/>
          <w:szCs w:val="24"/>
        </w:rPr>
      </w:pPr>
      <w:r w:rsidRPr="00B013F2">
        <w:rPr>
          <w:b/>
          <w:szCs w:val="24"/>
        </w:rPr>
        <w:t>Basis of the levy</w:t>
      </w:r>
    </w:p>
    <w:p w:rsidR="00D02F8B" w:rsidRDefault="00D02F8B" w:rsidP="00C15AF5">
      <w:pPr>
        <w:pStyle w:val="Contactdetails"/>
        <w:spacing w:before="240"/>
        <w:jc w:val="both"/>
        <w:rPr>
          <w:szCs w:val="24"/>
          <w:lang w:eastAsia="en-US"/>
        </w:rPr>
      </w:pPr>
      <w:r w:rsidRPr="0069302F">
        <w:rPr>
          <w:szCs w:val="24"/>
          <w:lang w:eastAsia="en-US"/>
        </w:rPr>
        <w:t>Table 1</w:t>
      </w:r>
      <w:r w:rsidRPr="000C3478">
        <w:rPr>
          <w:szCs w:val="24"/>
          <w:lang w:eastAsia="en-US"/>
        </w:rPr>
        <w:t>. Levy Calculation. This describes the basis for the 201</w:t>
      </w:r>
      <w:r>
        <w:rPr>
          <w:szCs w:val="24"/>
          <w:lang w:eastAsia="en-US"/>
        </w:rPr>
        <w:t>4 levy</w:t>
      </w:r>
      <w:r w:rsidRPr="000C3478">
        <w:rPr>
          <w:szCs w:val="24"/>
          <w:lang w:eastAsia="en-US"/>
        </w:rPr>
        <w:t xml:space="preserve"> based on the 201</w:t>
      </w:r>
      <w:r>
        <w:rPr>
          <w:szCs w:val="24"/>
          <w:lang w:eastAsia="en-US"/>
        </w:rPr>
        <w:t>3</w:t>
      </w:r>
      <w:r w:rsidRPr="000C3478">
        <w:rPr>
          <w:szCs w:val="24"/>
          <w:lang w:eastAsia="en-US"/>
        </w:rPr>
        <w:t>–1</w:t>
      </w:r>
      <w:r>
        <w:rPr>
          <w:szCs w:val="24"/>
          <w:lang w:eastAsia="en-US"/>
        </w:rPr>
        <w:t>4</w:t>
      </w:r>
      <w:r w:rsidRPr="000C3478">
        <w:rPr>
          <w:szCs w:val="24"/>
          <w:lang w:eastAsia="en-US"/>
        </w:rPr>
        <w:t xml:space="preserve"> financial year budget.</w:t>
      </w:r>
      <w:r>
        <w:rPr>
          <w:szCs w:val="24"/>
          <w:lang w:eastAsia="en-US"/>
        </w:rPr>
        <w:t xml:space="preserve">  Levy costs associated with different budget items (A, B and C below) are divided between the licences and units. These splits are agreed to by the Torres Strait Protected Zone Joint Authority.</w:t>
      </w:r>
    </w:p>
    <w:p w:rsidR="00D02F8B" w:rsidRPr="000C3478" w:rsidRDefault="00D02F8B" w:rsidP="00D02F8B">
      <w:pPr>
        <w:spacing w:before="120"/>
        <w:ind w:left="-357" w:right="-1"/>
        <w:rPr>
          <w:szCs w:val="24"/>
        </w:rPr>
      </w:pPr>
    </w:p>
    <w:tbl>
      <w:tblPr>
        <w:tblW w:w="9999" w:type="dxa"/>
        <w:tblInd w:w="-252" w:type="dxa"/>
        <w:tblLayout w:type="fixed"/>
        <w:tblLook w:val="0000" w:firstRow="0" w:lastRow="0" w:firstColumn="0" w:lastColumn="0" w:noHBand="0" w:noVBand="0"/>
      </w:tblPr>
      <w:tblGrid>
        <w:gridCol w:w="1884"/>
        <w:gridCol w:w="1788"/>
        <w:gridCol w:w="1800"/>
        <w:gridCol w:w="1409"/>
        <w:gridCol w:w="850"/>
        <w:gridCol w:w="1418"/>
        <w:gridCol w:w="850"/>
      </w:tblGrid>
      <w:tr w:rsidR="00D02F8B" w:rsidRPr="000C3478" w:rsidTr="0059640F">
        <w:trPr>
          <w:trHeight w:val="420"/>
        </w:trPr>
        <w:tc>
          <w:tcPr>
            <w:tcW w:w="1884" w:type="dxa"/>
            <w:vMerge w:val="restart"/>
            <w:tcBorders>
              <w:top w:val="single" w:sz="8" w:space="0" w:color="auto"/>
              <w:left w:val="single" w:sz="8" w:space="0" w:color="auto"/>
              <w:right w:val="nil"/>
            </w:tcBorders>
            <w:shd w:val="clear" w:color="auto" w:fill="auto"/>
            <w:noWrap/>
            <w:vAlign w:val="center"/>
          </w:tcPr>
          <w:p w:rsidR="00D02F8B" w:rsidRPr="000C3478" w:rsidRDefault="00D02F8B" w:rsidP="0059640F">
            <w:pPr>
              <w:jc w:val="center"/>
              <w:rPr>
                <w:szCs w:val="24"/>
              </w:rPr>
            </w:pPr>
          </w:p>
        </w:tc>
        <w:tc>
          <w:tcPr>
            <w:tcW w:w="1788" w:type="dxa"/>
            <w:vMerge w:val="restart"/>
            <w:tcBorders>
              <w:top w:val="single" w:sz="8" w:space="0" w:color="auto"/>
              <w:left w:val="single" w:sz="4" w:space="0" w:color="auto"/>
              <w:right w:val="single" w:sz="4" w:space="0" w:color="auto"/>
            </w:tcBorders>
            <w:vAlign w:val="center"/>
          </w:tcPr>
          <w:p w:rsidR="00D02F8B" w:rsidRPr="000C3478" w:rsidRDefault="00D02F8B" w:rsidP="0059640F">
            <w:pPr>
              <w:jc w:val="center"/>
              <w:rPr>
                <w:b/>
                <w:bCs/>
                <w:szCs w:val="24"/>
              </w:rPr>
            </w:pPr>
            <w:r w:rsidRPr="000C3478">
              <w:rPr>
                <w:b/>
                <w:bCs/>
                <w:szCs w:val="24"/>
              </w:rPr>
              <w:t>Cost recovered budget</w:t>
            </w:r>
          </w:p>
          <w:p w:rsidR="00D02F8B" w:rsidRPr="000C3478" w:rsidRDefault="00D02F8B" w:rsidP="0059640F">
            <w:pPr>
              <w:jc w:val="center"/>
              <w:rPr>
                <w:b/>
                <w:bCs/>
                <w:szCs w:val="24"/>
              </w:rPr>
            </w:pPr>
            <w:r w:rsidRPr="000C3478">
              <w:rPr>
                <w:b/>
                <w:bCs/>
                <w:szCs w:val="24"/>
              </w:rPr>
              <w:t>2012–</w:t>
            </w:r>
            <w:r>
              <w:rPr>
                <w:b/>
                <w:bCs/>
                <w:szCs w:val="24"/>
              </w:rPr>
              <w:t>13</w:t>
            </w:r>
          </w:p>
          <w:p w:rsidR="00D02F8B" w:rsidRPr="000C3478" w:rsidRDefault="00D02F8B" w:rsidP="0059640F">
            <w:pPr>
              <w:rPr>
                <w:b/>
                <w:bCs/>
                <w:szCs w:val="24"/>
              </w:rPr>
            </w:pPr>
          </w:p>
        </w:tc>
        <w:tc>
          <w:tcPr>
            <w:tcW w:w="1800" w:type="dxa"/>
            <w:vMerge w:val="restart"/>
            <w:tcBorders>
              <w:top w:val="single" w:sz="8" w:space="0" w:color="auto"/>
              <w:left w:val="single" w:sz="4" w:space="0" w:color="auto"/>
              <w:right w:val="single" w:sz="4" w:space="0" w:color="auto"/>
            </w:tcBorders>
            <w:shd w:val="clear" w:color="auto" w:fill="auto"/>
            <w:noWrap/>
            <w:vAlign w:val="center"/>
          </w:tcPr>
          <w:p w:rsidR="00D02F8B" w:rsidRPr="000C3478" w:rsidRDefault="00D02F8B" w:rsidP="0059640F">
            <w:pPr>
              <w:jc w:val="center"/>
              <w:rPr>
                <w:b/>
                <w:bCs/>
                <w:szCs w:val="24"/>
              </w:rPr>
            </w:pPr>
            <w:r w:rsidRPr="000C3478">
              <w:rPr>
                <w:b/>
                <w:bCs/>
                <w:szCs w:val="24"/>
              </w:rPr>
              <w:t>Cost recovered budget</w:t>
            </w:r>
          </w:p>
          <w:p w:rsidR="00D02F8B" w:rsidRDefault="00D02F8B" w:rsidP="0059640F">
            <w:pPr>
              <w:jc w:val="center"/>
              <w:rPr>
                <w:b/>
                <w:bCs/>
                <w:szCs w:val="24"/>
              </w:rPr>
            </w:pPr>
            <w:r>
              <w:rPr>
                <w:b/>
                <w:bCs/>
                <w:szCs w:val="24"/>
              </w:rPr>
              <w:t>2013-14</w:t>
            </w:r>
          </w:p>
          <w:p w:rsidR="00D02F8B" w:rsidRPr="000C3478" w:rsidRDefault="00D02F8B" w:rsidP="0059640F">
            <w:pPr>
              <w:rPr>
                <w:b/>
                <w:bCs/>
                <w:szCs w:val="24"/>
              </w:rPr>
            </w:pPr>
          </w:p>
        </w:tc>
        <w:tc>
          <w:tcPr>
            <w:tcW w:w="2259" w:type="dxa"/>
            <w:gridSpan w:val="2"/>
            <w:tcBorders>
              <w:top w:val="single" w:sz="8" w:space="0" w:color="auto"/>
              <w:left w:val="nil"/>
              <w:bottom w:val="single" w:sz="4" w:space="0" w:color="auto"/>
              <w:right w:val="single" w:sz="12" w:space="0" w:color="auto"/>
            </w:tcBorders>
            <w:vAlign w:val="center"/>
          </w:tcPr>
          <w:p w:rsidR="00D02F8B" w:rsidRPr="000C3478" w:rsidRDefault="00D02F8B" w:rsidP="0059640F">
            <w:pPr>
              <w:jc w:val="center"/>
              <w:rPr>
                <w:b/>
                <w:szCs w:val="24"/>
              </w:rPr>
            </w:pPr>
            <w:r>
              <w:rPr>
                <w:b/>
                <w:szCs w:val="24"/>
              </w:rPr>
              <w:t>Licences</w:t>
            </w:r>
          </w:p>
        </w:tc>
        <w:tc>
          <w:tcPr>
            <w:tcW w:w="2268" w:type="dxa"/>
            <w:gridSpan w:val="2"/>
            <w:tcBorders>
              <w:top w:val="single" w:sz="8" w:space="0" w:color="auto"/>
              <w:left w:val="nil"/>
              <w:bottom w:val="single" w:sz="4" w:space="0" w:color="auto"/>
              <w:right w:val="single" w:sz="12" w:space="0" w:color="auto"/>
            </w:tcBorders>
            <w:vAlign w:val="center"/>
          </w:tcPr>
          <w:p w:rsidR="00D02F8B" w:rsidRPr="000C3478" w:rsidRDefault="00D02F8B" w:rsidP="0059640F">
            <w:pPr>
              <w:jc w:val="center"/>
              <w:rPr>
                <w:b/>
                <w:szCs w:val="24"/>
              </w:rPr>
            </w:pPr>
            <w:r>
              <w:rPr>
                <w:b/>
                <w:szCs w:val="24"/>
              </w:rPr>
              <w:t xml:space="preserve">Unit </w:t>
            </w:r>
          </w:p>
        </w:tc>
      </w:tr>
      <w:tr w:rsidR="00D02F8B" w:rsidRPr="000C3478" w:rsidTr="0059640F">
        <w:trPr>
          <w:trHeight w:val="705"/>
        </w:trPr>
        <w:tc>
          <w:tcPr>
            <w:tcW w:w="1884" w:type="dxa"/>
            <w:vMerge/>
            <w:tcBorders>
              <w:left w:val="single" w:sz="8" w:space="0" w:color="auto"/>
              <w:right w:val="nil"/>
            </w:tcBorders>
            <w:shd w:val="clear" w:color="auto" w:fill="auto"/>
            <w:noWrap/>
            <w:vAlign w:val="center"/>
          </w:tcPr>
          <w:p w:rsidR="00D02F8B" w:rsidRPr="000C3478" w:rsidRDefault="00D02F8B" w:rsidP="0059640F">
            <w:pPr>
              <w:jc w:val="center"/>
              <w:rPr>
                <w:szCs w:val="24"/>
              </w:rPr>
            </w:pPr>
          </w:p>
        </w:tc>
        <w:tc>
          <w:tcPr>
            <w:tcW w:w="1788" w:type="dxa"/>
            <w:vMerge/>
            <w:tcBorders>
              <w:left w:val="single" w:sz="4" w:space="0" w:color="auto"/>
              <w:bottom w:val="single" w:sz="4" w:space="0" w:color="auto"/>
              <w:right w:val="single" w:sz="4" w:space="0" w:color="auto"/>
            </w:tcBorders>
            <w:vAlign w:val="center"/>
          </w:tcPr>
          <w:p w:rsidR="00D02F8B" w:rsidRPr="000C3478" w:rsidRDefault="00D02F8B" w:rsidP="0059640F">
            <w:pPr>
              <w:jc w:val="center"/>
              <w:rPr>
                <w:b/>
                <w:bCs/>
                <w:szCs w:val="24"/>
              </w:rPr>
            </w:pPr>
          </w:p>
        </w:tc>
        <w:tc>
          <w:tcPr>
            <w:tcW w:w="1800" w:type="dxa"/>
            <w:vMerge/>
            <w:tcBorders>
              <w:left w:val="single" w:sz="4" w:space="0" w:color="auto"/>
              <w:bottom w:val="single" w:sz="4" w:space="0" w:color="auto"/>
              <w:right w:val="single" w:sz="4" w:space="0" w:color="auto"/>
            </w:tcBorders>
            <w:shd w:val="clear" w:color="auto" w:fill="auto"/>
            <w:noWrap/>
            <w:vAlign w:val="center"/>
          </w:tcPr>
          <w:p w:rsidR="00D02F8B" w:rsidRPr="000C3478" w:rsidRDefault="00D02F8B" w:rsidP="0059640F">
            <w:pPr>
              <w:jc w:val="center"/>
              <w:rPr>
                <w:b/>
                <w:bCs/>
                <w:szCs w:val="24"/>
              </w:rPr>
            </w:pPr>
          </w:p>
        </w:tc>
        <w:tc>
          <w:tcPr>
            <w:tcW w:w="1409" w:type="dxa"/>
            <w:tcBorders>
              <w:top w:val="single" w:sz="4" w:space="0" w:color="auto"/>
              <w:left w:val="nil"/>
              <w:bottom w:val="single" w:sz="4" w:space="0" w:color="auto"/>
              <w:right w:val="single" w:sz="4" w:space="0" w:color="auto"/>
            </w:tcBorders>
            <w:vAlign w:val="center"/>
          </w:tcPr>
          <w:p w:rsidR="00D02F8B" w:rsidRDefault="00D02F8B" w:rsidP="0059640F">
            <w:pPr>
              <w:jc w:val="center"/>
              <w:rPr>
                <w:b/>
                <w:szCs w:val="24"/>
              </w:rPr>
            </w:pPr>
            <w:r>
              <w:rPr>
                <w:b/>
                <w:szCs w:val="24"/>
              </w:rPr>
              <w:t>component 2014 levy</w:t>
            </w:r>
          </w:p>
        </w:tc>
        <w:tc>
          <w:tcPr>
            <w:tcW w:w="850" w:type="dxa"/>
            <w:tcBorders>
              <w:top w:val="single" w:sz="4" w:space="0" w:color="auto"/>
              <w:left w:val="single" w:sz="4" w:space="0" w:color="auto"/>
              <w:bottom w:val="single" w:sz="4" w:space="0" w:color="auto"/>
              <w:right w:val="single" w:sz="12" w:space="0" w:color="auto"/>
            </w:tcBorders>
            <w:vAlign w:val="center"/>
          </w:tcPr>
          <w:p w:rsidR="00D02F8B" w:rsidRDefault="00D02F8B" w:rsidP="0059640F">
            <w:pPr>
              <w:jc w:val="center"/>
              <w:rPr>
                <w:b/>
                <w:szCs w:val="24"/>
              </w:rPr>
            </w:pPr>
            <w:r>
              <w:rPr>
                <w:b/>
                <w:szCs w:val="24"/>
              </w:rPr>
              <w:t xml:space="preserve">% of </w:t>
            </w:r>
          </w:p>
          <w:p w:rsidR="00D02F8B" w:rsidRDefault="00D02F8B" w:rsidP="0059640F">
            <w:pPr>
              <w:jc w:val="center"/>
              <w:rPr>
                <w:b/>
                <w:szCs w:val="24"/>
              </w:rPr>
            </w:pPr>
            <w:r>
              <w:rPr>
                <w:b/>
                <w:szCs w:val="24"/>
              </w:rPr>
              <w:t>total</w:t>
            </w:r>
          </w:p>
        </w:tc>
        <w:tc>
          <w:tcPr>
            <w:tcW w:w="1418" w:type="dxa"/>
            <w:tcBorders>
              <w:top w:val="single" w:sz="4" w:space="0" w:color="auto"/>
              <w:left w:val="nil"/>
              <w:bottom w:val="single" w:sz="4" w:space="0" w:color="auto"/>
              <w:right w:val="single" w:sz="4" w:space="0" w:color="auto"/>
            </w:tcBorders>
            <w:vAlign w:val="center"/>
          </w:tcPr>
          <w:p w:rsidR="00D02F8B" w:rsidRDefault="00D02F8B" w:rsidP="0059640F">
            <w:pPr>
              <w:jc w:val="center"/>
              <w:rPr>
                <w:b/>
                <w:szCs w:val="24"/>
              </w:rPr>
            </w:pPr>
            <w:r>
              <w:rPr>
                <w:b/>
                <w:szCs w:val="24"/>
              </w:rPr>
              <w:t>component 2014 levy</w:t>
            </w:r>
          </w:p>
        </w:tc>
        <w:tc>
          <w:tcPr>
            <w:tcW w:w="850" w:type="dxa"/>
            <w:tcBorders>
              <w:top w:val="single" w:sz="4" w:space="0" w:color="auto"/>
              <w:left w:val="single" w:sz="4" w:space="0" w:color="auto"/>
              <w:bottom w:val="single" w:sz="4" w:space="0" w:color="auto"/>
              <w:right w:val="single" w:sz="12" w:space="0" w:color="auto"/>
            </w:tcBorders>
            <w:vAlign w:val="center"/>
          </w:tcPr>
          <w:p w:rsidR="00D02F8B" w:rsidRDefault="00D02F8B" w:rsidP="0059640F">
            <w:pPr>
              <w:jc w:val="center"/>
              <w:rPr>
                <w:b/>
                <w:szCs w:val="24"/>
              </w:rPr>
            </w:pPr>
            <w:r>
              <w:rPr>
                <w:b/>
                <w:szCs w:val="24"/>
              </w:rPr>
              <w:t>% of total</w:t>
            </w:r>
          </w:p>
          <w:p w:rsidR="00D02F8B" w:rsidRDefault="00D02F8B" w:rsidP="0059640F">
            <w:pPr>
              <w:jc w:val="center"/>
              <w:rPr>
                <w:b/>
                <w:szCs w:val="24"/>
              </w:rPr>
            </w:pPr>
          </w:p>
        </w:tc>
      </w:tr>
      <w:tr w:rsidR="00D02F8B" w:rsidRPr="000C3478" w:rsidTr="0059640F">
        <w:trPr>
          <w:trHeight w:val="315"/>
        </w:trPr>
        <w:tc>
          <w:tcPr>
            <w:tcW w:w="1884"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D02F8B" w:rsidRPr="000C3478" w:rsidRDefault="00D02F8B" w:rsidP="0059640F">
            <w:pPr>
              <w:jc w:val="center"/>
              <w:rPr>
                <w:szCs w:val="24"/>
              </w:rPr>
            </w:pPr>
            <w:proofErr w:type="spellStart"/>
            <w:r w:rsidRPr="000C3478">
              <w:rPr>
                <w:szCs w:val="24"/>
              </w:rPr>
              <w:t>AFMA</w:t>
            </w:r>
            <w:proofErr w:type="spellEnd"/>
            <w:r w:rsidRPr="000C3478">
              <w:rPr>
                <w:szCs w:val="24"/>
              </w:rPr>
              <w:t xml:space="preserve"> logbook management</w:t>
            </w:r>
            <w:r>
              <w:rPr>
                <w:szCs w:val="24"/>
              </w:rPr>
              <w:t xml:space="preserve"> </w:t>
            </w:r>
            <w:r w:rsidRPr="00D60425">
              <w:rPr>
                <w:b/>
                <w:szCs w:val="24"/>
              </w:rPr>
              <w:t>(A)</w:t>
            </w:r>
          </w:p>
        </w:tc>
        <w:tc>
          <w:tcPr>
            <w:tcW w:w="1788" w:type="dxa"/>
            <w:tcBorders>
              <w:top w:val="single" w:sz="4" w:space="0" w:color="auto"/>
              <w:left w:val="single" w:sz="4" w:space="0" w:color="auto"/>
              <w:bottom w:val="single" w:sz="4" w:space="0" w:color="auto"/>
              <w:right w:val="single" w:sz="4" w:space="0" w:color="auto"/>
            </w:tcBorders>
            <w:vAlign w:val="center"/>
          </w:tcPr>
          <w:p w:rsidR="00D02F8B" w:rsidRPr="000C3478" w:rsidRDefault="00D02F8B" w:rsidP="0059640F">
            <w:pPr>
              <w:ind w:left="-357"/>
              <w:jc w:val="center"/>
              <w:rPr>
                <w:szCs w:val="24"/>
              </w:rPr>
            </w:pPr>
            <w:r>
              <w:rPr>
                <w:szCs w:val="24"/>
              </w:rPr>
              <w:t>$</w:t>
            </w:r>
            <w:r w:rsidRPr="000C3478">
              <w:rPr>
                <w:szCs w:val="24"/>
              </w:rPr>
              <w:t>8,974</w:t>
            </w:r>
          </w:p>
        </w:tc>
        <w:tc>
          <w:tcPr>
            <w:tcW w:w="1800" w:type="dxa"/>
            <w:tcBorders>
              <w:top w:val="nil"/>
              <w:left w:val="single" w:sz="4" w:space="0" w:color="auto"/>
              <w:bottom w:val="single" w:sz="4" w:space="0" w:color="auto"/>
              <w:right w:val="nil"/>
            </w:tcBorders>
            <w:shd w:val="clear" w:color="auto" w:fill="auto"/>
            <w:noWrap/>
            <w:vAlign w:val="center"/>
          </w:tcPr>
          <w:p w:rsidR="00D02F8B" w:rsidRPr="000C3478" w:rsidRDefault="00D02F8B" w:rsidP="0059640F">
            <w:pPr>
              <w:ind w:left="-357"/>
              <w:jc w:val="center"/>
              <w:rPr>
                <w:szCs w:val="24"/>
              </w:rPr>
            </w:pPr>
            <w:r>
              <w:rPr>
                <w:szCs w:val="24"/>
              </w:rPr>
              <w:t>$14,428</w:t>
            </w:r>
          </w:p>
        </w:tc>
        <w:tc>
          <w:tcPr>
            <w:tcW w:w="1409" w:type="dxa"/>
            <w:tcBorders>
              <w:top w:val="nil"/>
              <w:left w:val="single" w:sz="4" w:space="0" w:color="auto"/>
              <w:bottom w:val="single" w:sz="4" w:space="0" w:color="auto"/>
              <w:right w:val="single" w:sz="4" w:space="0" w:color="auto"/>
            </w:tcBorders>
            <w:vAlign w:val="center"/>
          </w:tcPr>
          <w:p w:rsidR="00D02F8B" w:rsidRPr="00001A40" w:rsidRDefault="00D02F8B" w:rsidP="0059640F">
            <w:pPr>
              <w:ind w:left="-357"/>
              <w:jc w:val="center"/>
              <w:rPr>
                <w:szCs w:val="24"/>
              </w:rPr>
            </w:pPr>
            <w:r w:rsidRPr="00001A40">
              <w:rPr>
                <w:szCs w:val="24"/>
              </w:rPr>
              <w:t>0</w:t>
            </w:r>
          </w:p>
        </w:tc>
        <w:tc>
          <w:tcPr>
            <w:tcW w:w="850" w:type="dxa"/>
            <w:tcBorders>
              <w:top w:val="nil"/>
              <w:left w:val="single" w:sz="4" w:space="0" w:color="auto"/>
              <w:bottom w:val="single" w:sz="4" w:space="0" w:color="auto"/>
              <w:right w:val="single" w:sz="12" w:space="0" w:color="auto"/>
            </w:tcBorders>
            <w:vAlign w:val="center"/>
          </w:tcPr>
          <w:p w:rsidR="00D02F8B" w:rsidRPr="00001A40" w:rsidRDefault="00D02F8B" w:rsidP="0059640F">
            <w:pPr>
              <w:ind w:left="-357"/>
              <w:jc w:val="center"/>
              <w:rPr>
                <w:szCs w:val="24"/>
              </w:rPr>
            </w:pPr>
            <w:r>
              <w:rPr>
                <w:szCs w:val="24"/>
              </w:rPr>
              <w:t>0</w:t>
            </w:r>
          </w:p>
        </w:tc>
        <w:tc>
          <w:tcPr>
            <w:tcW w:w="1418" w:type="dxa"/>
            <w:tcBorders>
              <w:top w:val="nil"/>
              <w:left w:val="single" w:sz="4" w:space="0" w:color="auto"/>
              <w:bottom w:val="single" w:sz="4" w:space="0" w:color="auto"/>
              <w:right w:val="single" w:sz="4" w:space="0" w:color="auto"/>
            </w:tcBorders>
            <w:vAlign w:val="center"/>
          </w:tcPr>
          <w:p w:rsidR="00D02F8B" w:rsidRPr="00001A40" w:rsidRDefault="00D02F8B" w:rsidP="0059640F">
            <w:pPr>
              <w:ind w:left="-357"/>
              <w:jc w:val="center"/>
              <w:rPr>
                <w:szCs w:val="24"/>
              </w:rPr>
            </w:pPr>
            <w:r>
              <w:rPr>
                <w:szCs w:val="24"/>
              </w:rPr>
              <w:t>$</w:t>
            </w:r>
            <w:r w:rsidRPr="00001A40">
              <w:rPr>
                <w:szCs w:val="24"/>
              </w:rPr>
              <w:t>14,428</w:t>
            </w:r>
          </w:p>
        </w:tc>
        <w:tc>
          <w:tcPr>
            <w:tcW w:w="850" w:type="dxa"/>
            <w:tcBorders>
              <w:top w:val="nil"/>
              <w:left w:val="single" w:sz="4" w:space="0" w:color="auto"/>
              <w:bottom w:val="single" w:sz="4" w:space="0" w:color="auto"/>
              <w:right w:val="single" w:sz="12" w:space="0" w:color="auto"/>
            </w:tcBorders>
            <w:vAlign w:val="center"/>
          </w:tcPr>
          <w:p w:rsidR="00D02F8B" w:rsidRPr="00001A40" w:rsidRDefault="00D02F8B" w:rsidP="0059640F">
            <w:pPr>
              <w:ind w:left="-357"/>
              <w:jc w:val="center"/>
              <w:rPr>
                <w:szCs w:val="24"/>
              </w:rPr>
            </w:pPr>
            <w:r>
              <w:rPr>
                <w:szCs w:val="24"/>
              </w:rPr>
              <w:t>60</w:t>
            </w:r>
          </w:p>
        </w:tc>
      </w:tr>
      <w:tr w:rsidR="00D02F8B" w:rsidRPr="000C3478" w:rsidTr="0059640F">
        <w:trPr>
          <w:trHeight w:val="330"/>
        </w:trPr>
        <w:tc>
          <w:tcPr>
            <w:tcW w:w="1884" w:type="dxa"/>
            <w:tcBorders>
              <w:top w:val="single" w:sz="4" w:space="0" w:color="auto"/>
              <w:left w:val="single" w:sz="8" w:space="0" w:color="auto"/>
              <w:bottom w:val="single" w:sz="4" w:space="0" w:color="auto"/>
              <w:right w:val="single" w:sz="4" w:space="0" w:color="000000"/>
            </w:tcBorders>
            <w:shd w:val="clear" w:color="auto" w:fill="auto"/>
            <w:noWrap/>
            <w:vAlign w:val="center"/>
          </w:tcPr>
          <w:p w:rsidR="00D02F8B" w:rsidRPr="000C3478" w:rsidRDefault="00D02F8B" w:rsidP="0059640F">
            <w:pPr>
              <w:jc w:val="center"/>
              <w:rPr>
                <w:szCs w:val="24"/>
              </w:rPr>
            </w:pPr>
            <w:r w:rsidRPr="000C3478">
              <w:rPr>
                <w:szCs w:val="24"/>
              </w:rPr>
              <w:t xml:space="preserve">Queensland Boating and Fisheries Patrol (surveillance) </w:t>
            </w:r>
            <w:r w:rsidRPr="00D60425">
              <w:rPr>
                <w:b/>
                <w:szCs w:val="24"/>
              </w:rPr>
              <w:t>(B)</w:t>
            </w:r>
          </w:p>
        </w:tc>
        <w:tc>
          <w:tcPr>
            <w:tcW w:w="1788" w:type="dxa"/>
            <w:tcBorders>
              <w:top w:val="nil"/>
              <w:left w:val="single" w:sz="4" w:space="0" w:color="auto"/>
              <w:bottom w:val="single" w:sz="4" w:space="0" w:color="auto"/>
              <w:right w:val="single" w:sz="4" w:space="0" w:color="auto"/>
            </w:tcBorders>
            <w:vAlign w:val="center"/>
          </w:tcPr>
          <w:p w:rsidR="00D02F8B" w:rsidRPr="000C3478" w:rsidRDefault="00D02F8B" w:rsidP="0059640F">
            <w:pPr>
              <w:ind w:left="-357"/>
              <w:jc w:val="center"/>
              <w:rPr>
                <w:szCs w:val="24"/>
              </w:rPr>
            </w:pPr>
            <w:r>
              <w:rPr>
                <w:szCs w:val="24"/>
              </w:rPr>
              <w:t>$</w:t>
            </w:r>
            <w:r w:rsidRPr="000C3478">
              <w:rPr>
                <w:szCs w:val="24"/>
              </w:rPr>
              <w:t>67,594</w:t>
            </w:r>
          </w:p>
        </w:tc>
        <w:tc>
          <w:tcPr>
            <w:tcW w:w="1800" w:type="dxa"/>
            <w:tcBorders>
              <w:top w:val="nil"/>
              <w:left w:val="single" w:sz="4" w:space="0" w:color="auto"/>
              <w:bottom w:val="single" w:sz="4" w:space="0" w:color="auto"/>
              <w:right w:val="nil"/>
            </w:tcBorders>
            <w:shd w:val="clear" w:color="auto" w:fill="auto"/>
            <w:noWrap/>
            <w:vAlign w:val="center"/>
          </w:tcPr>
          <w:p w:rsidR="00D02F8B" w:rsidRPr="000C3478" w:rsidRDefault="00D02F8B" w:rsidP="0059640F">
            <w:pPr>
              <w:ind w:left="-357"/>
              <w:jc w:val="center"/>
              <w:rPr>
                <w:szCs w:val="24"/>
              </w:rPr>
            </w:pPr>
            <w:r>
              <w:rPr>
                <w:szCs w:val="24"/>
              </w:rPr>
              <w:t>$62,301</w:t>
            </w:r>
          </w:p>
        </w:tc>
        <w:tc>
          <w:tcPr>
            <w:tcW w:w="1409" w:type="dxa"/>
            <w:tcBorders>
              <w:top w:val="nil"/>
              <w:left w:val="single" w:sz="4" w:space="0" w:color="auto"/>
              <w:bottom w:val="single" w:sz="4" w:space="0" w:color="auto"/>
              <w:right w:val="single" w:sz="4" w:space="0" w:color="auto"/>
            </w:tcBorders>
            <w:vAlign w:val="center"/>
          </w:tcPr>
          <w:p w:rsidR="00D02F8B" w:rsidRPr="00001A40" w:rsidRDefault="00D02F8B" w:rsidP="0059640F">
            <w:pPr>
              <w:ind w:left="-357"/>
              <w:jc w:val="center"/>
              <w:rPr>
                <w:szCs w:val="24"/>
              </w:rPr>
            </w:pPr>
            <w:r>
              <w:rPr>
                <w:szCs w:val="24"/>
              </w:rPr>
              <w:t>$</w:t>
            </w:r>
            <w:r w:rsidRPr="00001A40">
              <w:rPr>
                <w:szCs w:val="24"/>
              </w:rPr>
              <w:t>31,151</w:t>
            </w:r>
          </w:p>
        </w:tc>
        <w:tc>
          <w:tcPr>
            <w:tcW w:w="850" w:type="dxa"/>
            <w:tcBorders>
              <w:top w:val="nil"/>
              <w:left w:val="single" w:sz="4" w:space="0" w:color="auto"/>
              <w:bottom w:val="single" w:sz="4" w:space="0" w:color="auto"/>
              <w:right w:val="single" w:sz="12" w:space="0" w:color="auto"/>
            </w:tcBorders>
            <w:vAlign w:val="center"/>
          </w:tcPr>
          <w:p w:rsidR="00D02F8B" w:rsidRPr="00001A40" w:rsidRDefault="00D02F8B" w:rsidP="0059640F">
            <w:pPr>
              <w:ind w:left="-357"/>
              <w:jc w:val="center"/>
              <w:rPr>
                <w:szCs w:val="24"/>
              </w:rPr>
            </w:pPr>
            <w:r>
              <w:rPr>
                <w:szCs w:val="24"/>
              </w:rPr>
              <w:t>50</w:t>
            </w:r>
          </w:p>
        </w:tc>
        <w:tc>
          <w:tcPr>
            <w:tcW w:w="1418" w:type="dxa"/>
            <w:tcBorders>
              <w:top w:val="nil"/>
              <w:left w:val="single" w:sz="4" w:space="0" w:color="auto"/>
              <w:bottom w:val="single" w:sz="4" w:space="0" w:color="auto"/>
              <w:right w:val="single" w:sz="4" w:space="0" w:color="auto"/>
            </w:tcBorders>
            <w:vAlign w:val="center"/>
          </w:tcPr>
          <w:p w:rsidR="00D02F8B" w:rsidRPr="000C3478" w:rsidRDefault="00D02F8B" w:rsidP="0059640F">
            <w:pPr>
              <w:ind w:left="-357"/>
              <w:jc w:val="center"/>
              <w:rPr>
                <w:b/>
                <w:szCs w:val="24"/>
              </w:rPr>
            </w:pPr>
            <w:r>
              <w:rPr>
                <w:szCs w:val="24"/>
              </w:rPr>
              <w:t>$</w:t>
            </w:r>
            <w:r w:rsidRPr="00001A40">
              <w:rPr>
                <w:szCs w:val="24"/>
              </w:rPr>
              <w:t>31,151</w:t>
            </w:r>
          </w:p>
        </w:tc>
        <w:tc>
          <w:tcPr>
            <w:tcW w:w="850" w:type="dxa"/>
            <w:tcBorders>
              <w:top w:val="nil"/>
              <w:left w:val="single" w:sz="4" w:space="0" w:color="auto"/>
              <w:bottom w:val="single" w:sz="4" w:space="0" w:color="auto"/>
              <w:right w:val="single" w:sz="12" w:space="0" w:color="auto"/>
            </w:tcBorders>
            <w:vAlign w:val="center"/>
          </w:tcPr>
          <w:p w:rsidR="00D02F8B" w:rsidRPr="00001A40" w:rsidRDefault="00D02F8B" w:rsidP="0059640F">
            <w:pPr>
              <w:ind w:left="-357"/>
              <w:jc w:val="center"/>
              <w:rPr>
                <w:szCs w:val="24"/>
              </w:rPr>
            </w:pPr>
            <w:r>
              <w:rPr>
                <w:szCs w:val="24"/>
              </w:rPr>
              <w:t>50</w:t>
            </w:r>
          </w:p>
        </w:tc>
      </w:tr>
      <w:tr w:rsidR="00D02F8B" w:rsidRPr="000C3478" w:rsidTr="0059640F">
        <w:trPr>
          <w:trHeight w:val="630"/>
        </w:trPr>
        <w:tc>
          <w:tcPr>
            <w:tcW w:w="1884" w:type="dxa"/>
            <w:tcBorders>
              <w:top w:val="single" w:sz="4" w:space="0" w:color="auto"/>
              <w:left w:val="single" w:sz="8" w:space="0" w:color="auto"/>
              <w:bottom w:val="single" w:sz="4" w:space="0" w:color="auto"/>
              <w:right w:val="single" w:sz="4" w:space="0" w:color="000000"/>
            </w:tcBorders>
            <w:shd w:val="clear" w:color="auto" w:fill="auto"/>
            <w:vAlign w:val="center"/>
          </w:tcPr>
          <w:p w:rsidR="00D02F8B" w:rsidRPr="000C3478" w:rsidRDefault="00D02F8B" w:rsidP="0059640F">
            <w:pPr>
              <w:jc w:val="center"/>
              <w:rPr>
                <w:b/>
                <w:szCs w:val="24"/>
              </w:rPr>
            </w:pPr>
            <w:r w:rsidRPr="000C3478">
              <w:rPr>
                <w:szCs w:val="24"/>
              </w:rPr>
              <w:t>Administration, data management, other &amp; licensing</w:t>
            </w:r>
            <w:r>
              <w:rPr>
                <w:szCs w:val="24"/>
              </w:rPr>
              <w:t xml:space="preserve"> </w:t>
            </w:r>
            <w:r w:rsidRPr="00D60425">
              <w:rPr>
                <w:b/>
                <w:szCs w:val="24"/>
              </w:rPr>
              <w:t>(C)</w:t>
            </w:r>
          </w:p>
        </w:tc>
        <w:tc>
          <w:tcPr>
            <w:tcW w:w="1788" w:type="dxa"/>
            <w:tcBorders>
              <w:top w:val="nil"/>
              <w:left w:val="single" w:sz="4" w:space="0" w:color="auto"/>
              <w:bottom w:val="single" w:sz="4" w:space="0" w:color="auto"/>
              <w:right w:val="single" w:sz="4" w:space="0" w:color="auto"/>
            </w:tcBorders>
            <w:vAlign w:val="center"/>
          </w:tcPr>
          <w:p w:rsidR="00D02F8B" w:rsidRPr="000C3478" w:rsidRDefault="00D02F8B" w:rsidP="0059640F">
            <w:pPr>
              <w:ind w:left="-357"/>
              <w:jc w:val="center"/>
              <w:rPr>
                <w:szCs w:val="24"/>
              </w:rPr>
            </w:pPr>
            <w:r>
              <w:rPr>
                <w:szCs w:val="24"/>
              </w:rPr>
              <w:t>$</w:t>
            </w:r>
            <w:r w:rsidRPr="000C3478">
              <w:rPr>
                <w:szCs w:val="24"/>
              </w:rPr>
              <w:t>344,465</w:t>
            </w:r>
          </w:p>
        </w:tc>
        <w:tc>
          <w:tcPr>
            <w:tcW w:w="1800" w:type="dxa"/>
            <w:tcBorders>
              <w:top w:val="nil"/>
              <w:left w:val="single" w:sz="4" w:space="0" w:color="auto"/>
              <w:bottom w:val="single" w:sz="4" w:space="0" w:color="auto"/>
              <w:right w:val="nil"/>
            </w:tcBorders>
            <w:shd w:val="clear" w:color="auto" w:fill="auto"/>
            <w:noWrap/>
            <w:vAlign w:val="center"/>
          </w:tcPr>
          <w:p w:rsidR="00D02F8B" w:rsidRPr="000C3478" w:rsidRDefault="00D02F8B" w:rsidP="0059640F">
            <w:pPr>
              <w:ind w:left="-357"/>
              <w:jc w:val="center"/>
              <w:rPr>
                <w:szCs w:val="24"/>
              </w:rPr>
            </w:pPr>
            <w:r>
              <w:rPr>
                <w:szCs w:val="24"/>
              </w:rPr>
              <w:t>$340,988</w:t>
            </w:r>
          </w:p>
        </w:tc>
        <w:tc>
          <w:tcPr>
            <w:tcW w:w="1409" w:type="dxa"/>
            <w:tcBorders>
              <w:top w:val="nil"/>
              <w:left w:val="single" w:sz="4" w:space="0" w:color="auto"/>
              <w:bottom w:val="single" w:sz="4" w:space="0" w:color="auto"/>
              <w:right w:val="single" w:sz="4" w:space="0" w:color="auto"/>
            </w:tcBorders>
            <w:vAlign w:val="center"/>
          </w:tcPr>
          <w:p w:rsidR="00D02F8B" w:rsidRPr="00D429A5" w:rsidRDefault="00D02F8B" w:rsidP="0059640F">
            <w:pPr>
              <w:ind w:left="-357"/>
              <w:jc w:val="center"/>
              <w:rPr>
                <w:szCs w:val="24"/>
              </w:rPr>
            </w:pPr>
            <w:r>
              <w:rPr>
                <w:szCs w:val="24"/>
              </w:rPr>
              <w:t>$</w:t>
            </w:r>
            <w:r w:rsidRPr="00D429A5">
              <w:rPr>
                <w:szCs w:val="24"/>
              </w:rPr>
              <w:t>204,593</w:t>
            </w:r>
          </w:p>
        </w:tc>
        <w:tc>
          <w:tcPr>
            <w:tcW w:w="850" w:type="dxa"/>
            <w:tcBorders>
              <w:top w:val="nil"/>
              <w:left w:val="single" w:sz="4" w:space="0" w:color="auto"/>
              <w:bottom w:val="single" w:sz="4" w:space="0" w:color="auto"/>
              <w:right w:val="single" w:sz="12" w:space="0" w:color="auto"/>
            </w:tcBorders>
            <w:vAlign w:val="center"/>
          </w:tcPr>
          <w:p w:rsidR="00D02F8B" w:rsidRPr="00D429A5" w:rsidRDefault="00D02F8B" w:rsidP="0059640F">
            <w:pPr>
              <w:ind w:left="-357"/>
              <w:jc w:val="center"/>
              <w:rPr>
                <w:szCs w:val="24"/>
              </w:rPr>
            </w:pPr>
            <w:r>
              <w:rPr>
                <w:szCs w:val="24"/>
              </w:rPr>
              <w:t>60</w:t>
            </w:r>
          </w:p>
        </w:tc>
        <w:tc>
          <w:tcPr>
            <w:tcW w:w="1418" w:type="dxa"/>
            <w:tcBorders>
              <w:top w:val="nil"/>
              <w:left w:val="single" w:sz="4" w:space="0" w:color="auto"/>
              <w:bottom w:val="single" w:sz="4" w:space="0" w:color="auto"/>
              <w:right w:val="single" w:sz="4" w:space="0" w:color="auto"/>
            </w:tcBorders>
            <w:vAlign w:val="center"/>
          </w:tcPr>
          <w:p w:rsidR="00D02F8B" w:rsidRPr="00D429A5" w:rsidRDefault="00D02F8B" w:rsidP="0059640F">
            <w:pPr>
              <w:ind w:left="-357"/>
              <w:jc w:val="center"/>
              <w:rPr>
                <w:szCs w:val="24"/>
              </w:rPr>
            </w:pPr>
            <w:r>
              <w:rPr>
                <w:szCs w:val="24"/>
              </w:rPr>
              <w:t>$</w:t>
            </w:r>
            <w:r w:rsidRPr="00D429A5">
              <w:rPr>
                <w:szCs w:val="24"/>
              </w:rPr>
              <w:t>136,395</w:t>
            </w:r>
          </w:p>
        </w:tc>
        <w:tc>
          <w:tcPr>
            <w:tcW w:w="850" w:type="dxa"/>
            <w:tcBorders>
              <w:top w:val="nil"/>
              <w:left w:val="single" w:sz="4" w:space="0" w:color="auto"/>
              <w:bottom w:val="single" w:sz="4" w:space="0" w:color="auto"/>
              <w:right w:val="single" w:sz="12" w:space="0" w:color="auto"/>
            </w:tcBorders>
            <w:vAlign w:val="center"/>
          </w:tcPr>
          <w:p w:rsidR="00D02F8B" w:rsidRPr="00D429A5" w:rsidRDefault="00D02F8B" w:rsidP="0059640F">
            <w:pPr>
              <w:ind w:left="-357"/>
              <w:jc w:val="center"/>
              <w:rPr>
                <w:szCs w:val="24"/>
              </w:rPr>
            </w:pPr>
            <w:r>
              <w:rPr>
                <w:szCs w:val="24"/>
              </w:rPr>
              <w:t>40</w:t>
            </w:r>
          </w:p>
        </w:tc>
      </w:tr>
      <w:tr w:rsidR="00D02F8B" w:rsidRPr="000C3478" w:rsidTr="0059640F">
        <w:trPr>
          <w:trHeight w:val="330"/>
        </w:trPr>
        <w:tc>
          <w:tcPr>
            <w:tcW w:w="1884" w:type="dxa"/>
            <w:tcBorders>
              <w:top w:val="nil"/>
              <w:left w:val="single" w:sz="8" w:space="0" w:color="auto"/>
              <w:bottom w:val="single" w:sz="8" w:space="0" w:color="auto"/>
              <w:right w:val="nil"/>
            </w:tcBorders>
            <w:shd w:val="clear" w:color="auto" w:fill="D9D9D9"/>
            <w:noWrap/>
            <w:vAlign w:val="center"/>
          </w:tcPr>
          <w:p w:rsidR="00D02F8B" w:rsidRPr="009F76EA" w:rsidRDefault="00D02F8B" w:rsidP="0059640F">
            <w:pPr>
              <w:jc w:val="center"/>
              <w:rPr>
                <w:bCs/>
                <w:szCs w:val="24"/>
              </w:rPr>
            </w:pPr>
            <w:r w:rsidRPr="009F76EA">
              <w:rPr>
                <w:bCs/>
                <w:szCs w:val="24"/>
              </w:rPr>
              <w:t>Carry</w:t>
            </w:r>
            <w:r>
              <w:rPr>
                <w:bCs/>
                <w:szCs w:val="24"/>
              </w:rPr>
              <w:t xml:space="preserve"> </w:t>
            </w:r>
            <w:r w:rsidRPr="009F76EA">
              <w:rPr>
                <w:bCs/>
                <w:szCs w:val="24"/>
              </w:rPr>
              <w:t xml:space="preserve">forward surplus/ </w:t>
            </w:r>
            <w:r>
              <w:rPr>
                <w:bCs/>
                <w:szCs w:val="24"/>
              </w:rPr>
              <w:t>(</w:t>
            </w:r>
            <w:r w:rsidRPr="009F76EA">
              <w:rPr>
                <w:bCs/>
                <w:szCs w:val="24"/>
              </w:rPr>
              <w:t>deficit</w:t>
            </w:r>
            <w:r>
              <w:rPr>
                <w:bCs/>
                <w:szCs w:val="24"/>
              </w:rPr>
              <w:t>)</w:t>
            </w:r>
            <w:r w:rsidRPr="009F76EA">
              <w:rPr>
                <w:bCs/>
                <w:szCs w:val="24"/>
              </w:rPr>
              <w:t xml:space="preserve"> </w:t>
            </w:r>
            <w:r w:rsidRPr="00A77ED7">
              <w:rPr>
                <w:b/>
                <w:bCs/>
                <w:szCs w:val="24"/>
              </w:rPr>
              <w:t>(D)</w:t>
            </w:r>
          </w:p>
        </w:tc>
        <w:tc>
          <w:tcPr>
            <w:tcW w:w="1788" w:type="dxa"/>
            <w:tcBorders>
              <w:top w:val="nil"/>
              <w:left w:val="single" w:sz="4" w:space="0" w:color="auto"/>
              <w:bottom w:val="single" w:sz="8" w:space="0" w:color="auto"/>
              <w:right w:val="single" w:sz="4" w:space="0" w:color="auto"/>
            </w:tcBorders>
            <w:shd w:val="clear" w:color="auto" w:fill="D9D9D9"/>
            <w:vAlign w:val="center"/>
          </w:tcPr>
          <w:p w:rsidR="00D02F8B" w:rsidRPr="009F76EA" w:rsidRDefault="00D02F8B" w:rsidP="0059640F">
            <w:pPr>
              <w:ind w:left="-357"/>
              <w:jc w:val="center"/>
              <w:rPr>
                <w:bCs/>
                <w:szCs w:val="24"/>
              </w:rPr>
            </w:pPr>
            <w:r>
              <w:rPr>
                <w:bCs/>
                <w:szCs w:val="24"/>
              </w:rPr>
              <w:t>$</w:t>
            </w:r>
            <w:r w:rsidRPr="009F76EA">
              <w:rPr>
                <w:bCs/>
                <w:szCs w:val="24"/>
              </w:rPr>
              <w:t>53,008</w:t>
            </w:r>
          </w:p>
        </w:tc>
        <w:tc>
          <w:tcPr>
            <w:tcW w:w="1800" w:type="dxa"/>
            <w:tcBorders>
              <w:top w:val="nil"/>
              <w:left w:val="single" w:sz="4" w:space="0" w:color="auto"/>
              <w:bottom w:val="single" w:sz="8" w:space="0" w:color="auto"/>
              <w:right w:val="single" w:sz="4" w:space="0" w:color="auto"/>
            </w:tcBorders>
            <w:shd w:val="clear" w:color="auto" w:fill="D9D9D9"/>
            <w:noWrap/>
            <w:vAlign w:val="center"/>
          </w:tcPr>
          <w:p w:rsidR="00D02F8B" w:rsidRPr="009F76EA" w:rsidRDefault="00D02F8B" w:rsidP="0059640F">
            <w:pPr>
              <w:ind w:left="-357"/>
              <w:jc w:val="center"/>
              <w:rPr>
                <w:bCs/>
                <w:szCs w:val="24"/>
              </w:rPr>
            </w:pPr>
            <w:r>
              <w:rPr>
                <w:bCs/>
                <w:szCs w:val="24"/>
              </w:rPr>
              <w:t>$</w:t>
            </w:r>
            <w:r w:rsidRPr="009F76EA">
              <w:rPr>
                <w:bCs/>
                <w:szCs w:val="24"/>
              </w:rPr>
              <w:t>11,969</w:t>
            </w:r>
          </w:p>
        </w:tc>
        <w:tc>
          <w:tcPr>
            <w:tcW w:w="1409" w:type="dxa"/>
            <w:tcBorders>
              <w:top w:val="nil"/>
              <w:left w:val="nil"/>
              <w:bottom w:val="single" w:sz="8" w:space="0" w:color="auto"/>
              <w:right w:val="single" w:sz="4" w:space="0" w:color="auto"/>
            </w:tcBorders>
            <w:shd w:val="clear" w:color="auto" w:fill="D9D9D9"/>
            <w:vAlign w:val="center"/>
          </w:tcPr>
          <w:p w:rsidR="00D02F8B" w:rsidRPr="009F76EA" w:rsidRDefault="00D02F8B" w:rsidP="0059640F">
            <w:pPr>
              <w:ind w:left="-357"/>
              <w:jc w:val="center"/>
              <w:rPr>
                <w:bCs/>
                <w:szCs w:val="24"/>
              </w:rPr>
            </w:pPr>
            <w:r>
              <w:rPr>
                <w:bCs/>
                <w:szCs w:val="24"/>
              </w:rPr>
              <w:t>$</w:t>
            </w:r>
            <w:r w:rsidRPr="009F76EA">
              <w:rPr>
                <w:bCs/>
                <w:szCs w:val="24"/>
              </w:rPr>
              <w:t>5,985</w:t>
            </w:r>
          </w:p>
        </w:tc>
        <w:tc>
          <w:tcPr>
            <w:tcW w:w="850" w:type="dxa"/>
            <w:tcBorders>
              <w:top w:val="nil"/>
              <w:left w:val="single" w:sz="4" w:space="0" w:color="auto"/>
              <w:bottom w:val="single" w:sz="8" w:space="0" w:color="auto"/>
              <w:right w:val="single" w:sz="12" w:space="0" w:color="auto"/>
            </w:tcBorders>
            <w:shd w:val="clear" w:color="auto" w:fill="D9D9D9"/>
            <w:vAlign w:val="center"/>
          </w:tcPr>
          <w:p w:rsidR="00D02F8B" w:rsidRPr="009F76EA" w:rsidRDefault="00D02F8B" w:rsidP="0059640F">
            <w:pPr>
              <w:ind w:left="-357"/>
              <w:jc w:val="center"/>
              <w:rPr>
                <w:bCs/>
                <w:szCs w:val="24"/>
              </w:rPr>
            </w:pPr>
            <w:r>
              <w:rPr>
                <w:bCs/>
                <w:szCs w:val="24"/>
              </w:rPr>
              <w:t>50</w:t>
            </w:r>
          </w:p>
        </w:tc>
        <w:tc>
          <w:tcPr>
            <w:tcW w:w="1418" w:type="dxa"/>
            <w:tcBorders>
              <w:top w:val="nil"/>
              <w:left w:val="nil"/>
              <w:bottom w:val="single" w:sz="8" w:space="0" w:color="auto"/>
              <w:right w:val="single" w:sz="4" w:space="0" w:color="auto"/>
            </w:tcBorders>
            <w:shd w:val="clear" w:color="auto" w:fill="D9D9D9"/>
            <w:vAlign w:val="center"/>
          </w:tcPr>
          <w:p w:rsidR="00D02F8B" w:rsidRPr="009F76EA" w:rsidRDefault="00D02F8B" w:rsidP="0059640F">
            <w:pPr>
              <w:ind w:left="-357"/>
              <w:jc w:val="center"/>
              <w:rPr>
                <w:bCs/>
                <w:szCs w:val="24"/>
              </w:rPr>
            </w:pPr>
            <w:r>
              <w:rPr>
                <w:bCs/>
                <w:szCs w:val="24"/>
              </w:rPr>
              <w:t>$</w:t>
            </w:r>
            <w:r w:rsidRPr="009F76EA">
              <w:rPr>
                <w:bCs/>
                <w:szCs w:val="24"/>
              </w:rPr>
              <w:t>5,985</w:t>
            </w:r>
          </w:p>
        </w:tc>
        <w:tc>
          <w:tcPr>
            <w:tcW w:w="850" w:type="dxa"/>
            <w:tcBorders>
              <w:top w:val="nil"/>
              <w:left w:val="single" w:sz="4" w:space="0" w:color="auto"/>
              <w:bottom w:val="single" w:sz="8" w:space="0" w:color="auto"/>
              <w:right w:val="single" w:sz="12" w:space="0" w:color="auto"/>
            </w:tcBorders>
            <w:shd w:val="clear" w:color="auto" w:fill="D9D9D9"/>
            <w:vAlign w:val="center"/>
          </w:tcPr>
          <w:p w:rsidR="00D02F8B" w:rsidRPr="009F76EA" w:rsidRDefault="00D02F8B" w:rsidP="0059640F">
            <w:pPr>
              <w:ind w:left="-357"/>
              <w:jc w:val="center"/>
              <w:rPr>
                <w:bCs/>
                <w:szCs w:val="24"/>
              </w:rPr>
            </w:pPr>
            <w:r>
              <w:rPr>
                <w:bCs/>
                <w:szCs w:val="24"/>
              </w:rPr>
              <w:t>50</w:t>
            </w:r>
          </w:p>
        </w:tc>
      </w:tr>
      <w:tr w:rsidR="00D02F8B" w:rsidRPr="000C3478" w:rsidTr="0059640F">
        <w:trPr>
          <w:trHeight w:val="330"/>
        </w:trPr>
        <w:tc>
          <w:tcPr>
            <w:tcW w:w="1884" w:type="dxa"/>
            <w:tcBorders>
              <w:top w:val="nil"/>
              <w:left w:val="single" w:sz="8" w:space="0" w:color="auto"/>
              <w:bottom w:val="single" w:sz="8" w:space="0" w:color="auto"/>
              <w:right w:val="nil"/>
            </w:tcBorders>
            <w:shd w:val="clear" w:color="auto" w:fill="auto"/>
            <w:noWrap/>
            <w:vAlign w:val="center"/>
          </w:tcPr>
          <w:p w:rsidR="00D02F8B" w:rsidRPr="000C3478" w:rsidRDefault="00D02F8B" w:rsidP="0059640F">
            <w:pPr>
              <w:jc w:val="center"/>
              <w:rPr>
                <w:b/>
                <w:bCs/>
                <w:szCs w:val="24"/>
              </w:rPr>
            </w:pPr>
            <w:r w:rsidRPr="000C3478">
              <w:rPr>
                <w:b/>
                <w:bCs/>
                <w:szCs w:val="24"/>
              </w:rPr>
              <w:t>TOTAL</w:t>
            </w:r>
            <w:r>
              <w:rPr>
                <w:b/>
                <w:bCs/>
                <w:szCs w:val="24"/>
              </w:rPr>
              <w:t xml:space="preserve"> = (</w:t>
            </w:r>
            <w:proofErr w:type="spellStart"/>
            <w:r>
              <w:rPr>
                <w:b/>
                <w:bCs/>
                <w:szCs w:val="24"/>
              </w:rPr>
              <w:t>A+B+C</w:t>
            </w:r>
            <w:proofErr w:type="spellEnd"/>
            <w:r>
              <w:rPr>
                <w:b/>
                <w:bCs/>
                <w:szCs w:val="24"/>
              </w:rPr>
              <w:t>)-D</w:t>
            </w:r>
          </w:p>
        </w:tc>
        <w:tc>
          <w:tcPr>
            <w:tcW w:w="1788" w:type="dxa"/>
            <w:tcBorders>
              <w:top w:val="nil"/>
              <w:left w:val="single" w:sz="4" w:space="0" w:color="auto"/>
              <w:bottom w:val="single" w:sz="8" w:space="0" w:color="auto"/>
              <w:right w:val="single" w:sz="4" w:space="0" w:color="auto"/>
            </w:tcBorders>
            <w:vAlign w:val="center"/>
          </w:tcPr>
          <w:p w:rsidR="00D02F8B" w:rsidRPr="000C3478" w:rsidRDefault="00D02F8B" w:rsidP="0059640F">
            <w:pPr>
              <w:ind w:left="-357"/>
              <w:jc w:val="center"/>
              <w:rPr>
                <w:b/>
                <w:bCs/>
                <w:szCs w:val="24"/>
              </w:rPr>
            </w:pPr>
            <w:r>
              <w:rPr>
                <w:b/>
                <w:bCs/>
                <w:szCs w:val="24"/>
              </w:rPr>
              <w:t>$</w:t>
            </w:r>
            <w:r w:rsidRPr="000C3478">
              <w:rPr>
                <w:b/>
                <w:bCs/>
                <w:szCs w:val="24"/>
              </w:rPr>
              <w:t>421,033</w:t>
            </w:r>
          </w:p>
        </w:tc>
        <w:tc>
          <w:tcPr>
            <w:tcW w:w="1800" w:type="dxa"/>
            <w:tcBorders>
              <w:top w:val="nil"/>
              <w:left w:val="single" w:sz="4" w:space="0" w:color="auto"/>
              <w:bottom w:val="single" w:sz="8" w:space="0" w:color="auto"/>
              <w:right w:val="single" w:sz="4" w:space="0" w:color="auto"/>
            </w:tcBorders>
            <w:shd w:val="clear" w:color="auto" w:fill="auto"/>
            <w:noWrap/>
            <w:vAlign w:val="center"/>
          </w:tcPr>
          <w:p w:rsidR="00D02F8B" w:rsidRPr="000C3478" w:rsidRDefault="00D02F8B" w:rsidP="0059640F">
            <w:pPr>
              <w:ind w:left="-357"/>
              <w:jc w:val="center"/>
              <w:rPr>
                <w:b/>
                <w:bCs/>
                <w:szCs w:val="24"/>
              </w:rPr>
            </w:pPr>
            <w:r>
              <w:rPr>
                <w:b/>
                <w:bCs/>
                <w:szCs w:val="24"/>
              </w:rPr>
              <w:t>$405,748</w:t>
            </w:r>
          </w:p>
        </w:tc>
        <w:tc>
          <w:tcPr>
            <w:tcW w:w="1409" w:type="dxa"/>
            <w:tcBorders>
              <w:top w:val="nil"/>
              <w:left w:val="nil"/>
              <w:bottom w:val="single" w:sz="8" w:space="0" w:color="auto"/>
              <w:right w:val="single" w:sz="4" w:space="0" w:color="auto"/>
            </w:tcBorders>
            <w:vAlign w:val="center"/>
          </w:tcPr>
          <w:p w:rsidR="00D02F8B" w:rsidRPr="000C3478" w:rsidRDefault="00D02F8B" w:rsidP="0059640F">
            <w:pPr>
              <w:ind w:left="-357"/>
              <w:jc w:val="center"/>
              <w:rPr>
                <w:b/>
                <w:bCs/>
                <w:szCs w:val="24"/>
              </w:rPr>
            </w:pPr>
            <w:r>
              <w:rPr>
                <w:b/>
                <w:bCs/>
                <w:szCs w:val="24"/>
              </w:rPr>
              <w:t>$229,759</w:t>
            </w:r>
          </w:p>
        </w:tc>
        <w:tc>
          <w:tcPr>
            <w:tcW w:w="850" w:type="dxa"/>
            <w:tcBorders>
              <w:top w:val="nil"/>
              <w:left w:val="single" w:sz="4" w:space="0" w:color="auto"/>
              <w:bottom w:val="single" w:sz="8" w:space="0" w:color="auto"/>
              <w:right w:val="single" w:sz="12" w:space="0" w:color="auto"/>
            </w:tcBorders>
            <w:vAlign w:val="center"/>
          </w:tcPr>
          <w:p w:rsidR="00D02F8B" w:rsidRDefault="00D02F8B" w:rsidP="0059640F">
            <w:pPr>
              <w:ind w:left="-357"/>
              <w:jc w:val="center"/>
              <w:rPr>
                <w:b/>
                <w:bCs/>
                <w:szCs w:val="24"/>
              </w:rPr>
            </w:pPr>
          </w:p>
        </w:tc>
        <w:tc>
          <w:tcPr>
            <w:tcW w:w="1418" w:type="dxa"/>
            <w:tcBorders>
              <w:top w:val="nil"/>
              <w:left w:val="nil"/>
              <w:bottom w:val="single" w:sz="8" w:space="0" w:color="auto"/>
              <w:right w:val="single" w:sz="4" w:space="0" w:color="auto"/>
            </w:tcBorders>
            <w:vAlign w:val="center"/>
          </w:tcPr>
          <w:p w:rsidR="00D02F8B" w:rsidRPr="000C3478" w:rsidRDefault="00D02F8B" w:rsidP="0059640F">
            <w:pPr>
              <w:ind w:left="-357"/>
              <w:jc w:val="center"/>
              <w:rPr>
                <w:b/>
                <w:bCs/>
                <w:szCs w:val="24"/>
              </w:rPr>
            </w:pPr>
            <w:r>
              <w:rPr>
                <w:b/>
                <w:bCs/>
                <w:szCs w:val="24"/>
              </w:rPr>
              <w:t>$175,989</w:t>
            </w:r>
          </w:p>
        </w:tc>
        <w:tc>
          <w:tcPr>
            <w:tcW w:w="850" w:type="dxa"/>
            <w:tcBorders>
              <w:top w:val="nil"/>
              <w:left w:val="single" w:sz="4" w:space="0" w:color="auto"/>
              <w:bottom w:val="single" w:sz="8" w:space="0" w:color="auto"/>
              <w:right w:val="single" w:sz="12" w:space="0" w:color="auto"/>
            </w:tcBorders>
            <w:vAlign w:val="center"/>
          </w:tcPr>
          <w:p w:rsidR="00D02F8B" w:rsidRDefault="00D02F8B" w:rsidP="0059640F">
            <w:pPr>
              <w:ind w:left="-357"/>
              <w:jc w:val="center"/>
              <w:rPr>
                <w:b/>
                <w:bCs/>
                <w:szCs w:val="24"/>
              </w:rPr>
            </w:pPr>
          </w:p>
        </w:tc>
      </w:tr>
    </w:tbl>
    <w:p w:rsidR="00D02F8B" w:rsidRPr="000C3478" w:rsidRDefault="00D02F8B" w:rsidP="00D02F8B">
      <w:pPr>
        <w:ind w:left="-357"/>
        <w:rPr>
          <w:szCs w:val="24"/>
        </w:rPr>
      </w:pPr>
    </w:p>
    <w:p w:rsidR="00D02F8B" w:rsidRPr="000C3478" w:rsidRDefault="00D02F8B" w:rsidP="00EB098B">
      <w:pPr>
        <w:spacing w:before="240"/>
        <w:jc w:val="both"/>
        <w:rPr>
          <w:szCs w:val="24"/>
        </w:rPr>
      </w:pPr>
      <w:r w:rsidRPr="000C3478">
        <w:rPr>
          <w:szCs w:val="24"/>
        </w:rPr>
        <w:t xml:space="preserve">The </w:t>
      </w:r>
      <w:r>
        <w:rPr>
          <w:szCs w:val="24"/>
        </w:rPr>
        <w:t xml:space="preserve">entire </w:t>
      </w:r>
      <w:r w:rsidRPr="000C3478">
        <w:rPr>
          <w:szCs w:val="24"/>
        </w:rPr>
        <w:t>201</w:t>
      </w:r>
      <w:r>
        <w:rPr>
          <w:szCs w:val="24"/>
        </w:rPr>
        <w:t>3</w:t>
      </w:r>
      <w:r w:rsidRPr="000C3478">
        <w:rPr>
          <w:szCs w:val="24"/>
        </w:rPr>
        <w:t>-1</w:t>
      </w:r>
      <w:r>
        <w:rPr>
          <w:szCs w:val="24"/>
        </w:rPr>
        <w:t>4</w:t>
      </w:r>
      <w:r w:rsidRPr="000C3478">
        <w:rPr>
          <w:szCs w:val="24"/>
        </w:rPr>
        <w:t xml:space="preserve"> budget </w:t>
      </w:r>
      <w:r>
        <w:rPr>
          <w:szCs w:val="24"/>
        </w:rPr>
        <w:t xml:space="preserve">(including government contributions) </w:t>
      </w:r>
      <w:r w:rsidRPr="000C3478">
        <w:rPr>
          <w:szCs w:val="24"/>
        </w:rPr>
        <w:t>is $</w:t>
      </w:r>
      <w:r>
        <w:rPr>
          <w:szCs w:val="24"/>
        </w:rPr>
        <w:t>432,826 compared to $429</w:t>
      </w:r>
      <w:r w:rsidRPr="000C3478">
        <w:rPr>
          <w:szCs w:val="24"/>
        </w:rPr>
        <w:t>,</w:t>
      </w:r>
      <w:r>
        <w:rPr>
          <w:szCs w:val="24"/>
        </w:rPr>
        <w:t>865</w:t>
      </w:r>
      <w:r w:rsidRPr="000C3478">
        <w:rPr>
          <w:szCs w:val="24"/>
        </w:rPr>
        <w:t xml:space="preserve"> for the 201</w:t>
      </w:r>
      <w:r>
        <w:rPr>
          <w:szCs w:val="24"/>
        </w:rPr>
        <w:t>2</w:t>
      </w:r>
      <w:r w:rsidRPr="000C3478">
        <w:rPr>
          <w:szCs w:val="24"/>
        </w:rPr>
        <w:t>–1</w:t>
      </w:r>
      <w:r>
        <w:rPr>
          <w:szCs w:val="24"/>
        </w:rPr>
        <w:t>3 financial year. This is an in</w:t>
      </w:r>
      <w:r w:rsidRPr="000C3478">
        <w:rPr>
          <w:szCs w:val="24"/>
        </w:rPr>
        <w:t>crease of $</w:t>
      </w:r>
      <w:r>
        <w:rPr>
          <w:szCs w:val="24"/>
        </w:rPr>
        <w:t>2,960 or 0.7</w:t>
      </w:r>
      <w:r w:rsidRPr="000C3478">
        <w:rPr>
          <w:szCs w:val="24"/>
        </w:rPr>
        <w:t xml:space="preserve"> per</w:t>
      </w:r>
      <w:r w:rsidR="00B013F2">
        <w:rPr>
          <w:szCs w:val="24"/>
        </w:rPr>
        <w:t xml:space="preserve"> </w:t>
      </w:r>
      <w:r w:rsidRPr="000C3478">
        <w:rPr>
          <w:szCs w:val="24"/>
        </w:rPr>
        <w:t xml:space="preserve">cent. </w:t>
      </w:r>
    </w:p>
    <w:p w:rsidR="00D02F8B" w:rsidRDefault="00D02F8B" w:rsidP="00EB098B">
      <w:pPr>
        <w:spacing w:before="240"/>
        <w:jc w:val="both"/>
        <w:rPr>
          <w:szCs w:val="24"/>
        </w:rPr>
      </w:pPr>
      <w:r w:rsidRPr="000C3478">
        <w:rPr>
          <w:szCs w:val="24"/>
        </w:rPr>
        <w:t>The</w:t>
      </w:r>
      <w:r>
        <w:rPr>
          <w:szCs w:val="24"/>
        </w:rPr>
        <w:t xml:space="preserve"> portion of the budget cost recovered from industry (Table 1; </w:t>
      </w:r>
      <w:r w:rsidRPr="000C3478">
        <w:rPr>
          <w:szCs w:val="24"/>
        </w:rPr>
        <w:t>$</w:t>
      </w:r>
      <w:r>
        <w:rPr>
          <w:szCs w:val="24"/>
        </w:rPr>
        <w:t>405,748) has de</w:t>
      </w:r>
      <w:r w:rsidRPr="000C3478">
        <w:rPr>
          <w:szCs w:val="24"/>
        </w:rPr>
        <w:t>crease</w:t>
      </w:r>
      <w:r>
        <w:rPr>
          <w:szCs w:val="24"/>
        </w:rPr>
        <w:t>d</w:t>
      </w:r>
      <w:r w:rsidRPr="000C3478">
        <w:rPr>
          <w:szCs w:val="24"/>
        </w:rPr>
        <w:t xml:space="preserve"> </w:t>
      </w:r>
      <w:r>
        <w:rPr>
          <w:szCs w:val="24"/>
        </w:rPr>
        <w:t>by</w:t>
      </w:r>
      <w:r w:rsidRPr="000C3478">
        <w:rPr>
          <w:szCs w:val="24"/>
        </w:rPr>
        <w:t xml:space="preserve"> $</w:t>
      </w:r>
      <w:r>
        <w:rPr>
          <w:szCs w:val="24"/>
        </w:rPr>
        <w:t xml:space="preserve">15,285 </w:t>
      </w:r>
      <w:r w:rsidRPr="000C3478">
        <w:rPr>
          <w:szCs w:val="24"/>
        </w:rPr>
        <w:t>(</w:t>
      </w:r>
      <w:r>
        <w:rPr>
          <w:szCs w:val="24"/>
        </w:rPr>
        <w:t>3.6 per</w:t>
      </w:r>
      <w:r w:rsidR="00B013F2">
        <w:rPr>
          <w:szCs w:val="24"/>
        </w:rPr>
        <w:t xml:space="preserve"> </w:t>
      </w:r>
      <w:r>
        <w:rPr>
          <w:szCs w:val="24"/>
        </w:rPr>
        <w:t>cen</w:t>
      </w:r>
      <w:r w:rsidRPr="000C3478">
        <w:rPr>
          <w:szCs w:val="24"/>
        </w:rPr>
        <w:t>t) in the 201</w:t>
      </w:r>
      <w:r>
        <w:rPr>
          <w:szCs w:val="24"/>
        </w:rPr>
        <w:t>3</w:t>
      </w:r>
      <w:r w:rsidRPr="000C3478">
        <w:rPr>
          <w:szCs w:val="24"/>
        </w:rPr>
        <w:t>–1</w:t>
      </w:r>
      <w:r>
        <w:rPr>
          <w:szCs w:val="24"/>
        </w:rPr>
        <w:t>4</w:t>
      </w:r>
      <w:r w:rsidRPr="000C3478">
        <w:rPr>
          <w:szCs w:val="24"/>
        </w:rPr>
        <w:t xml:space="preserve"> financial year compared to the 201</w:t>
      </w:r>
      <w:r>
        <w:rPr>
          <w:szCs w:val="24"/>
        </w:rPr>
        <w:t>2</w:t>
      </w:r>
      <w:r w:rsidRPr="000C3478">
        <w:rPr>
          <w:szCs w:val="24"/>
        </w:rPr>
        <w:t>–1</w:t>
      </w:r>
      <w:r>
        <w:rPr>
          <w:szCs w:val="24"/>
        </w:rPr>
        <w:t>3 financial year ($</w:t>
      </w:r>
      <w:r w:rsidRPr="000C3478">
        <w:rPr>
          <w:szCs w:val="24"/>
        </w:rPr>
        <w:t xml:space="preserve">421,033). </w:t>
      </w:r>
      <w:r>
        <w:rPr>
          <w:szCs w:val="24"/>
        </w:rPr>
        <w:t xml:space="preserve">Despite a reduced carry forward surplus compared to past financial years, there is still a significant decrease in the budget due to savings in </w:t>
      </w:r>
      <w:proofErr w:type="spellStart"/>
      <w:r>
        <w:rPr>
          <w:szCs w:val="24"/>
        </w:rPr>
        <w:t>AFMA</w:t>
      </w:r>
      <w:proofErr w:type="spellEnd"/>
      <w:r>
        <w:rPr>
          <w:szCs w:val="24"/>
        </w:rPr>
        <w:t xml:space="preserve"> salaries and Queensland management and compliance. </w:t>
      </w:r>
    </w:p>
    <w:p w:rsidR="00D02F8B" w:rsidRPr="000C3478" w:rsidRDefault="00D02F8B" w:rsidP="00EB098B">
      <w:pPr>
        <w:spacing w:before="240"/>
        <w:jc w:val="both"/>
        <w:rPr>
          <w:szCs w:val="24"/>
        </w:rPr>
      </w:pPr>
      <w:r w:rsidRPr="000C3478">
        <w:rPr>
          <w:szCs w:val="24"/>
        </w:rPr>
        <w:t>The $</w:t>
      </w:r>
      <w:r>
        <w:rPr>
          <w:szCs w:val="24"/>
        </w:rPr>
        <w:t>405,748</w:t>
      </w:r>
      <w:r w:rsidRPr="000C3478">
        <w:rPr>
          <w:szCs w:val="24"/>
        </w:rPr>
        <w:t xml:space="preserve"> levy amount comprises $2</w:t>
      </w:r>
      <w:r>
        <w:rPr>
          <w:szCs w:val="24"/>
        </w:rPr>
        <w:t>29</w:t>
      </w:r>
      <w:r w:rsidRPr="000C3478">
        <w:rPr>
          <w:szCs w:val="24"/>
        </w:rPr>
        <w:t>,</w:t>
      </w:r>
      <w:r>
        <w:rPr>
          <w:szCs w:val="24"/>
        </w:rPr>
        <w:t>759</w:t>
      </w:r>
      <w:r w:rsidRPr="000C3478">
        <w:rPr>
          <w:szCs w:val="24"/>
        </w:rPr>
        <w:t xml:space="preserve"> in licensing costs and $</w:t>
      </w:r>
      <w:r>
        <w:rPr>
          <w:szCs w:val="24"/>
        </w:rPr>
        <w:t>175,989</w:t>
      </w:r>
      <w:r w:rsidRPr="000C3478">
        <w:rPr>
          <w:szCs w:val="24"/>
        </w:rPr>
        <w:t xml:space="preserve"> in</w:t>
      </w:r>
      <w:r>
        <w:rPr>
          <w:szCs w:val="24"/>
        </w:rPr>
        <w:t xml:space="preserve"> </w:t>
      </w:r>
      <w:r w:rsidRPr="000C3478">
        <w:rPr>
          <w:szCs w:val="24"/>
        </w:rPr>
        <w:t xml:space="preserve">costs for the fishing unit component. The levy cost per licence </w:t>
      </w:r>
      <w:r>
        <w:rPr>
          <w:szCs w:val="24"/>
        </w:rPr>
        <w:t>is calculated by dividing the licence component by the number of licences in the fishery (61), equating to $</w:t>
      </w:r>
      <w:r w:rsidRPr="000C3478">
        <w:rPr>
          <w:szCs w:val="24"/>
        </w:rPr>
        <w:t>3,</w:t>
      </w:r>
      <w:r>
        <w:rPr>
          <w:szCs w:val="24"/>
        </w:rPr>
        <w:t>766</w:t>
      </w:r>
      <w:r w:rsidRPr="000C3478">
        <w:rPr>
          <w:szCs w:val="24"/>
        </w:rPr>
        <w:t>.5</w:t>
      </w:r>
      <w:r>
        <w:rPr>
          <w:szCs w:val="24"/>
        </w:rPr>
        <w:t>4 per licence for the 2014 season</w:t>
      </w:r>
      <w:r w:rsidRPr="000C3478">
        <w:rPr>
          <w:szCs w:val="24"/>
        </w:rPr>
        <w:t xml:space="preserve">. </w:t>
      </w:r>
    </w:p>
    <w:p w:rsidR="00D02F8B" w:rsidRDefault="00D02F8B" w:rsidP="00EB098B">
      <w:pPr>
        <w:spacing w:before="240"/>
        <w:ind w:right="-1"/>
        <w:jc w:val="both"/>
        <w:rPr>
          <w:b/>
          <w:szCs w:val="24"/>
        </w:rPr>
      </w:pPr>
      <w:r w:rsidRPr="000C3478">
        <w:rPr>
          <w:szCs w:val="24"/>
        </w:rPr>
        <w:t xml:space="preserve">The levy cost per unit </w:t>
      </w:r>
      <w:r>
        <w:rPr>
          <w:szCs w:val="24"/>
        </w:rPr>
        <w:t xml:space="preserve">is calculated by dividing the unit component of the levy by the number of units in the fishery (6,867), equating to $25.63 per unit. </w:t>
      </w:r>
    </w:p>
    <w:p w:rsidR="00727168" w:rsidRPr="00B013F2" w:rsidRDefault="00727168" w:rsidP="00727168">
      <w:pPr>
        <w:spacing w:before="120"/>
        <w:ind w:right="-1"/>
        <w:jc w:val="both"/>
        <w:rPr>
          <w:b/>
          <w:szCs w:val="24"/>
          <w:highlight w:val="yellow"/>
        </w:rPr>
      </w:pPr>
    </w:p>
    <w:p w:rsidR="00B92C83" w:rsidRDefault="00B92C83" w:rsidP="00B92C83">
      <w:pPr>
        <w:tabs>
          <w:tab w:val="left" w:pos="4320"/>
        </w:tabs>
        <w:jc w:val="both"/>
        <w:rPr>
          <w:szCs w:val="24"/>
        </w:rPr>
      </w:pPr>
    </w:p>
    <w:p w:rsidR="006E46DA" w:rsidRDefault="006E46DA" w:rsidP="0069302F">
      <w:pPr>
        <w:spacing w:before="360" w:after="120"/>
        <w:jc w:val="right"/>
        <w:rPr>
          <w:b/>
          <w:sz w:val="28"/>
          <w:szCs w:val="28"/>
        </w:rPr>
      </w:pPr>
      <w:r>
        <w:rPr>
          <w:b/>
          <w:sz w:val="28"/>
          <w:szCs w:val="28"/>
        </w:rPr>
        <w:t>ATTACHMENT B</w:t>
      </w:r>
    </w:p>
    <w:p w:rsidR="00EB098B" w:rsidRDefault="00EB098B" w:rsidP="0069302F">
      <w:pPr>
        <w:spacing w:before="360" w:after="120"/>
        <w:jc w:val="right"/>
        <w:rPr>
          <w:b/>
          <w:sz w:val="28"/>
          <w:szCs w:val="28"/>
        </w:rPr>
      </w:pPr>
    </w:p>
    <w:p w:rsidR="00EB098B" w:rsidRPr="00E4135E" w:rsidRDefault="00B92C83" w:rsidP="00EB098B">
      <w:pPr>
        <w:spacing w:before="360" w:after="120"/>
        <w:jc w:val="center"/>
        <w:rPr>
          <w:b/>
          <w:sz w:val="28"/>
          <w:szCs w:val="28"/>
        </w:rPr>
      </w:pPr>
      <w:r w:rsidRPr="00E4135E">
        <w:rPr>
          <w:b/>
          <w:sz w:val="28"/>
          <w:szCs w:val="28"/>
        </w:rPr>
        <w:t>Statement of Compatibility with Human Rights</w:t>
      </w:r>
    </w:p>
    <w:p w:rsidR="00B92C83" w:rsidRPr="00E4135E" w:rsidRDefault="00B92C83" w:rsidP="00B92C83">
      <w:pPr>
        <w:spacing w:before="120" w:after="120"/>
        <w:jc w:val="center"/>
        <w:rPr>
          <w:szCs w:val="24"/>
        </w:rPr>
      </w:pPr>
      <w:r w:rsidRPr="00E4135E">
        <w:rPr>
          <w:i/>
          <w:szCs w:val="24"/>
        </w:rPr>
        <w:t>Prepared in accordance with Part 3 of the Human Rights (Parliamentary Scrutiny) Act 2011</w:t>
      </w:r>
    </w:p>
    <w:p w:rsidR="00B92C83" w:rsidRPr="00E4135E" w:rsidRDefault="00B92C83" w:rsidP="00B92C83">
      <w:pPr>
        <w:spacing w:before="120" w:after="120"/>
        <w:jc w:val="center"/>
        <w:rPr>
          <w:szCs w:val="24"/>
        </w:rPr>
      </w:pPr>
    </w:p>
    <w:p w:rsidR="00B92C83" w:rsidRPr="000635DA" w:rsidRDefault="00B92C83" w:rsidP="00B92C83">
      <w:pPr>
        <w:spacing w:before="240"/>
        <w:ind w:left="-357"/>
        <w:jc w:val="center"/>
        <w:rPr>
          <w:b/>
          <w:i/>
          <w:szCs w:val="24"/>
        </w:rPr>
      </w:pPr>
      <w:r w:rsidRPr="000635DA">
        <w:rPr>
          <w:b/>
          <w:i/>
          <w:szCs w:val="24"/>
        </w:rPr>
        <w:t>Fisheries Levy (Torres Strait Prawn Fishery) Amendment Regulation 201</w:t>
      </w:r>
      <w:r w:rsidR="00B30E8A" w:rsidRPr="000635DA">
        <w:rPr>
          <w:b/>
          <w:i/>
          <w:szCs w:val="24"/>
        </w:rPr>
        <w:t>3</w:t>
      </w:r>
      <w:r w:rsidRPr="000635DA">
        <w:rPr>
          <w:b/>
          <w:i/>
          <w:szCs w:val="24"/>
        </w:rPr>
        <w:t xml:space="preserve"> (No.</w:t>
      </w:r>
      <w:r w:rsidR="008F505B" w:rsidRPr="000635DA">
        <w:rPr>
          <w:b/>
          <w:i/>
          <w:szCs w:val="24"/>
        </w:rPr>
        <w:t xml:space="preserve"> 1</w:t>
      </w:r>
      <w:r w:rsidRPr="000635DA">
        <w:rPr>
          <w:b/>
          <w:i/>
          <w:szCs w:val="24"/>
        </w:rPr>
        <w:t>)</w:t>
      </w:r>
    </w:p>
    <w:p w:rsidR="00B92C83" w:rsidRPr="00E4135E" w:rsidRDefault="00B92C83" w:rsidP="00B92C83">
      <w:pPr>
        <w:jc w:val="center"/>
        <w:rPr>
          <w:szCs w:val="24"/>
        </w:rPr>
      </w:pPr>
    </w:p>
    <w:p w:rsidR="00B92C83" w:rsidRPr="00E4135E" w:rsidRDefault="00B92C83" w:rsidP="00B92C83">
      <w:pPr>
        <w:spacing w:before="120" w:after="120"/>
        <w:jc w:val="cente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B92C83" w:rsidRPr="00B92C83" w:rsidRDefault="00B92C83" w:rsidP="00B92C83">
      <w:pPr>
        <w:rPr>
          <w:szCs w:val="24"/>
        </w:rPr>
      </w:pPr>
    </w:p>
    <w:p w:rsidR="008F505B" w:rsidRPr="00E4135E" w:rsidRDefault="008F505B" w:rsidP="008F505B">
      <w:pPr>
        <w:spacing w:before="120" w:after="120"/>
        <w:jc w:val="both"/>
        <w:rPr>
          <w:b/>
          <w:szCs w:val="24"/>
        </w:rPr>
      </w:pPr>
      <w:r>
        <w:rPr>
          <w:b/>
          <w:szCs w:val="24"/>
        </w:rPr>
        <w:t xml:space="preserve">Overview of the </w:t>
      </w:r>
      <w:r w:rsidRPr="00E4135E">
        <w:rPr>
          <w:b/>
          <w:szCs w:val="24"/>
        </w:rPr>
        <w:t>Legislative Instrument</w:t>
      </w:r>
    </w:p>
    <w:p w:rsidR="00B92C83" w:rsidRDefault="00B92C83" w:rsidP="00B92C83">
      <w:pPr>
        <w:rPr>
          <w:i/>
          <w:szCs w:val="24"/>
        </w:rPr>
      </w:pPr>
      <w:r w:rsidRPr="00B92C83">
        <w:rPr>
          <w:szCs w:val="24"/>
        </w:rPr>
        <w:t>The instrument amends the</w:t>
      </w:r>
      <w:r>
        <w:rPr>
          <w:i/>
          <w:szCs w:val="24"/>
        </w:rPr>
        <w:t xml:space="preserve"> </w:t>
      </w:r>
      <w:r w:rsidRPr="000C3478">
        <w:rPr>
          <w:i/>
          <w:szCs w:val="24"/>
        </w:rPr>
        <w:t xml:space="preserve">Fisheries Levy (Torres Strait Prawn Fishery) Regulations 1998 </w:t>
      </w:r>
      <w:r w:rsidRPr="00B92C83">
        <w:rPr>
          <w:szCs w:val="24"/>
        </w:rPr>
        <w:t xml:space="preserve">to allow for </w:t>
      </w:r>
      <w:r>
        <w:rPr>
          <w:szCs w:val="24"/>
        </w:rPr>
        <w:t xml:space="preserve">an increase in the levy payable for licences granted or renewed and units of fishing capacity in the Torres Strait Prawn Fishery.  </w:t>
      </w:r>
    </w:p>
    <w:p w:rsidR="00B92C83" w:rsidRPr="00E4135E" w:rsidRDefault="00B92C83" w:rsidP="00B92C83">
      <w:pPr>
        <w:rPr>
          <w:szCs w:val="24"/>
        </w:rPr>
      </w:pPr>
    </w:p>
    <w:p w:rsidR="00B92C83" w:rsidRPr="00E4135E" w:rsidRDefault="00B92C83" w:rsidP="00B92C83">
      <w:pPr>
        <w:spacing w:after="120"/>
        <w:jc w:val="both"/>
        <w:rPr>
          <w:b/>
          <w:szCs w:val="24"/>
        </w:rPr>
      </w:pPr>
      <w:r w:rsidRPr="00E4135E">
        <w:rPr>
          <w:b/>
          <w:szCs w:val="24"/>
        </w:rPr>
        <w:t>Human rights implications</w:t>
      </w:r>
    </w:p>
    <w:p w:rsidR="00B92C83" w:rsidRPr="00E4135E" w:rsidRDefault="00B92C83" w:rsidP="00B92C83">
      <w:pPr>
        <w:rPr>
          <w:szCs w:val="24"/>
        </w:rPr>
      </w:pPr>
      <w:r w:rsidRPr="00E4135E">
        <w:rPr>
          <w:szCs w:val="24"/>
        </w:rPr>
        <w:t>This Legislative Instrument does not engage any of the applicable rights or freedoms.</w:t>
      </w:r>
    </w:p>
    <w:p w:rsidR="00B92C83" w:rsidRPr="00E4135E" w:rsidRDefault="00B92C83" w:rsidP="00B92C83">
      <w:pPr>
        <w:rPr>
          <w:szCs w:val="24"/>
        </w:rPr>
      </w:pPr>
    </w:p>
    <w:p w:rsidR="00B92C83" w:rsidRPr="00E4135E" w:rsidRDefault="00B92C83" w:rsidP="00B92C83">
      <w:pPr>
        <w:spacing w:after="120"/>
        <w:jc w:val="both"/>
        <w:rPr>
          <w:b/>
          <w:szCs w:val="24"/>
        </w:rPr>
      </w:pPr>
      <w:r w:rsidRPr="00E4135E">
        <w:rPr>
          <w:b/>
          <w:szCs w:val="24"/>
        </w:rPr>
        <w:t>Conclusion</w:t>
      </w:r>
    </w:p>
    <w:p w:rsidR="00B92C83" w:rsidRDefault="00B92C83" w:rsidP="00B92C83">
      <w:pPr>
        <w:rPr>
          <w:szCs w:val="24"/>
        </w:rPr>
      </w:pPr>
      <w:r w:rsidRPr="00E4135E">
        <w:rPr>
          <w:szCs w:val="24"/>
        </w:rPr>
        <w:t>This Legislative Instrument is compatible with human rights as it does not raise any human rights issues.</w:t>
      </w:r>
    </w:p>
    <w:p w:rsidR="00EB098B" w:rsidRPr="00E4135E" w:rsidRDefault="00EB098B" w:rsidP="00B92C83">
      <w:pPr>
        <w:rPr>
          <w:szCs w:val="24"/>
        </w:rPr>
      </w:pPr>
    </w:p>
    <w:p w:rsidR="00B92C83" w:rsidRDefault="00B92C83" w:rsidP="00B92C83">
      <w:pPr>
        <w:rPr>
          <w:szCs w:val="24"/>
        </w:rPr>
      </w:pPr>
    </w:p>
    <w:p w:rsidR="00B92C83" w:rsidRPr="00512F4B" w:rsidRDefault="00B92C83" w:rsidP="00B92C83">
      <w:pPr>
        <w:jc w:val="center"/>
        <w:rPr>
          <w:b/>
          <w:bCs/>
          <w:szCs w:val="24"/>
        </w:rPr>
      </w:pPr>
      <w:r w:rsidRPr="00512F4B">
        <w:rPr>
          <w:b/>
          <w:bCs/>
          <w:szCs w:val="24"/>
        </w:rPr>
        <w:t>Senator the Hon</w:t>
      </w:r>
      <w:r w:rsidR="00EB098B">
        <w:rPr>
          <w:b/>
          <w:bCs/>
          <w:szCs w:val="24"/>
        </w:rPr>
        <w:t xml:space="preserve">. Richard </w:t>
      </w:r>
      <w:proofErr w:type="spellStart"/>
      <w:r w:rsidR="00EB098B">
        <w:rPr>
          <w:b/>
          <w:bCs/>
          <w:szCs w:val="24"/>
        </w:rPr>
        <w:t>Colbeck</w:t>
      </w:r>
      <w:proofErr w:type="spellEnd"/>
    </w:p>
    <w:p w:rsidR="00B92C83" w:rsidRPr="00512F4B" w:rsidRDefault="00EB098B" w:rsidP="00B92C83">
      <w:pPr>
        <w:jc w:val="center"/>
        <w:rPr>
          <w:b/>
          <w:bCs/>
          <w:szCs w:val="24"/>
        </w:rPr>
      </w:pPr>
      <w:r>
        <w:rPr>
          <w:b/>
          <w:bCs/>
          <w:szCs w:val="24"/>
        </w:rPr>
        <w:t>Parliamentary Secretary to the Minister for Agriculture</w:t>
      </w:r>
    </w:p>
    <w:p w:rsidR="00B92C83" w:rsidRDefault="00B92C83" w:rsidP="00B92C83">
      <w:pPr>
        <w:jc w:val="center"/>
        <w:rPr>
          <w:b/>
          <w:bCs/>
          <w:szCs w:val="24"/>
        </w:rPr>
      </w:pPr>
    </w:p>
    <w:p w:rsidR="00B92C83" w:rsidRPr="0017595A" w:rsidRDefault="00B92C83" w:rsidP="00B92C83">
      <w:pPr>
        <w:jc w:val="center"/>
        <w:rPr>
          <w:b/>
          <w:bCs/>
          <w:szCs w:val="24"/>
        </w:rPr>
      </w:pPr>
    </w:p>
    <w:p w:rsidR="00B92C83" w:rsidRPr="000C3478" w:rsidRDefault="00B92C83" w:rsidP="00B92C83">
      <w:pPr>
        <w:tabs>
          <w:tab w:val="left" w:pos="4320"/>
        </w:tabs>
        <w:jc w:val="both"/>
        <w:rPr>
          <w:szCs w:val="24"/>
        </w:rPr>
      </w:pPr>
    </w:p>
    <w:sectPr w:rsidR="00B92C83" w:rsidRPr="000C3478" w:rsidSect="00ED69B2">
      <w:headerReference w:type="default" r:id="rId9"/>
      <w:footerReference w:type="even" r:id="rId10"/>
      <w:footerReference w:type="default" r:id="rId11"/>
      <w:pgSz w:w="11906" w:h="16838"/>
      <w:pgMar w:top="1134" w:right="1758"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6B0" w:rsidRDefault="00DE66B0">
      <w:r>
        <w:separator/>
      </w:r>
    </w:p>
  </w:endnote>
  <w:endnote w:type="continuationSeparator" w:id="0">
    <w:p w:rsidR="00DE66B0" w:rsidRDefault="00DE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FB" w:rsidRDefault="00280F5F" w:rsidP="00C51917">
    <w:pPr>
      <w:pStyle w:val="Footer"/>
      <w:framePr w:wrap="around" w:vAnchor="text" w:hAnchor="margin" w:xAlign="center" w:y="1"/>
      <w:rPr>
        <w:rStyle w:val="PageNumber"/>
      </w:rPr>
    </w:pPr>
    <w:r>
      <w:rPr>
        <w:rStyle w:val="PageNumber"/>
      </w:rPr>
      <w:fldChar w:fldCharType="begin"/>
    </w:r>
    <w:r w:rsidR="009F58FB">
      <w:rPr>
        <w:rStyle w:val="PageNumber"/>
      </w:rPr>
      <w:instrText xml:space="preserve">PAGE  </w:instrText>
    </w:r>
    <w:r>
      <w:rPr>
        <w:rStyle w:val="PageNumber"/>
      </w:rPr>
      <w:fldChar w:fldCharType="end"/>
    </w:r>
  </w:p>
  <w:p w:rsidR="009F58FB" w:rsidRDefault="009F5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52" w:rsidRPr="0069302F" w:rsidRDefault="00280F5F" w:rsidP="00C51917">
    <w:pPr>
      <w:pStyle w:val="Footer"/>
      <w:framePr w:wrap="around" w:vAnchor="text" w:hAnchor="margin" w:xAlign="center" w:y="1"/>
      <w:rPr>
        <w:rStyle w:val="PageNumber"/>
        <w:sz w:val="22"/>
        <w:szCs w:val="22"/>
      </w:rPr>
    </w:pPr>
    <w:r w:rsidRPr="0069302F">
      <w:rPr>
        <w:rStyle w:val="PageNumber"/>
        <w:sz w:val="22"/>
        <w:szCs w:val="22"/>
      </w:rPr>
      <w:fldChar w:fldCharType="begin"/>
    </w:r>
    <w:r w:rsidR="007F0A52" w:rsidRPr="0069302F">
      <w:rPr>
        <w:rStyle w:val="PageNumber"/>
        <w:sz w:val="22"/>
        <w:szCs w:val="22"/>
      </w:rPr>
      <w:instrText xml:space="preserve">PAGE  </w:instrText>
    </w:r>
    <w:r w:rsidRPr="0069302F">
      <w:rPr>
        <w:rStyle w:val="PageNumber"/>
        <w:sz w:val="22"/>
        <w:szCs w:val="22"/>
      </w:rPr>
      <w:fldChar w:fldCharType="separate"/>
    </w:r>
    <w:r w:rsidR="00657B2F">
      <w:rPr>
        <w:rStyle w:val="PageNumber"/>
        <w:noProof/>
        <w:sz w:val="22"/>
        <w:szCs w:val="22"/>
      </w:rPr>
      <w:t>5</w:t>
    </w:r>
    <w:r w:rsidRPr="0069302F">
      <w:rPr>
        <w:rStyle w:val="PageNumber"/>
        <w:sz w:val="22"/>
        <w:szCs w:val="22"/>
      </w:rPr>
      <w:fldChar w:fldCharType="end"/>
    </w:r>
  </w:p>
  <w:p w:rsidR="007F0A52" w:rsidRDefault="007F0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6B0" w:rsidRDefault="00DE66B0">
      <w:r>
        <w:separator/>
      </w:r>
    </w:p>
  </w:footnote>
  <w:footnote w:type="continuationSeparator" w:id="0">
    <w:p w:rsidR="00DE66B0" w:rsidRDefault="00DE6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52" w:rsidRDefault="007F0A52" w:rsidP="002066F7">
    <w:pPr>
      <w:pStyle w:val="Header"/>
      <w:framePr w:wrap="auto"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40F"/>
    <w:multiLevelType w:val="hybridMultilevel"/>
    <w:tmpl w:val="0D443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DD4B9A"/>
    <w:multiLevelType w:val="hybridMultilevel"/>
    <w:tmpl w:val="4DE0E484"/>
    <w:lvl w:ilvl="0" w:tplc="0C090001">
      <w:start w:val="1"/>
      <w:numFmt w:val="bullet"/>
      <w:lvlText w:val=""/>
      <w:lvlJc w:val="left"/>
      <w:pPr>
        <w:tabs>
          <w:tab w:val="num" w:pos="360"/>
        </w:tabs>
        <w:ind w:left="360" w:hanging="360"/>
      </w:pPr>
      <w:rPr>
        <w:rFonts w:ascii="Symbol" w:hAnsi="Symbol" w:hint="default"/>
      </w:rPr>
    </w:lvl>
    <w:lvl w:ilvl="1" w:tplc="9AAEB2B2">
      <w:start w:val="1"/>
      <w:numFmt w:val="bullet"/>
      <w:lvlText w:val=""/>
      <w:lvlJc w:val="left"/>
      <w:pPr>
        <w:tabs>
          <w:tab w:val="num" w:pos="1080"/>
        </w:tabs>
        <w:ind w:left="1080" w:hanging="360"/>
      </w:pPr>
      <w:rPr>
        <w:rFonts w:ascii="Symbol" w:hAnsi="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180A7292"/>
    <w:multiLevelType w:val="hybridMultilevel"/>
    <w:tmpl w:val="1AD826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7B57DA1"/>
    <w:multiLevelType w:val="hybridMultilevel"/>
    <w:tmpl w:val="593CA47E"/>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7DD1267"/>
    <w:multiLevelType w:val="hybridMultilevel"/>
    <w:tmpl w:val="5CBC0A9C"/>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28D3643A"/>
    <w:multiLevelType w:val="hybridMultilevel"/>
    <w:tmpl w:val="9DAC5E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34990061"/>
    <w:multiLevelType w:val="hybridMultilevel"/>
    <w:tmpl w:val="66F419A6"/>
    <w:lvl w:ilvl="0" w:tplc="6960F0D0">
      <w:start w:val="1"/>
      <w:numFmt w:val="bullet"/>
      <w:lvlText w:val=""/>
      <w:lvlJc w:val="left"/>
      <w:pPr>
        <w:tabs>
          <w:tab w:val="num" w:pos="6930"/>
        </w:tabs>
        <w:ind w:left="693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CE140D9"/>
    <w:multiLevelType w:val="hybridMultilevel"/>
    <w:tmpl w:val="095C619C"/>
    <w:lvl w:ilvl="0" w:tplc="72189128">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8">
    <w:nsid w:val="4A170892"/>
    <w:multiLevelType w:val="hybridMultilevel"/>
    <w:tmpl w:val="B89A61F8"/>
    <w:lvl w:ilvl="0" w:tplc="BD32CB88">
      <w:start w:val="28"/>
      <w:numFmt w:val="bullet"/>
      <w:lvlText w:val="-"/>
      <w:lvlJc w:val="left"/>
      <w:pPr>
        <w:tabs>
          <w:tab w:val="num" w:pos="420"/>
        </w:tabs>
        <w:ind w:left="420" w:hanging="360"/>
      </w:pPr>
      <w:rPr>
        <w:rFonts w:ascii="Arial" w:eastAsia="Times New Roman" w:hAnsi="Arial" w:cs="Arial"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9">
    <w:nsid w:val="4D587857"/>
    <w:multiLevelType w:val="hybridMultilevel"/>
    <w:tmpl w:val="0032FEDA"/>
    <w:lvl w:ilvl="0" w:tplc="0C090001">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
    <w:nsid w:val="57047ED8"/>
    <w:multiLevelType w:val="hybridMultilevel"/>
    <w:tmpl w:val="0F9885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B2C65CE"/>
    <w:multiLevelType w:val="multilevel"/>
    <w:tmpl w:val="66F419A6"/>
    <w:lvl w:ilvl="0">
      <w:start w:val="1"/>
      <w:numFmt w:val="bullet"/>
      <w:lvlText w:val=""/>
      <w:lvlJc w:val="left"/>
      <w:pPr>
        <w:tabs>
          <w:tab w:val="num" w:pos="6930"/>
        </w:tabs>
        <w:ind w:left="693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03E7B34"/>
    <w:multiLevelType w:val="hybridMultilevel"/>
    <w:tmpl w:val="7CBA8FB8"/>
    <w:lvl w:ilvl="0" w:tplc="9AAEB2B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5130"/>
        </w:tabs>
        <w:ind w:left="-5130" w:hanging="360"/>
      </w:pPr>
      <w:rPr>
        <w:rFonts w:ascii="Courier New" w:hAnsi="Courier New" w:cs="Courier New" w:hint="default"/>
      </w:rPr>
    </w:lvl>
    <w:lvl w:ilvl="2" w:tplc="0C090005" w:tentative="1">
      <w:start w:val="1"/>
      <w:numFmt w:val="bullet"/>
      <w:lvlText w:val=""/>
      <w:lvlJc w:val="left"/>
      <w:pPr>
        <w:tabs>
          <w:tab w:val="num" w:pos="-4410"/>
        </w:tabs>
        <w:ind w:left="-4410" w:hanging="360"/>
      </w:pPr>
      <w:rPr>
        <w:rFonts w:ascii="Wingdings" w:hAnsi="Wingdings" w:hint="default"/>
      </w:rPr>
    </w:lvl>
    <w:lvl w:ilvl="3" w:tplc="0C090001" w:tentative="1">
      <w:start w:val="1"/>
      <w:numFmt w:val="bullet"/>
      <w:lvlText w:val=""/>
      <w:lvlJc w:val="left"/>
      <w:pPr>
        <w:tabs>
          <w:tab w:val="num" w:pos="-3690"/>
        </w:tabs>
        <w:ind w:left="-3690" w:hanging="360"/>
      </w:pPr>
      <w:rPr>
        <w:rFonts w:ascii="Symbol" w:hAnsi="Symbol" w:hint="default"/>
      </w:rPr>
    </w:lvl>
    <w:lvl w:ilvl="4" w:tplc="0C090003" w:tentative="1">
      <w:start w:val="1"/>
      <w:numFmt w:val="bullet"/>
      <w:lvlText w:val="o"/>
      <w:lvlJc w:val="left"/>
      <w:pPr>
        <w:tabs>
          <w:tab w:val="num" w:pos="-2970"/>
        </w:tabs>
        <w:ind w:left="-2970" w:hanging="360"/>
      </w:pPr>
      <w:rPr>
        <w:rFonts w:ascii="Courier New" w:hAnsi="Courier New" w:cs="Courier New" w:hint="default"/>
      </w:rPr>
    </w:lvl>
    <w:lvl w:ilvl="5" w:tplc="0C090005" w:tentative="1">
      <w:start w:val="1"/>
      <w:numFmt w:val="bullet"/>
      <w:lvlText w:val=""/>
      <w:lvlJc w:val="left"/>
      <w:pPr>
        <w:tabs>
          <w:tab w:val="num" w:pos="-2250"/>
        </w:tabs>
        <w:ind w:left="-2250" w:hanging="360"/>
      </w:pPr>
      <w:rPr>
        <w:rFonts w:ascii="Wingdings" w:hAnsi="Wingdings" w:hint="default"/>
      </w:rPr>
    </w:lvl>
    <w:lvl w:ilvl="6" w:tplc="0C090001" w:tentative="1">
      <w:start w:val="1"/>
      <w:numFmt w:val="bullet"/>
      <w:lvlText w:val=""/>
      <w:lvlJc w:val="left"/>
      <w:pPr>
        <w:tabs>
          <w:tab w:val="num" w:pos="-1530"/>
        </w:tabs>
        <w:ind w:left="-1530" w:hanging="360"/>
      </w:pPr>
      <w:rPr>
        <w:rFonts w:ascii="Symbol" w:hAnsi="Symbol" w:hint="default"/>
      </w:rPr>
    </w:lvl>
    <w:lvl w:ilvl="7" w:tplc="0C090003" w:tentative="1">
      <w:start w:val="1"/>
      <w:numFmt w:val="bullet"/>
      <w:lvlText w:val="o"/>
      <w:lvlJc w:val="left"/>
      <w:pPr>
        <w:tabs>
          <w:tab w:val="num" w:pos="-810"/>
        </w:tabs>
        <w:ind w:left="-810" w:hanging="360"/>
      </w:pPr>
      <w:rPr>
        <w:rFonts w:ascii="Courier New" w:hAnsi="Courier New" w:cs="Courier New" w:hint="default"/>
      </w:rPr>
    </w:lvl>
    <w:lvl w:ilvl="8" w:tplc="0C090005" w:tentative="1">
      <w:start w:val="1"/>
      <w:numFmt w:val="bullet"/>
      <w:lvlText w:val=""/>
      <w:lvlJc w:val="left"/>
      <w:pPr>
        <w:tabs>
          <w:tab w:val="num" w:pos="-90"/>
        </w:tabs>
        <w:ind w:left="-90" w:hanging="360"/>
      </w:pPr>
      <w:rPr>
        <w:rFonts w:ascii="Wingdings" w:hAnsi="Wingdings" w:hint="default"/>
      </w:rPr>
    </w:lvl>
  </w:abstractNum>
  <w:abstractNum w:abstractNumId="13">
    <w:nsid w:val="62CA2CD0"/>
    <w:multiLevelType w:val="hybridMultilevel"/>
    <w:tmpl w:val="DB6E98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4770"/>
        </w:tabs>
        <w:ind w:left="-4770" w:hanging="360"/>
      </w:pPr>
      <w:rPr>
        <w:rFonts w:ascii="Courier New" w:hAnsi="Courier New" w:cs="Courier New" w:hint="default"/>
      </w:rPr>
    </w:lvl>
    <w:lvl w:ilvl="2" w:tplc="0C090005" w:tentative="1">
      <w:start w:val="1"/>
      <w:numFmt w:val="bullet"/>
      <w:lvlText w:val=""/>
      <w:lvlJc w:val="left"/>
      <w:pPr>
        <w:tabs>
          <w:tab w:val="num" w:pos="-4050"/>
        </w:tabs>
        <w:ind w:left="-4050" w:hanging="360"/>
      </w:pPr>
      <w:rPr>
        <w:rFonts w:ascii="Wingdings" w:hAnsi="Wingdings" w:hint="default"/>
      </w:rPr>
    </w:lvl>
    <w:lvl w:ilvl="3" w:tplc="0C090001" w:tentative="1">
      <w:start w:val="1"/>
      <w:numFmt w:val="bullet"/>
      <w:lvlText w:val=""/>
      <w:lvlJc w:val="left"/>
      <w:pPr>
        <w:tabs>
          <w:tab w:val="num" w:pos="-3330"/>
        </w:tabs>
        <w:ind w:left="-3330" w:hanging="360"/>
      </w:pPr>
      <w:rPr>
        <w:rFonts w:ascii="Symbol" w:hAnsi="Symbol" w:hint="default"/>
      </w:rPr>
    </w:lvl>
    <w:lvl w:ilvl="4" w:tplc="0C090003" w:tentative="1">
      <w:start w:val="1"/>
      <w:numFmt w:val="bullet"/>
      <w:lvlText w:val="o"/>
      <w:lvlJc w:val="left"/>
      <w:pPr>
        <w:tabs>
          <w:tab w:val="num" w:pos="-2610"/>
        </w:tabs>
        <w:ind w:left="-2610" w:hanging="360"/>
      </w:pPr>
      <w:rPr>
        <w:rFonts w:ascii="Courier New" w:hAnsi="Courier New" w:cs="Courier New" w:hint="default"/>
      </w:rPr>
    </w:lvl>
    <w:lvl w:ilvl="5" w:tplc="0C090005" w:tentative="1">
      <w:start w:val="1"/>
      <w:numFmt w:val="bullet"/>
      <w:lvlText w:val=""/>
      <w:lvlJc w:val="left"/>
      <w:pPr>
        <w:tabs>
          <w:tab w:val="num" w:pos="-1890"/>
        </w:tabs>
        <w:ind w:left="-1890" w:hanging="360"/>
      </w:pPr>
      <w:rPr>
        <w:rFonts w:ascii="Wingdings" w:hAnsi="Wingdings" w:hint="default"/>
      </w:rPr>
    </w:lvl>
    <w:lvl w:ilvl="6" w:tplc="0C090001" w:tentative="1">
      <w:start w:val="1"/>
      <w:numFmt w:val="bullet"/>
      <w:lvlText w:val=""/>
      <w:lvlJc w:val="left"/>
      <w:pPr>
        <w:tabs>
          <w:tab w:val="num" w:pos="-1170"/>
        </w:tabs>
        <w:ind w:left="-1170" w:hanging="360"/>
      </w:pPr>
      <w:rPr>
        <w:rFonts w:ascii="Symbol" w:hAnsi="Symbol" w:hint="default"/>
      </w:rPr>
    </w:lvl>
    <w:lvl w:ilvl="7" w:tplc="0C090003" w:tentative="1">
      <w:start w:val="1"/>
      <w:numFmt w:val="bullet"/>
      <w:lvlText w:val="o"/>
      <w:lvlJc w:val="left"/>
      <w:pPr>
        <w:tabs>
          <w:tab w:val="num" w:pos="-450"/>
        </w:tabs>
        <w:ind w:left="-450" w:hanging="360"/>
      </w:pPr>
      <w:rPr>
        <w:rFonts w:ascii="Courier New" w:hAnsi="Courier New" w:cs="Courier New" w:hint="default"/>
      </w:rPr>
    </w:lvl>
    <w:lvl w:ilvl="8" w:tplc="0C090005" w:tentative="1">
      <w:start w:val="1"/>
      <w:numFmt w:val="bullet"/>
      <w:lvlText w:val=""/>
      <w:lvlJc w:val="left"/>
      <w:pPr>
        <w:tabs>
          <w:tab w:val="num" w:pos="270"/>
        </w:tabs>
        <w:ind w:left="270" w:hanging="360"/>
      </w:pPr>
      <w:rPr>
        <w:rFonts w:ascii="Wingdings" w:hAnsi="Wingdings" w:hint="default"/>
      </w:rPr>
    </w:lvl>
  </w:abstractNum>
  <w:abstractNum w:abstractNumId="14">
    <w:nsid w:val="63B614E2"/>
    <w:multiLevelType w:val="multilevel"/>
    <w:tmpl w:val="095C619C"/>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nsid w:val="64D57F88"/>
    <w:multiLevelType w:val="hybridMultilevel"/>
    <w:tmpl w:val="313AE9FC"/>
    <w:lvl w:ilvl="0" w:tplc="0C090001">
      <w:start w:val="1"/>
      <w:numFmt w:val="bullet"/>
      <w:lvlText w:val=""/>
      <w:lvlJc w:val="left"/>
      <w:pPr>
        <w:tabs>
          <w:tab w:val="num" w:pos="360"/>
        </w:tabs>
        <w:ind w:left="360" w:hanging="360"/>
      </w:pPr>
      <w:rPr>
        <w:rFonts w:ascii="Symbol" w:hAnsi="Symbol" w:hint="default"/>
      </w:rPr>
    </w:lvl>
    <w:lvl w:ilvl="1" w:tplc="6960F0D0">
      <w:start w:val="1"/>
      <w:numFmt w:val="bullet"/>
      <w:lvlText w:val=""/>
      <w:lvlJc w:val="left"/>
      <w:pPr>
        <w:tabs>
          <w:tab w:val="num" w:pos="1080"/>
        </w:tabs>
        <w:ind w:left="1080" w:hanging="360"/>
      </w:pPr>
      <w:rPr>
        <w:rFonts w:ascii="Wingdings" w:hAnsi="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725D2204"/>
    <w:multiLevelType w:val="hybridMultilevel"/>
    <w:tmpl w:val="5E6EF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A50162"/>
    <w:multiLevelType w:val="hybridMultilevel"/>
    <w:tmpl w:val="85F489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0"/>
  </w:num>
  <w:num w:numId="4">
    <w:abstractNumId w:val="0"/>
  </w:num>
  <w:num w:numId="5">
    <w:abstractNumId w:val="5"/>
  </w:num>
  <w:num w:numId="6">
    <w:abstractNumId w:val="4"/>
  </w:num>
  <w:num w:numId="7">
    <w:abstractNumId w:val="6"/>
  </w:num>
  <w:num w:numId="8">
    <w:abstractNumId w:val="11"/>
  </w:num>
  <w:num w:numId="9">
    <w:abstractNumId w:val="12"/>
  </w:num>
  <w:num w:numId="10">
    <w:abstractNumId w:val="13"/>
  </w:num>
  <w:num w:numId="11">
    <w:abstractNumId w:val="3"/>
  </w:num>
  <w:num w:numId="12">
    <w:abstractNumId w:val="15"/>
  </w:num>
  <w:num w:numId="13">
    <w:abstractNumId w:val="1"/>
  </w:num>
  <w:num w:numId="14">
    <w:abstractNumId w:val="2"/>
  </w:num>
  <w:num w:numId="15">
    <w:abstractNumId w:val="17"/>
  </w:num>
  <w:num w:numId="16">
    <w:abstractNumId w:val="7"/>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0F4"/>
    <w:rsid w:val="000014B2"/>
    <w:rsid w:val="00001631"/>
    <w:rsid w:val="000016B8"/>
    <w:rsid w:val="00035495"/>
    <w:rsid w:val="000635DA"/>
    <w:rsid w:val="00080730"/>
    <w:rsid w:val="000822CC"/>
    <w:rsid w:val="00082A97"/>
    <w:rsid w:val="00093182"/>
    <w:rsid w:val="000B18ED"/>
    <w:rsid w:val="000B1FE5"/>
    <w:rsid w:val="000C0512"/>
    <w:rsid w:val="000C2396"/>
    <w:rsid w:val="000C3478"/>
    <w:rsid w:val="000E1768"/>
    <w:rsid w:val="000E5F62"/>
    <w:rsid w:val="001059A5"/>
    <w:rsid w:val="00105CEB"/>
    <w:rsid w:val="00112A5E"/>
    <w:rsid w:val="00113FF0"/>
    <w:rsid w:val="001176AF"/>
    <w:rsid w:val="00126360"/>
    <w:rsid w:val="00146A22"/>
    <w:rsid w:val="00150991"/>
    <w:rsid w:val="00157980"/>
    <w:rsid w:val="00162090"/>
    <w:rsid w:val="001623F4"/>
    <w:rsid w:val="00165AF5"/>
    <w:rsid w:val="00167803"/>
    <w:rsid w:val="00167C9D"/>
    <w:rsid w:val="001B014A"/>
    <w:rsid w:val="001B6A3A"/>
    <w:rsid w:val="001C10CD"/>
    <w:rsid w:val="001D2A39"/>
    <w:rsid w:val="001D2B4D"/>
    <w:rsid w:val="001D31B0"/>
    <w:rsid w:val="001D6844"/>
    <w:rsid w:val="002040F4"/>
    <w:rsid w:val="002066F7"/>
    <w:rsid w:val="0021023F"/>
    <w:rsid w:val="00220F90"/>
    <w:rsid w:val="00233137"/>
    <w:rsid w:val="00245175"/>
    <w:rsid w:val="002458DF"/>
    <w:rsid w:val="0025127C"/>
    <w:rsid w:val="00265F1A"/>
    <w:rsid w:val="002702EB"/>
    <w:rsid w:val="00280F5F"/>
    <w:rsid w:val="002A05C8"/>
    <w:rsid w:val="002B7189"/>
    <w:rsid w:val="002E2C65"/>
    <w:rsid w:val="002E6CDB"/>
    <w:rsid w:val="002F06D2"/>
    <w:rsid w:val="002F54E9"/>
    <w:rsid w:val="002F7F82"/>
    <w:rsid w:val="003052F0"/>
    <w:rsid w:val="00305F0E"/>
    <w:rsid w:val="003276D1"/>
    <w:rsid w:val="00332DD0"/>
    <w:rsid w:val="0035792F"/>
    <w:rsid w:val="003607BF"/>
    <w:rsid w:val="00375B08"/>
    <w:rsid w:val="003900EF"/>
    <w:rsid w:val="00390D3F"/>
    <w:rsid w:val="003C23F8"/>
    <w:rsid w:val="003C2420"/>
    <w:rsid w:val="003C5805"/>
    <w:rsid w:val="003D3BD9"/>
    <w:rsid w:val="003D7FC3"/>
    <w:rsid w:val="003F6764"/>
    <w:rsid w:val="0041250A"/>
    <w:rsid w:val="00432639"/>
    <w:rsid w:val="00443843"/>
    <w:rsid w:val="00472276"/>
    <w:rsid w:val="00473449"/>
    <w:rsid w:val="0048560B"/>
    <w:rsid w:val="00496362"/>
    <w:rsid w:val="0049729F"/>
    <w:rsid w:val="004B603B"/>
    <w:rsid w:val="004C22D9"/>
    <w:rsid w:val="004E7D8C"/>
    <w:rsid w:val="004F0CD9"/>
    <w:rsid w:val="004F0EC4"/>
    <w:rsid w:val="00503300"/>
    <w:rsid w:val="00510810"/>
    <w:rsid w:val="00510C21"/>
    <w:rsid w:val="00511765"/>
    <w:rsid w:val="005240AA"/>
    <w:rsid w:val="00530473"/>
    <w:rsid w:val="00533182"/>
    <w:rsid w:val="00541CF9"/>
    <w:rsid w:val="0055360F"/>
    <w:rsid w:val="005838CF"/>
    <w:rsid w:val="00585424"/>
    <w:rsid w:val="005912D5"/>
    <w:rsid w:val="005941FB"/>
    <w:rsid w:val="0059640F"/>
    <w:rsid w:val="005A2140"/>
    <w:rsid w:val="005A7565"/>
    <w:rsid w:val="005B0F06"/>
    <w:rsid w:val="005B1049"/>
    <w:rsid w:val="005C5968"/>
    <w:rsid w:val="00620A99"/>
    <w:rsid w:val="00631DAE"/>
    <w:rsid w:val="00640D76"/>
    <w:rsid w:val="00657B2F"/>
    <w:rsid w:val="00673D96"/>
    <w:rsid w:val="0068494E"/>
    <w:rsid w:val="00690E56"/>
    <w:rsid w:val="00691F1F"/>
    <w:rsid w:val="0069302F"/>
    <w:rsid w:val="00693C01"/>
    <w:rsid w:val="006A532B"/>
    <w:rsid w:val="006B05AE"/>
    <w:rsid w:val="006C0544"/>
    <w:rsid w:val="006E46DA"/>
    <w:rsid w:val="006F28F0"/>
    <w:rsid w:val="00705427"/>
    <w:rsid w:val="0072576D"/>
    <w:rsid w:val="00727168"/>
    <w:rsid w:val="00731D4B"/>
    <w:rsid w:val="00734DD4"/>
    <w:rsid w:val="0074391F"/>
    <w:rsid w:val="007441AA"/>
    <w:rsid w:val="007453A7"/>
    <w:rsid w:val="00775087"/>
    <w:rsid w:val="007968DF"/>
    <w:rsid w:val="007A0208"/>
    <w:rsid w:val="007A6EBA"/>
    <w:rsid w:val="007C516C"/>
    <w:rsid w:val="007D3FF7"/>
    <w:rsid w:val="007F0A52"/>
    <w:rsid w:val="007F401C"/>
    <w:rsid w:val="007F61B4"/>
    <w:rsid w:val="007F6493"/>
    <w:rsid w:val="00802415"/>
    <w:rsid w:val="008317C8"/>
    <w:rsid w:val="00843A6E"/>
    <w:rsid w:val="00845C14"/>
    <w:rsid w:val="0084797F"/>
    <w:rsid w:val="00873666"/>
    <w:rsid w:val="008776CF"/>
    <w:rsid w:val="00883D2C"/>
    <w:rsid w:val="008912C2"/>
    <w:rsid w:val="0089281E"/>
    <w:rsid w:val="008A5023"/>
    <w:rsid w:val="008B1EC3"/>
    <w:rsid w:val="008B5218"/>
    <w:rsid w:val="008C0EE2"/>
    <w:rsid w:val="008D490A"/>
    <w:rsid w:val="008D7E02"/>
    <w:rsid w:val="008E64B5"/>
    <w:rsid w:val="008F0D26"/>
    <w:rsid w:val="008F505B"/>
    <w:rsid w:val="008F6A16"/>
    <w:rsid w:val="00904573"/>
    <w:rsid w:val="00904C0C"/>
    <w:rsid w:val="0091679F"/>
    <w:rsid w:val="00921533"/>
    <w:rsid w:val="009719DD"/>
    <w:rsid w:val="00985DC2"/>
    <w:rsid w:val="00992DEE"/>
    <w:rsid w:val="009A080D"/>
    <w:rsid w:val="009A1534"/>
    <w:rsid w:val="009A571A"/>
    <w:rsid w:val="009C4D09"/>
    <w:rsid w:val="009C7E5F"/>
    <w:rsid w:val="009D5A6E"/>
    <w:rsid w:val="009D7FDB"/>
    <w:rsid w:val="009E08E3"/>
    <w:rsid w:val="009E7B20"/>
    <w:rsid w:val="009F007A"/>
    <w:rsid w:val="009F473F"/>
    <w:rsid w:val="009F58FB"/>
    <w:rsid w:val="00A0162F"/>
    <w:rsid w:val="00A0415A"/>
    <w:rsid w:val="00A074D7"/>
    <w:rsid w:val="00A07ED7"/>
    <w:rsid w:val="00A10E8C"/>
    <w:rsid w:val="00A12F8E"/>
    <w:rsid w:val="00A2356F"/>
    <w:rsid w:val="00A264D0"/>
    <w:rsid w:val="00A632ED"/>
    <w:rsid w:val="00A728AE"/>
    <w:rsid w:val="00A75808"/>
    <w:rsid w:val="00A84916"/>
    <w:rsid w:val="00A9417F"/>
    <w:rsid w:val="00AB0D57"/>
    <w:rsid w:val="00AB6F5B"/>
    <w:rsid w:val="00AC0B0B"/>
    <w:rsid w:val="00AD1CB0"/>
    <w:rsid w:val="00AF20AE"/>
    <w:rsid w:val="00AF503B"/>
    <w:rsid w:val="00AF7ED7"/>
    <w:rsid w:val="00B013F2"/>
    <w:rsid w:val="00B159AD"/>
    <w:rsid w:val="00B23FB2"/>
    <w:rsid w:val="00B30E8A"/>
    <w:rsid w:val="00B500D2"/>
    <w:rsid w:val="00B56D2D"/>
    <w:rsid w:val="00B56D7B"/>
    <w:rsid w:val="00B657D8"/>
    <w:rsid w:val="00B87E8C"/>
    <w:rsid w:val="00B90BC4"/>
    <w:rsid w:val="00B92C83"/>
    <w:rsid w:val="00BA0480"/>
    <w:rsid w:val="00BB0467"/>
    <w:rsid w:val="00BB16F9"/>
    <w:rsid w:val="00BB4605"/>
    <w:rsid w:val="00BB63A3"/>
    <w:rsid w:val="00BB716F"/>
    <w:rsid w:val="00BC2610"/>
    <w:rsid w:val="00BC332A"/>
    <w:rsid w:val="00BD6486"/>
    <w:rsid w:val="00C000EB"/>
    <w:rsid w:val="00C038EB"/>
    <w:rsid w:val="00C12454"/>
    <w:rsid w:val="00C15AF5"/>
    <w:rsid w:val="00C401AB"/>
    <w:rsid w:val="00C41AC4"/>
    <w:rsid w:val="00C51917"/>
    <w:rsid w:val="00C74ADA"/>
    <w:rsid w:val="00C74BE6"/>
    <w:rsid w:val="00C80653"/>
    <w:rsid w:val="00C81149"/>
    <w:rsid w:val="00C82175"/>
    <w:rsid w:val="00C877ED"/>
    <w:rsid w:val="00C92D20"/>
    <w:rsid w:val="00C960E5"/>
    <w:rsid w:val="00CD62BE"/>
    <w:rsid w:val="00CE5E5A"/>
    <w:rsid w:val="00CF40E0"/>
    <w:rsid w:val="00CF55F8"/>
    <w:rsid w:val="00D00B5E"/>
    <w:rsid w:val="00D02F8B"/>
    <w:rsid w:val="00D03705"/>
    <w:rsid w:val="00D07093"/>
    <w:rsid w:val="00D0720E"/>
    <w:rsid w:val="00D31910"/>
    <w:rsid w:val="00D33E67"/>
    <w:rsid w:val="00D375F1"/>
    <w:rsid w:val="00D40305"/>
    <w:rsid w:val="00D51555"/>
    <w:rsid w:val="00D5788E"/>
    <w:rsid w:val="00D73BD1"/>
    <w:rsid w:val="00D76333"/>
    <w:rsid w:val="00D84DA3"/>
    <w:rsid w:val="00D9008D"/>
    <w:rsid w:val="00D910BC"/>
    <w:rsid w:val="00D94A9C"/>
    <w:rsid w:val="00D95B84"/>
    <w:rsid w:val="00DA3BE7"/>
    <w:rsid w:val="00DB1061"/>
    <w:rsid w:val="00DC1BAE"/>
    <w:rsid w:val="00DC1E60"/>
    <w:rsid w:val="00DC3C76"/>
    <w:rsid w:val="00DC4C4A"/>
    <w:rsid w:val="00DD03D8"/>
    <w:rsid w:val="00DE3E26"/>
    <w:rsid w:val="00DE66B0"/>
    <w:rsid w:val="00DF669E"/>
    <w:rsid w:val="00E0484F"/>
    <w:rsid w:val="00E20F52"/>
    <w:rsid w:val="00E32C27"/>
    <w:rsid w:val="00E406BE"/>
    <w:rsid w:val="00E40895"/>
    <w:rsid w:val="00E42C23"/>
    <w:rsid w:val="00E42DE5"/>
    <w:rsid w:val="00E44F3C"/>
    <w:rsid w:val="00E608A3"/>
    <w:rsid w:val="00E6503A"/>
    <w:rsid w:val="00EA3DE9"/>
    <w:rsid w:val="00EB098B"/>
    <w:rsid w:val="00EB5EA4"/>
    <w:rsid w:val="00EB76F3"/>
    <w:rsid w:val="00ED69B2"/>
    <w:rsid w:val="00EE0CD0"/>
    <w:rsid w:val="00EF2375"/>
    <w:rsid w:val="00EF2B84"/>
    <w:rsid w:val="00EF6BD7"/>
    <w:rsid w:val="00F01A65"/>
    <w:rsid w:val="00F16223"/>
    <w:rsid w:val="00F5476C"/>
    <w:rsid w:val="00F836EA"/>
    <w:rsid w:val="00F86A31"/>
    <w:rsid w:val="00F92402"/>
    <w:rsid w:val="00FA2B13"/>
    <w:rsid w:val="00FA7C8D"/>
    <w:rsid w:val="00FC097D"/>
    <w:rsid w:val="00FE4EF8"/>
    <w:rsid w:val="00FF0EFD"/>
    <w:rsid w:val="00FF3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F0E"/>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E7D8C"/>
  </w:style>
  <w:style w:type="paragraph" w:styleId="Header">
    <w:name w:val="header"/>
    <w:basedOn w:val="Normal"/>
    <w:rsid w:val="004E7D8C"/>
    <w:pPr>
      <w:tabs>
        <w:tab w:val="center" w:pos="4819"/>
        <w:tab w:val="right" w:pos="9071"/>
      </w:tabs>
    </w:pPr>
    <w:rPr>
      <w:lang w:val="en-GB"/>
    </w:rPr>
  </w:style>
  <w:style w:type="table" w:styleId="TableGrid">
    <w:name w:val="Table Grid"/>
    <w:basedOn w:val="TableNormal"/>
    <w:rsid w:val="004E7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4E7D8C"/>
    <w:rPr>
      <w:sz w:val="16"/>
      <w:szCs w:val="16"/>
    </w:rPr>
  </w:style>
  <w:style w:type="paragraph" w:styleId="CommentText">
    <w:name w:val="annotation text"/>
    <w:basedOn w:val="Normal"/>
    <w:semiHidden/>
    <w:rsid w:val="004E7D8C"/>
    <w:rPr>
      <w:sz w:val="20"/>
    </w:rPr>
  </w:style>
  <w:style w:type="paragraph" w:styleId="CommentSubject">
    <w:name w:val="annotation subject"/>
    <w:basedOn w:val="CommentText"/>
    <w:next w:val="CommentText"/>
    <w:semiHidden/>
    <w:rsid w:val="004E7D8C"/>
    <w:rPr>
      <w:b/>
      <w:bCs/>
    </w:rPr>
  </w:style>
  <w:style w:type="paragraph" w:styleId="BalloonText">
    <w:name w:val="Balloon Text"/>
    <w:basedOn w:val="Normal"/>
    <w:semiHidden/>
    <w:rsid w:val="004E7D8C"/>
    <w:rPr>
      <w:rFonts w:ascii="Tahoma" w:hAnsi="Tahoma" w:cs="Tahoma"/>
      <w:sz w:val="16"/>
      <w:szCs w:val="16"/>
    </w:rPr>
  </w:style>
  <w:style w:type="paragraph" w:customStyle="1" w:styleId="Contactdetails">
    <w:name w:val="Contact details"/>
    <w:basedOn w:val="Normal"/>
    <w:rsid w:val="004E7D8C"/>
    <w:pPr>
      <w:tabs>
        <w:tab w:val="left" w:pos="1134"/>
        <w:tab w:val="left" w:pos="4536"/>
        <w:tab w:val="left" w:pos="6237"/>
      </w:tabs>
    </w:pPr>
    <w:rPr>
      <w:lang w:eastAsia="en-AU"/>
    </w:rPr>
  </w:style>
  <w:style w:type="paragraph" w:customStyle="1" w:styleId="CharCharChar">
    <w:name w:val="Char Char Char"/>
    <w:basedOn w:val="Normal"/>
    <w:rsid w:val="004E7D8C"/>
    <w:pPr>
      <w:spacing w:after="160" w:line="240" w:lineRule="exact"/>
    </w:pPr>
    <w:rPr>
      <w:rFonts w:ascii="Verdana" w:hAnsi="Verdana"/>
      <w:sz w:val="20"/>
      <w:szCs w:val="24"/>
      <w:lang w:val="en-US"/>
    </w:rPr>
  </w:style>
  <w:style w:type="paragraph" w:customStyle="1" w:styleId="Char">
    <w:name w:val="Char"/>
    <w:basedOn w:val="Normal"/>
    <w:rsid w:val="004E7D8C"/>
    <w:rPr>
      <w:rFonts w:ascii="Arial" w:hAnsi="Arial"/>
      <w:sz w:val="22"/>
    </w:rPr>
  </w:style>
  <w:style w:type="paragraph" w:styleId="FootnoteText">
    <w:name w:val="footnote text"/>
    <w:basedOn w:val="Normal"/>
    <w:semiHidden/>
    <w:rsid w:val="004E7D8C"/>
    <w:rPr>
      <w:sz w:val="20"/>
    </w:rPr>
  </w:style>
  <w:style w:type="character" w:styleId="FootnoteReference">
    <w:name w:val="footnote reference"/>
    <w:semiHidden/>
    <w:rsid w:val="004E7D8C"/>
    <w:rPr>
      <w:vertAlign w:val="superscript"/>
    </w:rPr>
  </w:style>
  <w:style w:type="paragraph" w:customStyle="1" w:styleId="Char0">
    <w:name w:val="Char"/>
    <w:basedOn w:val="Normal"/>
    <w:rsid w:val="004E7D8C"/>
    <w:rPr>
      <w:rFonts w:ascii="Arial" w:hAnsi="Arial"/>
      <w:sz w:val="22"/>
    </w:rPr>
  </w:style>
  <w:style w:type="paragraph" w:styleId="DocumentMap">
    <w:name w:val="Document Map"/>
    <w:basedOn w:val="Normal"/>
    <w:semiHidden/>
    <w:rsid w:val="004E7D8C"/>
    <w:pPr>
      <w:shd w:val="clear" w:color="auto" w:fill="000080"/>
    </w:pPr>
    <w:rPr>
      <w:rFonts w:ascii="Tahoma" w:hAnsi="Tahoma" w:cs="Tahoma"/>
      <w:sz w:val="20"/>
    </w:rPr>
  </w:style>
  <w:style w:type="paragraph" w:styleId="Footer">
    <w:name w:val="footer"/>
    <w:basedOn w:val="Normal"/>
    <w:rsid w:val="004E7D8C"/>
    <w:pPr>
      <w:tabs>
        <w:tab w:val="center" w:pos="4153"/>
        <w:tab w:val="right" w:pos="8306"/>
      </w:tabs>
    </w:pPr>
  </w:style>
  <w:style w:type="paragraph" w:customStyle="1" w:styleId="AFMAbodytext">
    <w:name w:val="AFMA body text"/>
    <w:rsid w:val="000016B8"/>
    <w:pPr>
      <w:tabs>
        <w:tab w:val="left" w:pos="284"/>
        <w:tab w:val="left" w:pos="567"/>
        <w:tab w:val="left" w:pos="851"/>
      </w:tabs>
      <w:spacing w:before="220" w:line="280" w:lineRule="exact"/>
    </w:pPr>
    <w:rPr>
      <w:rFonts w:ascii="Arial" w:eastAsia="Times" w:hAnsi="Arial"/>
      <w:sz w:val="22"/>
      <w:lang w:eastAsia="en-US"/>
    </w:rPr>
  </w:style>
  <w:style w:type="paragraph" w:customStyle="1" w:styleId="AFMANormal">
    <w:name w:val="AFMA Normal"/>
    <w:rsid w:val="00883D2C"/>
    <w:pPr>
      <w:spacing w:before="240"/>
      <w:jc w:val="both"/>
    </w:pPr>
    <w:rPr>
      <w:snapToGrid w:val="0"/>
      <w:kern w:val="2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F0E"/>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E7D8C"/>
  </w:style>
  <w:style w:type="paragraph" w:styleId="Header">
    <w:name w:val="header"/>
    <w:basedOn w:val="Normal"/>
    <w:rsid w:val="004E7D8C"/>
    <w:pPr>
      <w:tabs>
        <w:tab w:val="center" w:pos="4819"/>
        <w:tab w:val="right" w:pos="9071"/>
      </w:tabs>
    </w:pPr>
    <w:rPr>
      <w:lang w:val="en-GB"/>
    </w:rPr>
  </w:style>
  <w:style w:type="table" w:styleId="TableGrid">
    <w:name w:val="Table Grid"/>
    <w:basedOn w:val="TableNormal"/>
    <w:rsid w:val="004E7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4E7D8C"/>
    <w:rPr>
      <w:sz w:val="16"/>
      <w:szCs w:val="16"/>
    </w:rPr>
  </w:style>
  <w:style w:type="paragraph" w:styleId="CommentText">
    <w:name w:val="annotation text"/>
    <w:basedOn w:val="Normal"/>
    <w:semiHidden/>
    <w:rsid w:val="004E7D8C"/>
    <w:rPr>
      <w:sz w:val="20"/>
    </w:rPr>
  </w:style>
  <w:style w:type="paragraph" w:styleId="CommentSubject">
    <w:name w:val="annotation subject"/>
    <w:basedOn w:val="CommentText"/>
    <w:next w:val="CommentText"/>
    <w:semiHidden/>
    <w:rsid w:val="004E7D8C"/>
    <w:rPr>
      <w:b/>
      <w:bCs/>
    </w:rPr>
  </w:style>
  <w:style w:type="paragraph" w:styleId="BalloonText">
    <w:name w:val="Balloon Text"/>
    <w:basedOn w:val="Normal"/>
    <w:semiHidden/>
    <w:rsid w:val="004E7D8C"/>
    <w:rPr>
      <w:rFonts w:ascii="Tahoma" w:hAnsi="Tahoma" w:cs="Tahoma"/>
      <w:sz w:val="16"/>
      <w:szCs w:val="16"/>
    </w:rPr>
  </w:style>
  <w:style w:type="paragraph" w:customStyle="1" w:styleId="Contactdetails">
    <w:name w:val="Contact details"/>
    <w:basedOn w:val="Normal"/>
    <w:rsid w:val="004E7D8C"/>
    <w:pPr>
      <w:tabs>
        <w:tab w:val="left" w:pos="1134"/>
        <w:tab w:val="left" w:pos="4536"/>
        <w:tab w:val="left" w:pos="6237"/>
      </w:tabs>
    </w:pPr>
    <w:rPr>
      <w:lang w:eastAsia="en-AU"/>
    </w:rPr>
  </w:style>
  <w:style w:type="paragraph" w:customStyle="1" w:styleId="CharCharChar">
    <w:name w:val="Char Char Char"/>
    <w:basedOn w:val="Normal"/>
    <w:rsid w:val="004E7D8C"/>
    <w:pPr>
      <w:spacing w:after="160" w:line="240" w:lineRule="exact"/>
    </w:pPr>
    <w:rPr>
      <w:rFonts w:ascii="Verdana" w:hAnsi="Verdana"/>
      <w:sz w:val="20"/>
      <w:szCs w:val="24"/>
      <w:lang w:val="en-US"/>
    </w:rPr>
  </w:style>
  <w:style w:type="paragraph" w:customStyle="1" w:styleId="Char">
    <w:name w:val="Char"/>
    <w:basedOn w:val="Normal"/>
    <w:rsid w:val="004E7D8C"/>
    <w:rPr>
      <w:rFonts w:ascii="Arial" w:hAnsi="Arial"/>
      <w:sz w:val="22"/>
    </w:rPr>
  </w:style>
  <w:style w:type="paragraph" w:styleId="FootnoteText">
    <w:name w:val="footnote text"/>
    <w:basedOn w:val="Normal"/>
    <w:semiHidden/>
    <w:rsid w:val="004E7D8C"/>
    <w:rPr>
      <w:sz w:val="20"/>
    </w:rPr>
  </w:style>
  <w:style w:type="character" w:styleId="FootnoteReference">
    <w:name w:val="footnote reference"/>
    <w:semiHidden/>
    <w:rsid w:val="004E7D8C"/>
    <w:rPr>
      <w:vertAlign w:val="superscript"/>
    </w:rPr>
  </w:style>
  <w:style w:type="paragraph" w:customStyle="1" w:styleId="Char0">
    <w:name w:val="Char"/>
    <w:basedOn w:val="Normal"/>
    <w:rsid w:val="004E7D8C"/>
    <w:rPr>
      <w:rFonts w:ascii="Arial" w:hAnsi="Arial"/>
      <w:sz w:val="22"/>
    </w:rPr>
  </w:style>
  <w:style w:type="paragraph" w:styleId="DocumentMap">
    <w:name w:val="Document Map"/>
    <w:basedOn w:val="Normal"/>
    <w:semiHidden/>
    <w:rsid w:val="004E7D8C"/>
    <w:pPr>
      <w:shd w:val="clear" w:color="auto" w:fill="000080"/>
    </w:pPr>
    <w:rPr>
      <w:rFonts w:ascii="Tahoma" w:hAnsi="Tahoma" w:cs="Tahoma"/>
      <w:sz w:val="20"/>
    </w:rPr>
  </w:style>
  <w:style w:type="paragraph" w:styleId="Footer">
    <w:name w:val="footer"/>
    <w:basedOn w:val="Normal"/>
    <w:rsid w:val="004E7D8C"/>
    <w:pPr>
      <w:tabs>
        <w:tab w:val="center" w:pos="4153"/>
        <w:tab w:val="right" w:pos="8306"/>
      </w:tabs>
    </w:pPr>
  </w:style>
  <w:style w:type="paragraph" w:customStyle="1" w:styleId="AFMAbodytext">
    <w:name w:val="AFMA body text"/>
    <w:rsid w:val="000016B8"/>
    <w:pPr>
      <w:tabs>
        <w:tab w:val="left" w:pos="284"/>
        <w:tab w:val="left" w:pos="567"/>
        <w:tab w:val="left" w:pos="851"/>
      </w:tabs>
      <w:spacing w:before="220" w:line="280" w:lineRule="exact"/>
    </w:pPr>
    <w:rPr>
      <w:rFonts w:ascii="Arial" w:eastAsia="Times" w:hAnsi="Arial"/>
      <w:sz w:val="22"/>
      <w:lang w:eastAsia="en-US"/>
    </w:rPr>
  </w:style>
  <w:style w:type="paragraph" w:customStyle="1" w:styleId="AFMANormal">
    <w:name w:val="AFMA Normal"/>
    <w:rsid w:val="00883D2C"/>
    <w:pPr>
      <w:spacing w:before="240"/>
      <w:jc w:val="both"/>
    </w:pPr>
    <w:rPr>
      <w:snapToGrid w:val="0"/>
      <w:kern w:val="2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958878">
      <w:bodyDiv w:val="1"/>
      <w:marLeft w:val="0"/>
      <w:marRight w:val="0"/>
      <w:marTop w:val="0"/>
      <w:marBottom w:val="0"/>
      <w:divBdr>
        <w:top w:val="none" w:sz="0" w:space="0" w:color="auto"/>
        <w:left w:val="none" w:sz="0" w:space="0" w:color="auto"/>
        <w:bottom w:val="none" w:sz="0" w:space="0" w:color="auto"/>
        <w:right w:val="none" w:sz="0" w:space="0" w:color="auto"/>
      </w:divBdr>
      <w:divsChild>
        <w:div w:id="428895924">
          <w:marLeft w:val="0"/>
          <w:marRight w:val="0"/>
          <w:marTop w:val="0"/>
          <w:marBottom w:val="0"/>
          <w:divBdr>
            <w:top w:val="none" w:sz="0" w:space="0" w:color="auto"/>
            <w:left w:val="none" w:sz="0" w:space="0" w:color="auto"/>
            <w:bottom w:val="none" w:sz="0" w:space="0" w:color="auto"/>
            <w:right w:val="none" w:sz="0" w:space="0" w:color="auto"/>
          </w:divBdr>
          <w:divsChild>
            <w:div w:id="527985312">
              <w:marLeft w:val="0"/>
              <w:marRight w:val="0"/>
              <w:marTop w:val="0"/>
              <w:marBottom w:val="0"/>
              <w:divBdr>
                <w:top w:val="none" w:sz="0" w:space="0" w:color="auto"/>
                <w:left w:val="none" w:sz="0" w:space="0" w:color="auto"/>
                <w:bottom w:val="none" w:sz="0" w:space="0" w:color="auto"/>
                <w:right w:val="none" w:sz="0" w:space="0" w:color="auto"/>
              </w:divBdr>
              <w:divsChild>
                <w:div w:id="1083600881">
                  <w:marLeft w:val="0"/>
                  <w:marRight w:val="0"/>
                  <w:marTop w:val="0"/>
                  <w:marBottom w:val="0"/>
                  <w:divBdr>
                    <w:top w:val="none" w:sz="0" w:space="0" w:color="auto"/>
                    <w:left w:val="none" w:sz="0" w:space="0" w:color="auto"/>
                    <w:bottom w:val="none" w:sz="0" w:space="0" w:color="auto"/>
                    <w:right w:val="none" w:sz="0" w:space="0" w:color="auto"/>
                  </w:divBdr>
                  <w:divsChild>
                    <w:div w:id="280694663">
                      <w:marLeft w:val="0"/>
                      <w:marRight w:val="0"/>
                      <w:marTop w:val="0"/>
                      <w:marBottom w:val="0"/>
                      <w:divBdr>
                        <w:top w:val="none" w:sz="0" w:space="0" w:color="auto"/>
                        <w:left w:val="none" w:sz="0" w:space="0" w:color="auto"/>
                        <w:bottom w:val="none" w:sz="0" w:space="0" w:color="auto"/>
                        <w:right w:val="none" w:sz="0" w:space="0" w:color="auto"/>
                      </w:divBdr>
                      <w:divsChild>
                        <w:div w:id="1555971904">
                          <w:marLeft w:val="0"/>
                          <w:marRight w:val="0"/>
                          <w:marTop w:val="0"/>
                          <w:marBottom w:val="0"/>
                          <w:divBdr>
                            <w:top w:val="none" w:sz="0" w:space="0" w:color="auto"/>
                            <w:left w:val="none" w:sz="0" w:space="0" w:color="auto"/>
                            <w:bottom w:val="none" w:sz="0" w:space="0" w:color="auto"/>
                            <w:right w:val="none" w:sz="0" w:space="0" w:color="auto"/>
                          </w:divBdr>
                          <w:divsChild>
                            <w:div w:id="1521237122">
                              <w:marLeft w:val="0"/>
                              <w:marRight w:val="0"/>
                              <w:marTop w:val="0"/>
                              <w:marBottom w:val="0"/>
                              <w:divBdr>
                                <w:top w:val="none" w:sz="0" w:space="0" w:color="auto"/>
                                <w:left w:val="none" w:sz="0" w:space="0" w:color="auto"/>
                                <w:bottom w:val="none" w:sz="0" w:space="0" w:color="auto"/>
                                <w:right w:val="none" w:sz="0" w:space="0" w:color="auto"/>
                              </w:divBdr>
                              <w:divsChild>
                                <w:div w:id="4404680">
                                  <w:marLeft w:val="0"/>
                                  <w:marRight w:val="0"/>
                                  <w:marTop w:val="0"/>
                                  <w:marBottom w:val="0"/>
                                  <w:divBdr>
                                    <w:top w:val="none" w:sz="0" w:space="0" w:color="auto"/>
                                    <w:left w:val="none" w:sz="0" w:space="0" w:color="auto"/>
                                    <w:bottom w:val="none" w:sz="0" w:space="0" w:color="auto"/>
                                    <w:right w:val="none" w:sz="0" w:space="0" w:color="auto"/>
                                  </w:divBdr>
                                  <w:divsChild>
                                    <w:div w:id="678851138">
                                      <w:marLeft w:val="0"/>
                                      <w:marRight w:val="0"/>
                                      <w:marTop w:val="0"/>
                                      <w:marBottom w:val="0"/>
                                      <w:divBdr>
                                        <w:top w:val="none" w:sz="0" w:space="0" w:color="auto"/>
                                        <w:left w:val="none" w:sz="0" w:space="0" w:color="auto"/>
                                        <w:bottom w:val="none" w:sz="0" w:space="0" w:color="auto"/>
                                        <w:right w:val="none" w:sz="0" w:space="0" w:color="auto"/>
                                      </w:divBdr>
                                      <w:divsChild>
                                        <w:div w:id="285744535">
                                          <w:marLeft w:val="0"/>
                                          <w:marRight w:val="0"/>
                                          <w:marTop w:val="0"/>
                                          <w:marBottom w:val="0"/>
                                          <w:divBdr>
                                            <w:top w:val="none" w:sz="0" w:space="0" w:color="auto"/>
                                            <w:left w:val="none" w:sz="0" w:space="0" w:color="auto"/>
                                            <w:bottom w:val="none" w:sz="0" w:space="0" w:color="auto"/>
                                            <w:right w:val="none" w:sz="0" w:space="0" w:color="auto"/>
                                          </w:divBdr>
                                          <w:divsChild>
                                            <w:div w:id="1861161178">
                                              <w:marLeft w:val="0"/>
                                              <w:marRight w:val="0"/>
                                              <w:marTop w:val="0"/>
                                              <w:marBottom w:val="0"/>
                                              <w:divBdr>
                                                <w:top w:val="none" w:sz="0" w:space="0" w:color="auto"/>
                                                <w:left w:val="none" w:sz="0" w:space="0" w:color="auto"/>
                                                <w:bottom w:val="none" w:sz="0" w:space="0" w:color="auto"/>
                                                <w:right w:val="none" w:sz="0" w:space="0" w:color="auto"/>
                                              </w:divBdr>
                                              <w:divsChild>
                                                <w:div w:id="126363823">
                                                  <w:marLeft w:val="0"/>
                                                  <w:marRight w:val="0"/>
                                                  <w:marTop w:val="0"/>
                                                  <w:marBottom w:val="0"/>
                                                  <w:divBdr>
                                                    <w:top w:val="none" w:sz="0" w:space="0" w:color="auto"/>
                                                    <w:left w:val="none" w:sz="0" w:space="0" w:color="auto"/>
                                                    <w:bottom w:val="none" w:sz="0" w:space="0" w:color="auto"/>
                                                    <w:right w:val="none" w:sz="0" w:space="0" w:color="auto"/>
                                                  </w:divBdr>
                                                </w:div>
                                                <w:div w:id="519049045">
                                                  <w:marLeft w:val="0"/>
                                                  <w:marRight w:val="0"/>
                                                  <w:marTop w:val="0"/>
                                                  <w:marBottom w:val="0"/>
                                                  <w:divBdr>
                                                    <w:top w:val="none" w:sz="0" w:space="0" w:color="auto"/>
                                                    <w:left w:val="none" w:sz="0" w:space="0" w:color="auto"/>
                                                    <w:bottom w:val="none" w:sz="0" w:space="0" w:color="auto"/>
                                                    <w:right w:val="none" w:sz="0" w:space="0" w:color="auto"/>
                                                  </w:divBdr>
                                                </w:div>
                                                <w:div w:id="672026426">
                                                  <w:marLeft w:val="0"/>
                                                  <w:marRight w:val="0"/>
                                                  <w:marTop w:val="0"/>
                                                  <w:marBottom w:val="0"/>
                                                  <w:divBdr>
                                                    <w:top w:val="none" w:sz="0" w:space="0" w:color="auto"/>
                                                    <w:left w:val="none" w:sz="0" w:space="0" w:color="auto"/>
                                                    <w:bottom w:val="none" w:sz="0" w:space="0" w:color="auto"/>
                                                    <w:right w:val="none" w:sz="0" w:space="0" w:color="auto"/>
                                                  </w:divBdr>
                                                  <w:divsChild>
                                                    <w:div w:id="866482165">
                                                      <w:marLeft w:val="0"/>
                                                      <w:marRight w:val="0"/>
                                                      <w:marTop w:val="0"/>
                                                      <w:marBottom w:val="0"/>
                                                      <w:divBdr>
                                                        <w:top w:val="none" w:sz="0" w:space="0" w:color="auto"/>
                                                        <w:left w:val="none" w:sz="0" w:space="0" w:color="auto"/>
                                                        <w:bottom w:val="none" w:sz="0" w:space="0" w:color="auto"/>
                                                        <w:right w:val="none" w:sz="0" w:space="0" w:color="auto"/>
                                                      </w:divBdr>
                                                    </w:div>
                                                  </w:divsChild>
                                                </w:div>
                                                <w:div w:id="896236737">
                                                  <w:marLeft w:val="0"/>
                                                  <w:marRight w:val="0"/>
                                                  <w:marTop w:val="0"/>
                                                  <w:marBottom w:val="0"/>
                                                  <w:divBdr>
                                                    <w:top w:val="none" w:sz="0" w:space="0" w:color="auto"/>
                                                    <w:left w:val="none" w:sz="0" w:space="0" w:color="auto"/>
                                                    <w:bottom w:val="none" w:sz="0" w:space="0" w:color="auto"/>
                                                    <w:right w:val="none" w:sz="0" w:space="0" w:color="auto"/>
                                                  </w:divBdr>
                                                </w:div>
                                                <w:div w:id="1204101065">
                                                  <w:marLeft w:val="0"/>
                                                  <w:marRight w:val="0"/>
                                                  <w:marTop w:val="0"/>
                                                  <w:marBottom w:val="0"/>
                                                  <w:divBdr>
                                                    <w:top w:val="none" w:sz="0" w:space="0" w:color="auto"/>
                                                    <w:left w:val="none" w:sz="0" w:space="0" w:color="auto"/>
                                                    <w:bottom w:val="none" w:sz="0" w:space="0" w:color="auto"/>
                                                    <w:right w:val="none" w:sz="0" w:space="0" w:color="auto"/>
                                                  </w:divBdr>
                                                </w:div>
                                                <w:div w:id="1663658137">
                                                  <w:marLeft w:val="0"/>
                                                  <w:marRight w:val="0"/>
                                                  <w:marTop w:val="0"/>
                                                  <w:marBottom w:val="0"/>
                                                  <w:divBdr>
                                                    <w:top w:val="none" w:sz="0" w:space="0" w:color="auto"/>
                                                    <w:left w:val="none" w:sz="0" w:space="0" w:color="auto"/>
                                                    <w:bottom w:val="none" w:sz="0" w:space="0" w:color="auto"/>
                                                    <w:right w:val="none" w:sz="0" w:space="0" w:color="auto"/>
                                                  </w:divBdr>
                                                  <w:divsChild>
                                                    <w:div w:id="410351469">
                                                      <w:marLeft w:val="0"/>
                                                      <w:marRight w:val="0"/>
                                                      <w:marTop w:val="0"/>
                                                      <w:marBottom w:val="0"/>
                                                      <w:divBdr>
                                                        <w:top w:val="none" w:sz="0" w:space="0" w:color="auto"/>
                                                        <w:left w:val="none" w:sz="0" w:space="0" w:color="auto"/>
                                                        <w:bottom w:val="none" w:sz="0" w:space="0" w:color="auto"/>
                                                        <w:right w:val="none" w:sz="0" w:space="0" w:color="auto"/>
                                                      </w:divBdr>
                                                    </w:div>
                                                    <w:div w:id="412943449">
                                                      <w:marLeft w:val="0"/>
                                                      <w:marRight w:val="0"/>
                                                      <w:marTop w:val="0"/>
                                                      <w:marBottom w:val="0"/>
                                                      <w:divBdr>
                                                        <w:top w:val="none" w:sz="0" w:space="0" w:color="auto"/>
                                                        <w:left w:val="none" w:sz="0" w:space="0" w:color="auto"/>
                                                        <w:bottom w:val="none" w:sz="0" w:space="0" w:color="auto"/>
                                                        <w:right w:val="none" w:sz="0" w:space="0" w:color="auto"/>
                                                      </w:divBdr>
                                                      <w:divsChild>
                                                        <w:div w:id="184637118">
                                                          <w:marLeft w:val="0"/>
                                                          <w:marRight w:val="0"/>
                                                          <w:marTop w:val="0"/>
                                                          <w:marBottom w:val="0"/>
                                                          <w:divBdr>
                                                            <w:top w:val="none" w:sz="0" w:space="0" w:color="auto"/>
                                                            <w:left w:val="none" w:sz="0" w:space="0" w:color="auto"/>
                                                            <w:bottom w:val="none" w:sz="0" w:space="0" w:color="auto"/>
                                                            <w:right w:val="none" w:sz="0" w:space="0" w:color="auto"/>
                                                          </w:divBdr>
                                                        </w:div>
                                                        <w:div w:id="1629899000">
                                                          <w:marLeft w:val="0"/>
                                                          <w:marRight w:val="0"/>
                                                          <w:marTop w:val="0"/>
                                                          <w:marBottom w:val="0"/>
                                                          <w:divBdr>
                                                            <w:top w:val="none" w:sz="0" w:space="0" w:color="auto"/>
                                                            <w:left w:val="none" w:sz="0" w:space="0" w:color="auto"/>
                                                            <w:bottom w:val="none" w:sz="0" w:space="0" w:color="auto"/>
                                                            <w:right w:val="none" w:sz="0" w:space="0" w:color="auto"/>
                                                          </w:divBdr>
                                                        </w:div>
                                                        <w:div w:id="2012831454">
                                                          <w:marLeft w:val="0"/>
                                                          <w:marRight w:val="0"/>
                                                          <w:marTop w:val="0"/>
                                                          <w:marBottom w:val="0"/>
                                                          <w:divBdr>
                                                            <w:top w:val="none" w:sz="0" w:space="0" w:color="auto"/>
                                                            <w:left w:val="none" w:sz="0" w:space="0" w:color="auto"/>
                                                            <w:bottom w:val="none" w:sz="0" w:space="0" w:color="auto"/>
                                                            <w:right w:val="none" w:sz="0" w:space="0" w:color="auto"/>
                                                          </w:divBdr>
                                                        </w:div>
                                                      </w:divsChild>
                                                    </w:div>
                                                    <w:div w:id="576987395">
                                                      <w:marLeft w:val="0"/>
                                                      <w:marRight w:val="0"/>
                                                      <w:marTop w:val="0"/>
                                                      <w:marBottom w:val="0"/>
                                                      <w:divBdr>
                                                        <w:top w:val="none" w:sz="0" w:space="0" w:color="auto"/>
                                                        <w:left w:val="none" w:sz="0" w:space="0" w:color="auto"/>
                                                        <w:bottom w:val="none" w:sz="0" w:space="0" w:color="auto"/>
                                                        <w:right w:val="none" w:sz="0" w:space="0" w:color="auto"/>
                                                      </w:divBdr>
                                                    </w:div>
                                                    <w:div w:id="832454867">
                                                      <w:marLeft w:val="0"/>
                                                      <w:marRight w:val="0"/>
                                                      <w:marTop w:val="0"/>
                                                      <w:marBottom w:val="0"/>
                                                      <w:divBdr>
                                                        <w:top w:val="none" w:sz="0" w:space="0" w:color="auto"/>
                                                        <w:left w:val="none" w:sz="0" w:space="0" w:color="auto"/>
                                                        <w:bottom w:val="none" w:sz="0" w:space="0" w:color="auto"/>
                                                        <w:right w:val="none" w:sz="0" w:space="0" w:color="auto"/>
                                                      </w:divBdr>
                                                    </w:div>
                                                    <w:div w:id="895432746">
                                                      <w:marLeft w:val="0"/>
                                                      <w:marRight w:val="0"/>
                                                      <w:marTop w:val="0"/>
                                                      <w:marBottom w:val="0"/>
                                                      <w:divBdr>
                                                        <w:top w:val="none" w:sz="0" w:space="0" w:color="auto"/>
                                                        <w:left w:val="none" w:sz="0" w:space="0" w:color="auto"/>
                                                        <w:bottom w:val="none" w:sz="0" w:space="0" w:color="auto"/>
                                                        <w:right w:val="none" w:sz="0" w:space="0" w:color="auto"/>
                                                      </w:divBdr>
                                                    </w:div>
                                                    <w:div w:id="1006128561">
                                                      <w:marLeft w:val="0"/>
                                                      <w:marRight w:val="0"/>
                                                      <w:marTop w:val="0"/>
                                                      <w:marBottom w:val="0"/>
                                                      <w:divBdr>
                                                        <w:top w:val="none" w:sz="0" w:space="0" w:color="auto"/>
                                                        <w:left w:val="none" w:sz="0" w:space="0" w:color="auto"/>
                                                        <w:bottom w:val="none" w:sz="0" w:space="0" w:color="auto"/>
                                                        <w:right w:val="none" w:sz="0" w:space="0" w:color="auto"/>
                                                      </w:divBdr>
                                                    </w:div>
                                                    <w:div w:id="1401097086">
                                                      <w:marLeft w:val="0"/>
                                                      <w:marRight w:val="0"/>
                                                      <w:marTop w:val="0"/>
                                                      <w:marBottom w:val="0"/>
                                                      <w:divBdr>
                                                        <w:top w:val="none" w:sz="0" w:space="0" w:color="auto"/>
                                                        <w:left w:val="none" w:sz="0" w:space="0" w:color="auto"/>
                                                        <w:bottom w:val="none" w:sz="0" w:space="0" w:color="auto"/>
                                                        <w:right w:val="none" w:sz="0" w:space="0" w:color="auto"/>
                                                      </w:divBdr>
                                                    </w:div>
                                                    <w:div w:id="1835100602">
                                                      <w:marLeft w:val="0"/>
                                                      <w:marRight w:val="0"/>
                                                      <w:marTop w:val="0"/>
                                                      <w:marBottom w:val="0"/>
                                                      <w:divBdr>
                                                        <w:top w:val="none" w:sz="0" w:space="0" w:color="auto"/>
                                                        <w:left w:val="none" w:sz="0" w:space="0" w:color="auto"/>
                                                        <w:bottom w:val="none" w:sz="0" w:space="0" w:color="auto"/>
                                                        <w:right w:val="none" w:sz="0" w:space="0" w:color="auto"/>
                                                      </w:divBdr>
                                                    </w:div>
                                                    <w:div w:id="1881547238">
                                                      <w:marLeft w:val="0"/>
                                                      <w:marRight w:val="0"/>
                                                      <w:marTop w:val="0"/>
                                                      <w:marBottom w:val="0"/>
                                                      <w:divBdr>
                                                        <w:top w:val="none" w:sz="0" w:space="0" w:color="auto"/>
                                                        <w:left w:val="none" w:sz="0" w:space="0" w:color="auto"/>
                                                        <w:bottom w:val="none" w:sz="0" w:space="0" w:color="auto"/>
                                                        <w:right w:val="none" w:sz="0" w:space="0" w:color="auto"/>
                                                      </w:divBdr>
                                                    </w:div>
                                                  </w:divsChild>
                                                </w:div>
                                                <w:div w:id="1816290798">
                                                  <w:marLeft w:val="0"/>
                                                  <w:marRight w:val="0"/>
                                                  <w:marTop w:val="0"/>
                                                  <w:marBottom w:val="0"/>
                                                  <w:divBdr>
                                                    <w:top w:val="none" w:sz="0" w:space="0" w:color="auto"/>
                                                    <w:left w:val="none" w:sz="0" w:space="0" w:color="auto"/>
                                                    <w:bottom w:val="none" w:sz="0" w:space="0" w:color="auto"/>
                                                    <w:right w:val="none" w:sz="0" w:space="0" w:color="auto"/>
                                                  </w:divBdr>
                                                </w:div>
                                                <w:div w:id="1843933688">
                                                  <w:marLeft w:val="0"/>
                                                  <w:marRight w:val="0"/>
                                                  <w:marTop w:val="0"/>
                                                  <w:marBottom w:val="0"/>
                                                  <w:divBdr>
                                                    <w:top w:val="none" w:sz="0" w:space="0" w:color="auto"/>
                                                    <w:left w:val="none" w:sz="0" w:space="0" w:color="auto"/>
                                                    <w:bottom w:val="none" w:sz="0" w:space="0" w:color="auto"/>
                                                    <w:right w:val="none" w:sz="0" w:space="0" w:color="auto"/>
                                                  </w:divBdr>
                                                </w:div>
                                                <w:div w:id="2003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7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21B62-F8DA-44F7-8136-AA0E760D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1354</Words>
  <Characters>7240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2011-11-10T05:28:00Z</cp:lastPrinted>
  <dcterms:created xsi:type="dcterms:W3CDTF">2014-01-23T00:31:00Z</dcterms:created>
  <dcterms:modified xsi:type="dcterms:W3CDTF">2014-01-23T00:31:00Z</dcterms:modified>
</cp:coreProperties>
</file>