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7BCF7" w14:textId="77777777" w:rsidR="00C34C69" w:rsidRPr="001C4270" w:rsidRDefault="00CF6C85" w:rsidP="005720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270">
        <w:rPr>
          <w:rFonts w:ascii="Times New Roman" w:hAnsi="Times New Roman" w:cs="Times New Roman"/>
          <w:b/>
          <w:sz w:val="28"/>
          <w:szCs w:val="28"/>
          <w:u w:val="single"/>
        </w:rPr>
        <w:t xml:space="preserve">EXPLANATORY </w:t>
      </w:r>
      <w:r w:rsidR="00FB3BD9" w:rsidRPr="001C4270">
        <w:rPr>
          <w:rFonts w:ascii="Times New Roman" w:hAnsi="Times New Roman" w:cs="Times New Roman"/>
          <w:b/>
          <w:sz w:val="28"/>
          <w:szCs w:val="28"/>
          <w:u w:val="single"/>
        </w:rPr>
        <w:t>STATEMENT</w:t>
      </w:r>
    </w:p>
    <w:p w14:paraId="2477BCF8" w14:textId="14BBB5A7" w:rsidR="00CF6C85" w:rsidRPr="005139FA" w:rsidRDefault="005139FA" w:rsidP="005139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39FA">
        <w:rPr>
          <w:rFonts w:ascii="Times New Roman" w:hAnsi="Times New Roman" w:cs="Times New Roman"/>
          <w:b/>
          <w:sz w:val="24"/>
          <w:szCs w:val="24"/>
          <w:u w:val="single"/>
        </w:rPr>
        <w:t xml:space="preserve">Select Legislative Instrument </w:t>
      </w:r>
      <w:r w:rsidR="001C4270">
        <w:rPr>
          <w:rFonts w:ascii="Times New Roman" w:hAnsi="Times New Roman" w:cs="Times New Roman"/>
          <w:b/>
          <w:sz w:val="24"/>
          <w:szCs w:val="24"/>
          <w:u w:val="single"/>
        </w:rPr>
        <w:t>No. 263, 2013</w:t>
      </w:r>
    </w:p>
    <w:p w14:paraId="2148039D" w14:textId="28DDAD10" w:rsidR="005139FA" w:rsidRPr="005139FA" w:rsidRDefault="005139FA" w:rsidP="005139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(Issued by the authority of the Minister for Employment)</w:t>
      </w:r>
    </w:p>
    <w:p w14:paraId="2477BCF9" w14:textId="5B44F9C8" w:rsidR="00CF6C85" w:rsidRPr="00A72C5C" w:rsidRDefault="00CF6C85" w:rsidP="005139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C5C">
        <w:rPr>
          <w:rFonts w:ascii="Times New Roman" w:hAnsi="Times New Roman" w:cs="Times New Roman"/>
          <w:i/>
          <w:sz w:val="24"/>
          <w:szCs w:val="24"/>
        </w:rPr>
        <w:t>Fair Work Act 2009</w:t>
      </w:r>
    </w:p>
    <w:p w14:paraId="2477BCFA" w14:textId="33CF1E50" w:rsidR="00CF6C85" w:rsidRPr="00A72C5C" w:rsidRDefault="00423651" w:rsidP="00513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i/>
          <w:sz w:val="24"/>
          <w:szCs w:val="24"/>
        </w:rPr>
        <w:t>Fair Work Amendment (Anti-</w:t>
      </w:r>
      <w:r w:rsidR="005139FA">
        <w:rPr>
          <w:rFonts w:ascii="Times New Roman" w:hAnsi="Times New Roman" w:cs="Times New Roman"/>
          <w:i/>
          <w:sz w:val="24"/>
          <w:szCs w:val="24"/>
        </w:rPr>
        <w:t>B</w:t>
      </w:r>
      <w:r w:rsidRPr="00A72C5C">
        <w:rPr>
          <w:rFonts w:ascii="Times New Roman" w:hAnsi="Times New Roman" w:cs="Times New Roman"/>
          <w:i/>
          <w:sz w:val="24"/>
          <w:szCs w:val="24"/>
        </w:rPr>
        <w:t>ullying) Regulation 2013</w:t>
      </w:r>
    </w:p>
    <w:p w14:paraId="2477BCFC" w14:textId="6C52D9E5" w:rsidR="00B407A6" w:rsidRPr="00A72C5C" w:rsidRDefault="00CF6C85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>Section 796</w:t>
      </w:r>
      <w:r w:rsidR="00B407A6" w:rsidRPr="00A72C5C">
        <w:rPr>
          <w:rFonts w:ascii="Times New Roman" w:hAnsi="Times New Roman" w:cs="Times New Roman"/>
          <w:sz w:val="24"/>
          <w:szCs w:val="24"/>
        </w:rPr>
        <w:t xml:space="preserve"> of the </w:t>
      </w:r>
      <w:r w:rsidR="00B407A6" w:rsidRPr="00A72C5C">
        <w:rPr>
          <w:rFonts w:ascii="Times New Roman" w:hAnsi="Times New Roman" w:cs="Times New Roman"/>
          <w:i/>
          <w:sz w:val="24"/>
          <w:szCs w:val="24"/>
        </w:rPr>
        <w:t>Fair Work Act 2009</w:t>
      </w:r>
      <w:r w:rsidR="00B407A6" w:rsidRPr="00A72C5C">
        <w:rPr>
          <w:rFonts w:ascii="Times New Roman" w:hAnsi="Times New Roman" w:cs="Times New Roman"/>
          <w:sz w:val="24"/>
          <w:szCs w:val="24"/>
        </w:rPr>
        <w:t xml:space="preserve"> (the Act) provides, in part, that the Governor-General may make regulations prescribing matters required or permitted by the Act, or necessary or convenient to be prescribed for carrying out or giving effect to the Act.</w:t>
      </w:r>
    </w:p>
    <w:p w14:paraId="2477BCFD" w14:textId="5A8DCCF7" w:rsidR="001F641A" w:rsidRPr="00A72C5C" w:rsidRDefault="001F641A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Schedule 3 of the </w:t>
      </w:r>
      <w:r w:rsidRPr="00A72C5C">
        <w:rPr>
          <w:rFonts w:ascii="Times New Roman" w:hAnsi="Times New Roman" w:cs="Times New Roman"/>
          <w:i/>
          <w:sz w:val="24"/>
          <w:szCs w:val="24"/>
        </w:rPr>
        <w:t>Fair Work Amendment Act 2013</w:t>
      </w:r>
      <w:r w:rsidRPr="00A72C5C">
        <w:rPr>
          <w:rFonts w:ascii="Times New Roman" w:hAnsi="Times New Roman" w:cs="Times New Roman"/>
          <w:sz w:val="24"/>
          <w:szCs w:val="24"/>
        </w:rPr>
        <w:t xml:space="preserve"> amend</w:t>
      </w:r>
      <w:r w:rsidR="0039165B" w:rsidRPr="00A72C5C">
        <w:rPr>
          <w:rFonts w:ascii="Times New Roman" w:hAnsi="Times New Roman" w:cs="Times New Roman"/>
          <w:sz w:val="24"/>
          <w:szCs w:val="24"/>
        </w:rPr>
        <w:t>ed</w:t>
      </w:r>
      <w:r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CC5711">
        <w:rPr>
          <w:rFonts w:ascii="Times New Roman" w:hAnsi="Times New Roman" w:cs="Times New Roman"/>
          <w:sz w:val="24"/>
          <w:szCs w:val="24"/>
        </w:rPr>
        <w:t>the Act to include a new Part 6</w:t>
      </w:r>
      <w:r w:rsidR="00CC5711">
        <w:rPr>
          <w:rFonts w:ascii="Times New Roman" w:hAnsi="Times New Roman" w:cs="Times New Roman"/>
          <w:sz w:val="24"/>
          <w:szCs w:val="24"/>
        </w:rPr>
        <w:noBreakHyphen/>
      </w:r>
      <w:r w:rsidRPr="00A72C5C">
        <w:rPr>
          <w:rFonts w:ascii="Times New Roman" w:hAnsi="Times New Roman" w:cs="Times New Roman"/>
          <w:sz w:val="24"/>
          <w:szCs w:val="24"/>
        </w:rPr>
        <w:t>4B</w:t>
      </w:r>
      <w:r w:rsidR="00C3169C">
        <w:rPr>
          <w:rFonts w:ascii="Times New Roman" w:hAnsi="Times New Roman" w:cs="Times New Roman"/>
          <w:sz w:val="24"/>
          <w:szCs w:val="24"/>
        </w:rPr>
        <w:t xml:space="preserve">. This part </w:t>
      </w:r>
      <w:r w:rsidRPr="00A72C5C">
        <w:rPr>
          <w:rFonts w:ascii="Times New Roman" w:hAnsi="Times New Roman" w:cs="Times New Roman"/>
          <w:sz w:val="24"/>
          <w:szCs w:val="24"/>
        </w:rPr>
        <w:t>enable</w:t>
      </w:r>
      <w:r w:rsidR="00C3169C">
        <w:rPr>
          <w:rFonts w:ascii="Times New Roman" w:hAnsi="Times New Roman" w:cs="Times New Roman"/>
          <w:sz w:val="24"/>
          <w:szCs w:val="24"/>
        </w:rPr>
        <w:t>s</w:t>
      </w:r>
      <w:r w:rsidRPr="00A72C5C">
        <w:rPr>
          <w:rFonts w:ascii="Times New Roman" w:hAnsi="Times New Roman" w:cs="Times New Roman"/>
          <w:sz w:val="24"/>
          <w:szCs w:val="24"/>
        </w:rPr>
        <w:t xml:space="preserve"> a worker who is bullied at work to apply to the Fair Work Commission (FWC) for an order to stop the bullying.</w:t>
      </w:r>
      <w:r w:rsidR="0039165B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C3169C">
        <w:rPr>
          <w:rFonts w:ascii="Times New Roman" w:hAnsi="Times New Roman" w:cs="Times New Roman"/>
          <w:sz w:val="24"/>
          <w:szCs w:val="24"/>
        </w:rPr>
        <w:t>Part 6-4B</w:t>
      </w:r>
      <w:r w:rsidR="0039165B" w:rsidRPr="00A72C5C">
        <w:rPr>
          <w:rFonts w:ascii="Times New Roman" w:hAnsi="Times New Roman" w:cs="Times New Roman"/>
          <w:sz w:val="24"/>
          <w:szCs w:val="24"/>
        </w:rPr>
        <w:t xml:space="preserve"> commence</w:t>
      </w:r>
      <w:r w:rsidR="00C3169C">
        <w:rPr>
          <w:rFonts w:ascii="Times New Roman" w:hAnsi="Times New Roman" w:cs="Times New Roman"/>
          <w:sz w:val="24"/>
          <w:szCs w:val="24"/>
        </w:rPr>
        <w:t>s</w:t>
      </w:r>
      <w:r w:rsidR="0039165B" w:rsidRPr="00A72C5C">
        <w:rPr>
          <w:rFonts w:ascii="Times New Roman" w:hAnsi="Times New Roman" w:cs="Times New Roman"/>
          <w:sz w:val="24"/>
          <w:szCs w:val="24"/>
        </w:rPr>
        <w:t xml:space="preserve"> on 1 January 2014.</w:t>
      </w:r>
    </w:p>
    <w:p w14:paraId="2477BCFE" w14:textId="4E8A694C" w:rsidR="005652ED" w:rsidRPr="00A72C5C" w:rsidRDefault="00572049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New </w:t>
      </w:r>
      <w:r w:rsidR="00C3169C">
        <w:rPr>
          <w:rFonts w:ascii="Times New Roman" w:hAnsi="Times New Roman" w:cs="Times New Roman"/>
          <w:sz w:val="24"/>
          <w:szCs w:val="24"/>
        </w:rPr>
        <w:t>sub</w:t>
      </w:r>
      <w:r w:rsidR="00324D4B" w:rsidRPr="00A72C5C">
        <w:rPr>
          <w:rFonts w:ascii="Times New Roman" w:hAnsi="Times New Roman" w:cs="Times New Roman"/>
          <w:sz w:val="24"/>
          <w:szCs w:val="24"/>
        </w:rPr>
        <w:t>section 789FC</w:t>
      </w:r>
      <w:r w:rsidR="00C3169C">
        <w:rPr>
          <w:rFonts w:ascii="Times New Roman" w:hAnsi="Times New Roman" w:cs="Times New Roman"/>
          <w:sz w:val="24"/>
          <w:szCs w:val="24"/>
        </w:rPr>
        <w:t>(1)</w:t>
      </w:r>
      <w:r w:rsidR="000471A6" w:rsidRPr="00A72C5C">
        <w:rPr>
          <w:rFonts w:ascii="Times New Roman" w:hAnsi="Times New Roman" w:cs="Times New Roman"/>
          <w:sz w:val="24"/>
          <w:szCs w:val="24"/>
        </w:rPr>
        <w:t xml:space="preserve"> of the Act </w:t>
      </w:r>
      <w:r w:rsidR="009335B5" w:rsidRPr="00A72C5C">
        <w:rPr>
          <w:rFonts w:ascii="Times New Roman" w:hAnsi="Times New Roman" w:cs="Times New Roman"/>
          <w:sz w:val="24"/>
          <w:szCs w:val="24"/>
        </w:rPr>
        <w:t xml:space="preserve">will </w:t>
      </w:r>
      <w:r w:rsidR="000471A6" w:rsidRPr="00A72C5C">
        <w:rPr>
          <w:rFonts w:ascii="Times New Roman" w:hAnsi="Times New Roman" w:cs="Times New Roman"/>
          <w:sz w:val="24"/>
          <w:szCs w:val="24"/>
        </w:rPr>
        <w:t>allow a worker who reasonably believes that they have been bull</w:t>
      </w:r>
      <w:r w:rsidR="0039165B" w:rsidRPr="00A72C5C">
        <w:rPr>
          <w:rFonts w:ascii="Times New Roman" w:hAnsi="Times New Roman" w:cs="Times New Roman"/>
          <w:sz w:val="24"/>
          <w:szCs w:val="24"/>
        </w:rPr>
        <w:t>i</w:t>
      </w:r>
      <w:r w:rsidR="000471A6" w:rsidRPr="00A72C5C">
        <w:rPr>
          <w:rFonts w:ascii="Times New Roman" w:hAnsi="Times New Roman" w:cs="Times New Roman"/>
          <w:sz w:val="24"/>
          <w:szCs w:val="24"/>
        </w:rPr>
        <w:t xml:space="preserve">ed at work to apply to the </w:t>
      </w:r>
      <w:r w:rsidR="002317FF" w:rsidRPr="00A72C5C">
        <w:rPr>
          <w:rFonts w:ascii="Times New Roman" w:hAnsi="Times New Roman" w:cs="Times New Roman"/>
          <w:sz w:val="24"/>
          <w:szCs w:val="24"/>
        </w:rPr>
        <w:t>FWC</w:t>
      </w:r>
      <w:r w:rsidR="000471A6" w:rsidRPr="00A72C5C">
        <w:rPr>
          <w:rFonts w:ascii="Times New Roman" w:hAnsi="Times New Roman" w:cs="Times New Roman"/>
          <w:sz w:val="24"/>
          <w:szCs w:val="24"/>
        </w:rPr>
        <w:t xml:space="preserve"> for an order</w:t>
      </w:r>
      <w:r w:rsidR="002317FF" w:rsidRPr="00A72C5C">
        <w:rPr>
          <w:rFonts w:ascii="Times New Roman" w:hAnsi="Times New Roman" w:cs="Times New Roman"/>
          <w:sz w:val="24"/>
          <w:szCs w:val="24"/>
        </w:rPr>
        <w:t xml:space="preserve"> under section 789FF</w:t>
      </w:r>
      <w:r w:rsidR="0039165B" w:rsidRPr="00A72C5C">
        <w:rPr>
          <w:rFonts w:ascii="Times New Roman" w:hAnsi="Times New Roman" w:cs="Times New Roman"/>
          <w:sz w:val="24"/>
          <w:szCs w:val="24"/>
        </w:rPr>
        <w:t xml:space="preserve"> to stop </w:t>
      </w:r>
      <w:r w:rsidR="00C3169C">
        <w:rPr>
          <w:rFonts w:ascii="Times New Roman" w:hAnsi="Times New Roman" w:cs="Times New Roman"/>
          <w:sz w:val="24"/>
          <w:szCs w:val="24"/>
        </w:rPr>
        <w:t>the</w:t>
      </w:r>
      <w:r w:rsidR="005E3085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39165B" w:rsidRPr="00A72C5C">
        <w:rPr>
          <w:rFonts w:ascii="Times New Roman" w:hAnsi="Times New Roman" w:cs="Times New Roman"/>
          <w:sz w:val="24"/>
          <w:szCs w:val="24"/>
        </w:rPr>
        <w:t>bullying</w:t>
      </w:r>
      <w:r w:rsidR="000471A6" w:rsidRPr="00A72C5C">
        <w:rPr>
          <w:rFonts w:ascii="Times New Roman" w:hAnsi="Times New Roman" w:cs="Times New Roman"/>
          <w:sz w:val="24"/>
          <w:szCs w:val="24"/>
        </w:rPr>
        <w:t xml:space="preserve">. If the FWC is satisfied that the worker has been bullied, and there is a risk that the worker will continue to be bullied, it may make an order to prevent the worker from being bullied at work. </w:t>
      </w:r>
      <w:r w:rsidR="00C3169C">
        <w:rPr>
          <w:rFonts w:ascii="Times New Roman" w:hAnsi="Times New Roman" w:cs="Times New Roman"/>
          <w:sz w:val="24"/>
          <w:szCs w:val="24"/>
        </w:rPr>
        <w:t xml:space="preserve">Subsection 789FC(3) provides that such an application to the FWC must be accompanied by any fee prescribed by the regulations.  </w:t>
      </w:r>
    </w:p>
    <w:p w14:paraId="2477BCFF" w14:textId="77777777" w:rsidR="00B407A6" w:rsidRPr="00A72C5C" w:rsidRDefault="005652ED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>Subsection 789FC(</w:t>
      </w:r>
      <w:r w:rsidR="005455D0" w:rsidRPr="00A72C5C">
        <w:rPr>
          <w:rFonts w:ascii="Times New Roman" w:hAnsi="Times New Roman" w:cs="Times New Roman"/>
          <w:sz w:val="24"/>
          <w:szCs w:val="24"/>
        </w:rPr>
        <w:t>4</w:t>
      </w:r>
      <w:r w:rsidRPr="00A72C5C">
        <w:rPr>
          <w:rFonts w:ascii="Times New Roman" w:hAnsi="Times New Roman" w:cs="Times New Roman"/>
          <w:sz w:val="24"/>
          <w:szCs w:val="24"/>
        </w:rPr>
        <w:t>) provides that the regulations may prescribe a fee for making an application to the FWC under this section, a method for indexing the fee and the circumstances in which all or part of the fee may be waived or refunded.</w:t>
      </w:r>
    </w:p>
    <w:p w14:paraId="2477BD00" w14:textId="1936F8B1" w:rsidR="000636BB" w:rsidRPr="00A72C5C" w:rsidRDefault="006602F2" w:rsidP="006C6250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The </w:t>
      </w:r>
      <w:r w:rsidR="00423651" w:rsidRPr="00A72C5C">
        <w:rPr>
          <w:rFonts w:ascii="Times New Roman" w:hAnsi="Times New Roman" w:cs="Times New Roman"/>
          <w:i/>
          <w:sz w:val="24"/>
          <w:szCs w:val="24"/>
        </w:rPr>
        <w:t>Fair Work</w:t>
      </w:r>
      <w:r w:rsidR="0039165B" w:rsidRPr="00A72C5C">
        <w:rPr>
          <w:rFonts w:ascii="Times New Roman" w:hAnsi="Times New Roman" w:cs="Times New Roman"/>
          <w:i/>
          <w:sz w:val="24"/>
          <w:szCs w:val="24"/>
        </w:rPr>
        <w:t xml:space="preserve"> (Anti-</w:t>
      </w:r>
      <w:r w:rsidR="005139FA">
        <w:rPr>
          <w:rFonts w:ascii="Times New Roman" w:hAnsi="Times New Roman" w:cs="Times New Roman"/>
          <w:i/>
          <w:sz w:val="24"/>
          <w:szCs w:val="24"/>
        </w:rPr>
        <w:t>B</w:t>
      </w:r>
      <w:r w:rsidR="0039165B" w:rsidRPr="00A72C5C">
        <w:rPr>
          <w:rFonts w:ascii="Times New Roman" w:hAnsi="Times New Roman" w:cs="Times New Roman"/>
          <w:i/>
          <w:sz w:val="24"/>
          <w:szCs w:val="24"/>
        </w:rPr>
        <w:t>ullying)</w:t>
      </w:r>
      <w:r w:rsidR="00423651" w:rsidRPr="00A72C5C">
        <w:rPr>
          <w:rFonts w:ascii="Times New Roman" w:hAnsi="Times New Roman" w:cs="Times New Roman"/>
          <w:i/>
          <w:sz w:val="24"/>
          <w:szCs w:val="24"/>
        </w:rPr>
        <w:t xml:space="preserve"> Regulation 20</w:t>
      </w:r>
      <w:r w:rsidR="0039165B" w:rsidRPr="00A72C5C">
        <w:rPr>
          <w:rFonts w:ascii="Times New Roman" w:hAnsi="Times New Roman" w:cs="Times New Roman"/>
          <w:i/>
          <w:sz w:val="24"/>
          <w:szCs w:val="24"/>
        </w:rPr>
        <w:t>13</w:t>
      </w:r>
      <w:r w:rsidRPr="00A72C5C">
        <w:rPr>
          <w:rFonts w:ascii="Times New Roman" w:hAnsi="Times New Roman" w:cs="Times New Roman"/>
          <w:sz w:val="24"/>
          <w:szCs w:val="24"/>
        </w:rPr>
        <w:t xml:space="preserve"> (the Regulation)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insert</w:t>
      </w:r>
      <w:r w:rsidR="00E62290" w:rsidRPr="00A72C5C">
        <w:rPr>
          <w:rFonts w:ascii="Times New Roman" w:hAnsi="Times New Roman" w:cs="Times New Roman"/>
          <w:sz w:val="24"/>
          <w:szCs w:val="24"/>
        </w:rPr>
        <w:t>s</w:t>
      </w:r>
      <w:r w:rsidR="006C6250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E6569A" w:rsidRPr="00A72C5C">
        <w:rPr>
          <w:rFonts w:ascii="Times New Roman" w:hAnsi="Times New Roman" w:cs="Times New Roman"/>
          <w:sz w:val="24"/>
          <w:szCs w:val="24"/>
        </w:rPr>
        <w:t xml:space="preserve">a new </w:t>
      </w:r>
      <w:r w:rsidR="00423651" w:rsidRPr="00A72C5C">
        <w:rPr>
          <w:rFonts w:ascii="Times New Roman" w:hAnsi="Times New Roman" w:cs="Times New Roman"/>
          <w:sz w:val="24"/>
          <w:szCs w:val="24"/>
        </w:rPr>
        <w:t>Part 6-4B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into the Principal Regulations to </w:t>
      </w:r>
      <w:r w:rsidR="009335B5" w:rsidRPr="00A72C5C">
        <w:rPr>
          <w:rFonts w:ascii="Times New Roman" w:hAnsi="Times New Roman" w:cs="Times New Roman"/>
          <w:sz w:val="24"/>
          <w:szCs w:val="24"/>
        </w:rPr>
        <w:t>prescribe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39165B" w:rsidRPr="00A72C5C">
        <w:rPr>
          <w:rFonts w:ascii="Times New Roman" w:hAnsi="Times New Roman" w:cs="Times New Roman"/>
          <w:sz w:val="24"/>
          <w:szCs w:val="24"/>
        </w:rPr>
        <w:t xml:space="preserve">a 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fee for applications made under </w:t>
      </w:r>
      <w:r w:rsidR="00B1659E">
        <w:rPr>
          <w:rFonts w:ascii="Times New Roman" w:hAnsi="Times New Roman" w:cs="Times New Roman"/>
          <w:sz w:val="24"/>
          <w:szCs w:val="24"/>
        </w:rPr>
        <w:t>sub</w:t>
      </w:r>
      <w:r w:rsidR="000636BB" w:rsidRPr="00A72C5C">
        <w:rPr>
          <w:rFonts w:ascii="Times New Roman" w:hAnsi="Times New Roman" w:cs="Times New Roman"/>
          <w:sz w:val="24"/>
          <w:szCs w:val="24"/>
        </w:rPr>
        <w:t>section 789F</w:t>
      </w:r>
      <w:r w:rsidR="009A7F22" w:rsidRPr="00A72C5C">
        <w:rPr>
          <w:rFonts w:ascii="Times New Roman" w:hAnsi="Times New Roman" w:cs="Times New Roman"/>
          <w:sz w:val="24"/>
          <w:szCs w:val="24"/>
        </w:rPr>
        <w:t>C</w:t>
      </w:r>
      <w:r w:rsidR="00B1659E">
        <w:rPr>
          <w:rFonts w:ascii="Times New Roman" w:hAnsi="Times New Roman" w:cs="Times New Roman"/>
          <w:sz w:val="24"/>
          <w:szCs w:val="24"/>
        </w:rPr>
        <w:t>(1)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of the Act. Subregulation </w:t>
      </w:r>
      <w:r w:rsidR="00423651" w:rsidRPr="00A72C5C">
        <w:rPr>
          <w:rFonts w:ascii="Times New Roman" w:hAnsi="Times New Roman" w:cs="Times New Roman"/>
          <w:sz w:val="24"/>
          <w:szCs w:val="24"/>
        </w:rPr>
        <w:t>6.07A</w:t>
      </w:r>
      <w:r w:rsidR="000636BB" w:rsidRPr="00A72C5C">
        <w:rPr>
          <w:rFonts w:ascii="Times New Roman" w:hAnsi="Times New Roman" w:cs="Times New Roman"/>
          <w:sz w:val="24"/>
          <w:szCs w:val="24"/>
        </w:rPr>
        <w:t>(2)</w:t>
      </w:r>
      <w:r w:rsidR="001D11FD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166EBD" w:rsidRPr="00A72C5C">
        <w:rPr>
          <w:rFonts w:ascii="Times New Roman" w:hAnsi="Times New Roman" w:cs="Times New Roman"/>
          <w:sz w:val="24"/>
          <w:szCs w:val="24"/>
        </w:rPr>
        <w:t>provide</w:t>
      </w:r>
      <w:r w:rsidR="00E62290" w:rsidRPr="00A72C5C">
        <w:rPr>
          <w:rFonts w:ascii="Times New Roman" w:hAnsi="Times New Roman" w:cs="Times New Roman"/>
          <w:sz w:val="24"/>
          <w:szCs w:val="24"/>
        </w:rPr>
        <w:t>s</w:t>
      </w:r>
      <w:r w:rsidR="001D11FD" w:rsidRPr="00A72C5C">
        <w:rPr>
          <w:rFonts w:ascii="Times New Roman" w:hAnsi="Times New Roman" w:cs="Times New Roman"/>
          <w:sz w:val="24"/>
          <w:szCs w:val="24"/>
        </w:rPr>
        <w:t xml:space="preserve"> that the fee </w:t>
      </w:r>
      <w:r w:rsidR="00B5443E" w:rsidRPr="00A72C5C">
        <w:rPr>
          <w:rFonts w:ascii="Times New Roman" w:hAnsi="Times New Roman" w:cs="Times New Roman"/>
          <w:sz w:val="24"/>
          <w:szCs w:val="24"/>
        </w:rPr>
        <w:t>would be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$65.</w:t>
      </w:r>
      <w:r w:rsidR="005455D0" w:rsidRPr="00A72C5C">
        <w:rPr>
          <w:rFonts w:ascii="Times New Roman" w:hAnsi="Times New Roman" w:cs="Times New Roman"/>
          <w:sz w:val="24"/>
          <w:szCs w:val="24"/>
        </w:rPr>
        <w:t>5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0 for applications made </w:t>
      </w:r>
      <w:r w:rsidR="00496065" w:rsidRPr="00A72C5C">
        <w:rPr>
          <w:rFonts w:ascii="Times New Roman" w:hAnsi="Times New Roman" w:cs="Times New Roman"/>
          <w:sz w:val="24"/>
          <w:szCs w:val="24"/>
        </w:rPr>
        <w:t>on or after 1 January 2014, but before 1 July 2014.</w:t>
      </w:r>
      <w:r w:rsidR="0039165B" w:rsidRPr="00A72C5C">
        <w:rPr>
          <w:rFonts w:ascii="Times New Roman" w:hAnsi="Times New Roman" w:cs="Times New Roman"/>
          <w:sz w:val="24"/>
          <w:szCs w:val="24"/>
        </w:rPr>
        <w:t xml:space="preserve"> This fee is identical to the other application fees provided for by the Principal Regulations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(see </w:t>
      </w:r>
      <w:r w:rsidR="008037FA" w:rsidRPr="00A72C5C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5652ED" w:rsidRPr="00A72C5C">
        <w:rPr>
          <w:rFonts w:ascii="Times New Roman" w:hAnsi="Times New Roman" w:cs="Times New Roman"/>
          <w:sz w:val="24"/>
          <w:szCs w:val="24"/>
        </w:rPr>
        <w:t>3.02, 3.03, 3.07 and 6.05).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5652ED" w:rsidRPr="00A72C5C">
        <w:rPr>
          <w:rFonts w:ascii="Times New Roman" w:hAnsi="Times New Roman" w:cs="Times New Roman"/>
          <w:sz w:val="24"/>
          <w:szCs w:val="24"/>
        </w:rPr>
        <w:t>T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he method for indexing the fee annually </w:t>
      </w:r>
      <w:r w:rsidR="00C6499D" w:rsidRPr="00A72C5C">
        <w:rPr>
          <w:rFonts w:ascii="Times New Roman" w:hAnsi="Times New Roman" w:cs="Times New Roman"/>
          <w:sz w:val="24"/>
          <w:szCs w:val="24"/>
        </w:rPr>
        <w:t>is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 set out in subregulations </w:t>
      </w:r>
      <w:r w:rsidR="00423651" w:rsidRPr="00A72C5C">
        <w:rPr>
          <w:rFonts w:ascii="Times New Roman" w:hAnsi="Times New Roman" w:cs="Times New Roman"/>
          <w:sz w:val="24"/>
          <w:szCs w:val="24"/>
        </w:rPr>
        <w:t>6.07A</w:t>
      </w:r>
      <w:r w:rsidR="000636BB" w:rsidRPr="00A72C5C">
        <w:rPr>
          <w:rFonts w:ascii="Times New Roman" w:hAnsi="Times New Roman" w:cs="Times New Roman"/>
          <w:sz w:val="24"/>
          <w:szCs w:val="24"/>
        </w:rPr>
        <w:t xml:space="preserve">(3) </w:t>
      </w:r>
      <w:r w:rsidR="000636BB" w:rsidRPr="00A72C5C">
        <w:rPr>
          <w:rFonts w:ascii="Times New Roman" w:hAnsi="Times New Roman" w:cs="Times New Roman"/>
          <w:sz w:val="24"/>
          <w:szCs w:val="24"/>
        </w:rPr>
        <w:softHyphen/>
        <w:t>– (6)</w:t>
      </w:r>
      <w:r w:rsidR="00C6499D" w:rsidRPr="00A72C5C">
        <w:rPr>
          <w:rFonts w:ascii="Times New Roman" w:hAnsi="Times New Roman" w:cs="Times New Roman"/>
          <w:sz w:val="24"/>
          <w:szCs w:val="24"/>
        </w:rPr>
        <w:t xml:space="preserve"> and is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E6569A" w:rsidRPr="00A72C5C">
        <w:rPr>
          <w:rFonts w:ascii="Times New Roman" w:hAnsi="Times New Roman" w:cs="Times New Roman"/>
          <w:sz w:val="24"/>
          <w:szCs w:val="24"/>
        </w:rPr>
        <w:t>similar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to the indexation method that is applied to the other fees set out in the Principal Regulations</w:t>
      </w:r>
      <w:r w:rsidR="000636BB" w:rsidRPr="00A72C5C">
        <w:rPr>
          <w:rFonts w:ascii="Times New Roman" w:hAnsi="Times New Roman" w:cs="Times New Roman"/>
          <w:sz w:val="24"/>
          <w:szCs w:val="24"/>
        </w:rPr>
        <w:t>.</w:t>
      </w:r>
      <w:r w:rsidR="003B699F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9647CE" w:rsidRPr="00A72C5C">
        <w:rPr>
          <w:rFonts w:ascii="Times New Roman" w:hAnsi="Times New Roman" w:cs="Times New Roman"/>
          <w:sz w:val="24"/>
          <w:szCs w:val="24"/>
        </w:rPr>
        <w:t xml:space="preserve">Like other FWC application fees, </w:t>
      </w:r>
      <w:r w:rsidR="00B1659E">
        <w:rPr>
          <w:rFonts w:ascii="Times New Roman" w:hAnsi="Times New Roman" w:cs="Times New Roman"/>
          <w:sz w:val="24"/>
          <w:szCs w:val="24"/>
        </w:rPr>
        <w:t xml:space="preserve">this application fee would be indexed with respect to applications made from the start of each financial year. </w:t>
      </w:r>
    </w:p>
    <w:p w14:paraId="2477BD01" w14:textId="3EDAF37A" w:rsidR="009335B5" w:rsidRPr="00A72C5C" w:rsidRDefault="000636BB" w:rsidP="00A72C5C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Subregulation </w:t>
      </w:r>
      <w:r w:rsidR="007B0D5F" w:rsidRPr="00A72C5C">
        <w:rPr>
          <w:rFonts w:ascii="Times New Roman" w:hAnsi="Times New Roman" w:cs="Times New Roman"/>
          <w:sz w:val="24"/>
          <w:szCs w:val="24"/>
        </w:rPr>
        <w:t>6.07A</w:t>
      </w:r>
      <w:r w:rsidRPr="00A72C5C">
        <w:rPr>
          <w:rFonts w:ascii="Times New Roman" w:hAnsi="Times New Roman" w:cs="Times New Roman"/>
          <w:sz w:val="24"/>
          <w:szCs w:val="24"/>
        </w:rPr>
        <w:t xml:space="preserve">(7) </w:t>
      </w:r>
      <w:r w:rsidR="003B699F" w:rsidRPr="00A72C5C">
        <w:rPr>
          <w:rFonts w:ascii="Times New Roman" w:hAnsi="Times New Roman" w:cs="Times New Roman"/>
          <w:sz w:val="24"/>
          <w:szCs w:val="24"/>
        </w:rPr>
        <w:t>provides</w:t>
      </w:r>
      <w:r w:rsidRPr="00A72C5C">
        <w:rPr>
          <w:rFonts w:ascii="Times New Roman" w:hAnsi="Times New Roman" w:cs="Times New Roman"/>
          <w:sz w:val="24"/>
          <w:szCs w:val="24"/>
        </w:rPr>
        <w:t xml:space="preserve"> that if </w:t>
      </w:r>
      <w:r w:rsidR="009335B5" w:rsidRPr="00A72C5C">
        <w:rPr>
          <w:rFonts w:ascii="Times New Roman" w:hAnsi="Times New Roman" w:cs="Times New Roman"/>
          <w:sz w:val="24"/>
          <w:szCs w:val="24"/>
        </w:rPr>
        <w:t>FWC</w:t>
      </w:r>
      <w:r w:rsidRPr="00A72C5C">
        <w:rPr>
          <w:rFonts w:ascii="Times New Roman" w:hAnsi="Times New Roman" w:cs="Times New Roman"/>
          <w:sz w:val="24"/>
          <w:szCs w:val="24"/>
        </w:rPr>
        <w:t xml:space="preserve"> is satisfied that the person making an application will suffer serious hardship if the person is required to pay the fee, no fee is payable for making the application.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This </w:t>
      </w:r>
      <w:r w:rsidR="008F39E7">
        <w:rPr>
          <w:rFonts w:ascii="Times New Roman" w:hAnsi="Times New Roman" w:cs="Times New Roman"/>
          <w:sz w:val="24"/>
          <w:szCs w:val="24"/>
        </w:rPr>
        <w:t xml:space="preserve">is identical to </w:t>
      </w:r>
      <w:r w:rsidR="005652ED" w:rsidRPr="00A72C5C">
        <w:rPr>
          <w:rFonts w:ascii="Times New Roman" w:hAnsi="Times New Roman" w:cs="Times New Roman"/>
          <w:sz w:val="24"/>
          <w:szCs w:val="24"/>
        </w:rPr>
        <w:t>comparable regulations in the Principal Regulation</w:t>
      </w:r>
      <w:r w:rsidR="009A7F22" w:rsidRPr="00A72C5C">
        <w:rPr>
          <w:rFonts w:ascii="Times New Roman" w:hAnsi="Times New Roman" w:cs="Times New Roman"/>
          <w:sz w:val="24"/>
          <w:szCs w:val="24"/>
        </w:rPr>
        <w:t>s</w:t>
      </w:r>
      <w:r w:rsidR="005652ED" w:rsidRPr="00A72C5C">
        <w:rPr>
          <w:rFonts w:ascii="Times New Roman" w:hAnsi="Times New Roman" w:cs="Times New Roman"/>
          <w:sz w:val="24"/>
          <w:szCs w:val="24"/>
        </w:rPr>
        <w:t>.</w:t>
      </w:r>
    </w:p>
    <w:p w14:paraId="2477BD02" w14:textId="5070C0F8" w:rsidR="000636BB" w:rsidRPr="00A72C5C" w:rsidRDefault="000636BB" w:rsidP="00A72C5C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Subregulation </w:t>
      </w:r>
      <w:r w:rsidR="007B0D5F" w:rsidRPr="00A72C5C">
        <w:rPr>
          <w:rFonts w:ascii="Times New Roman" w:hAnsi="Times New Roman" w:cs="Times New Roman"/>
          <w:sz w:val="24"/>
          <w:szCs w:val="24"/>
        </w:rPr>
        <w:t>6.07A</w:t>
      </w:r>
      <w:r w:rsidRPr="00A72C5C">
        <w:rPr>
          <w:rFonts w:ascii="Times New Roman" w:hAnsi="Times New Roman" w:cs="Times New Roman"/>
          <w:sz w:val="24"/>
          <w:szCs w:val="24"/>
        </w:rPr>
        <w:t xml:space="preserve">(8) </w:t>
      </w:r>
      <w:r w:rsidR="00166EBD" w:rsidRPr="00A72C5C">
        <w:rPr>
          <w:rFonts w:ascii="Times New Roman" w:hAnsi="Times New Roman" w:cs="Times New Roman"/>
          <w:sz w:val="24"/>
          <w:szCs w:val="24"/>
        </w:rPr>
        <w:t>set</w:t>
      </w:r>
      <w:r w:rsidR="00820D93" w:rsidRPr="00A72C5C">
        <w:rPr>
          <w:rFonts w:ascii="Times New Roman" w:hAnsi="Times New Roman" w:cs="Times New Roman"/>
          <w:sz w:val="24"/>
          <w:szCs w:val="24"/>
        </w:rPr>
        <w:t>s</w:t>
      </w:r>
      <w:r w:rsidRPr="00A72C5C">
        <w:rPr>
          <w:rFonts w:ascii="Times New Roman" w:hAnsi="Times New Roman" w:cs="Times New Roman"/>
          <w:sz w:val="24"/>
          <w:szCs w:val="24"/>
        </w:rPr>
        <w:t xml:space="preserve"> out the circumstances in which the application fee can be refunded. The fee </w:t>
      </w:r>
      <w:r w:rsidR="008037FA" w:rsidRPr="00A72C5C">
        <w:rPr>
          <w:rFonts w:ascii="Times New Roman" w:hAnsi="Times New Roman" w:cs="Times New Roman"/>
          <w:sz w:val="24"/>
          <w:szCs w:val="24"/>
        </w:rPr>
        <w:t xml:space="preserve">can </w:t>
      </w:r>
      <w:r w:rsidRPr="00A72C5C">
        <w:rPr>
          <w:rFonts w:ascii="Times New Roman" w:hAnsi="Times New Roman" w:cs="Times New Roman"/>
          <w:sz w:val="24"/>
          <w:szCs w:val="24"/>
        </w:rPr>
        <w:t xml:space="preserve">be refunded where the application is subsequently discontinued 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Pr="00A72C5C">
        <w:rPr>
          <w:rFonts w:ascii="Times New Roman" w:hAnsi="Times New Roman" w:cs="Times New Roman"/>
          <w:sz w:val="24"/>
          <w:szCs w:val="24"/>
        </w:rPr>
        <w:t xml:space="preserve">section 588 and </w:t>
      </w:r>
      <w:r w:rsidR="007B0D5F" w:rsidRPr="00A72C5C"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="00C27D70" w:rsidRPr="00A72C5C">
        <w:rPr>
          <w:rFonts w:ascii="Times New Roman" w:hAnsi="Times New Roman" w:cs="Times New Roman"/>
          <w:sz w:val="24"/>
          <w:szCs w:val="24"/>
        </w:rPr>
        <w:t xml:space="preserve">has not yet been listed for conducting a </w:t>
      </w:r>
      <w:r w:rsidR="00C27D70" w:rsidRPr="00A72C5C">
        <w:rPr>
          <w:rFonts w:ascii="Times New Roman" w:hAnsi="Times New Roman" w:cs="Times New Roman"/>
          <w:sz w:val="24"/>
          <w:szCs w:val="24"/>
        </w:rPr>
        <w:lastRenderedPageBreak/>
        <w:t xml:space="preserve">conference or hearing. 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This is broadly </w:t>
      </w:r>
      <w:r w:rsidR="00E6569A" w:rsidRPr="00A72C5C">
        <w:rPr>
          <w:rFonts w:ascii="Times New Roman" w:hAnsi="Times New Roman" w:cs="Times New Roman"/>
          <w:sz w:val="24"/>
          <w:szCs w:val="24"/>
        </w:rPr>
        <w:t>similar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to the comparable regulations in the Prin</w:t>
      </w:r>
      <w:r w:rsidR="00DF6877" w:rsidRPr="00A72C5C">
        <w:rPr>
          <w:rFonts w:ascii="Times New Roman" w:hAnsi="Times New Roman" w:cs="Times New Roman"/>
          <w:sz w:val="24"/>
          <w:szCs w:val="24"/>
        </w:rPr>
        <w:t>cipal Regulation except that tho</w:t>
      </w:r>
      <w:r w:rsidR="005652ED" w:rsidRPr="00A72C5C">
        <w:rPr>
          <w:rFonts w:ascii="Times New Roman" w:hAnsi="Times New Roman" w:cs="Times New Roman"/>
          <w:sz w:val="24"/>
          <w:szCs w:val="24"/>
        </w:rPr>
        <w:t>se regulations</w:t>
      </w:r>
      <w:r w:rsidR="006F371B" w:rsidRPr="00A72C5C">
        <w:rPr>
          <w:rFonts w:ascii="Times New Roman" w:hAnsi="Times New Roman" w:cs="Times New Roman"/>
          <w:sz w:val="24"/>
          <w:szCs w:val="24"/>
        </w:rPr>
        <w:t xml:space="preserve"> also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provide for the refund of fees wher</w:t>
      </w:r>
      <w:r w:rsidR="004A7E87">
        <w:rPr>
          <w:rFonts w:ascii="Times New Roman" w:hAnsi="Times New Roman" w:cs="Times New Roman"/>
          <w:sz w:val="24"/>
          <w:szCs w:val="24"/>
        </w:rPr>
        <w:t xml:space="preserve">e the matter is discontinued 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at least two days before the date on </w:t>
      </w:r>
      <w:r w:rsidR="00556265">
        <w:rPr>
          <w:rFonts w:ascii="Times New Roman" w:hAnsi="Times New Roman" w:cs="Times New Roman"/>
          <w:sz w:val="24"/>
          <w:szCs w:val="24"/>
        </w:rPr>
        <w:t xml:space="preserve">it 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has been listed for a conference. </w:t>
      </w:r>
      <w:r w:rsidR="006F371B" w:rsidRPr="00A72C5C">
        <w:rPr>
          <w:rFonts w:ascii="Times New Roman" w:hAnsi="Times New Roman" w:cs="Times New Roman"/>
          <w:sz w:val="24"/>
          <w:szCs w:val="24"/>
        </w:rPr>
        <w:t>It would not be appropriate to provide for refunds in this situation</w:t>
      </w:r>
      <w:r w:rsidR="005652ED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6F371B" w:rsidRPr="00A72C5C">
        <w:rPr>
          <w:rFonts w:ascii="Times New Roman" w:hAnsi="Times New Roman" w:cs="Times New Roman"/>
          <w:sz w:val="24"/>
          <w:szCs w:val="24"/>
        </w:rPr>
        <w:t>in the anti-bullying jurisdiction as these matters will result in a comparably greater pre-hearing workload for the FWC.</w:t>
      </w:r>
      <w:r w:rsidR="004A7E87">
        <w:rPr>
          <w:rFonts w:ascii="Times New Roman" w:hAnsi="Times New Roman" w:cs="Times New Roman"/>
          <w:sz w:val="24"/>
          <w:szCs w:val="24"/>
        </w:rPr>
        <w:t xml:space="preserve"> By this stage of an anti-bullying matter, it is envisaged that the FWC would have already completed significant pre-hearing work. </w:t>
      </w:r>
    </w:p>
    <w:p w14:paraId="05544645" w14:textId="52B281F5" w:rsidR="005778EF" w:rsidRPr="00A72C5C" w:rsidRDefault="00E6569A" w:rsidP="00A72C5C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Details</w:t>
      </w:r>
      <w:r w:rsidR="005778EF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Regulation </w:t>
      </w:r>
      <w:r w:rsidR="00A72C5C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r w:rsidR="005778EF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provided at </w:t>
      </w:r>
      <w:r w:rsidR="005778EF" w:rsidRPr="00A72C5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Attachment A</w:t>
      </w:r>
      <w:r w:rsidR="005778EF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0065C027" w14:textId="1B8DFEC8" w:rsidR="005778EF" w:rsidRPr="00A72C5C" w:rsidRDefault="005778EF" w:rsidP="00A72C5C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Statement of Compatibility with Human Rights has been completed for the Regulation, in accordance with the </w:t>
      </w:r>
      <w:r w:rsidRPr="00A72C5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</w:t>
      </w: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Statement’s assessment is that the measures in the Regulation </w:t>
      </w:r>
      <w:r w:rsidR="00E865BB">
        <w:rPr>
          <w:rFonts w:ascii="Times New Roman" w:eastAsia="Times New Roman" w:hAnsi="Times New Roman" w:cs="Times New Roman"/>
          <w:sz w:val="24"/>
          <w:szCs w:val="24"/>
          <w:lang w:eastAsia="en-AU"/>
        </w:rPr>
        <w:t>are compatible with</w:t>
      </w:r>
      <w:r w:rsidR="00434C87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human rights</w:t>
      </w: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A copy of the Statement is at </w:t>
      </w:r>
      <w:r w:rsidRPr="00A72C5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Attachment B</w:t>
      </w: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2477BD03" w14:textId="0A57F7C4" w:rsidR="000636BB" w:rsidRPr="00A72C5C" w:rsidRDefault="006C6250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The Act </w:t>
      </w: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specifies</w:t>
      </w:r>
      <w:r w:rsidRPr="00A72C5C">
        <w:rPr>
          <w:rFonts w:ascii="Times New Roman" w:hAnsi="Times New Roman" w:cs="Times New Roman"/>
          <w:sz w:val="24"/>
          <w:szCs w:val="24"/>
        </w:rPr>
        <w:t xml:space="preserve"> no conditions that need to be satisfi</w:t>
      </w:r>
      <w:r w:rsidR="001C4270">
        <w:rPr>
          <w:rFonts w:ascii="Times New Roman" w:hAnsi="Times New Roman" w:cs="Times New Roman"/>
          <w:sz w:val="24"/>
          <w:szCs w:val="24"/>
        </w:rPr>
        <w:t>ed before the power to make the</w:t>
      </w:r>
      <w:r w:rsidRPr="00A72C5C">
        <w:rPr>
          <w:rFonts w:ascii="Times New Roman" w:hAnsi="Times New Roman" w:cs="Times New Roman"/>
          <w:sz w:val="24"/>
          <w:szCs w:val="24"/>
        </w:rPr>
        <w:t xml:space="preserve"> Regulation may be exercised.</w:t>
      </w:r>
    </w:p>
    <w:p w14:paraId="2477BD04" w14:textId="6BC8D685" w:rsidR="006C6250" w:rsidRPr="00A72C5C" w:rsidRDefault="006C6250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The </w:t>
      </w: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Regulation</w:t>
      </w:r>
      <w:r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8037FA" w:rsidRPr="00A72C5C">
        <w:rPr>
          <w:rFonts w:ascii="Times New Roman" w:hAnsi="Times New Roman" w:cs="Times New Roman"/>
          <w:sz w:val="24"/>
          <w:szCs w:val="24"/>
        </w:rPr>
        <w:t xml:space="preserve">is </w:t>
      </w:r>
      <w:r w:rsidRPr="00A72C5C">
        <w:rPr>
          <w:rFonts w:ascii="Times New Roman" w:hAnsi="Times New Roman" w:cs="Times New Roman"/>
          <w:sz w:val="24"/>
          <w:szCs w:val="24"/>
        </w:rPr>
        <w:t xml:space="preserve">a legislative instrument for the purposes of the </w:t>
      </w:r>
      <w:r w:rsidRPr="00A72C5C">
        <w:rPr>
          <w:rFonts w:ascii="Times New Roman" w:hAnsi="Times New Roman" w:cs="Times New Roman"/>
          <w:i/>
          <w:sz w:val="24"/>
          <w:szCs w:val="24"/>
        </w:rPr>
        <w:t>Legislative</w:t>
      </w:r>
      <w:r w:rsidR="005E3085" w:rsidRPr="00A72C5C">
        <w:rPr>
          <w:rFonts w:ascii="Times New Roman" w:hAnsi="Times New Roman" w:cs="Times New Roman"/>
          <w:i/>
          <w:sz w:val="24"/>
          <w:szCs w:val="24"/>
        </w:rPr>
        <w:t> </w:t>
      </w:r>
      <w:r w:rsidRPr="00A72C5C">
        <w:rPr>
          <w:rFonts w:ascii="Times New Roman" w:hAnsi="Times New Roman" w:cs="Times New Roman"/>
          <w:i/>
          <w:sz w:val="24"/>
          <w:szCs w:val="24"/>
        </w:rPr>
        <w:t>Instruments Act 2003</w:t>
      </w:r>
      <w:r w:rsidRPr="00A72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7BD05" w14:textId="12DA8EA0" w:rsidR="00297FC5" w:rsidRPr="00A72C5C" w:rsidRDefault="00297FC5" w:rsidP="00A72C5C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hAnsi="Times New Roman" w:cs="Times New Roman"/>
          <w:sz w:val="24"/>
          <w:szCs w:val="24"/>
        </w:rPr>
        <w:t xml:space="preserve">Consistent with the </w:t>
      </w: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requirements</w:t>
      </w:r>
      <w:r w:rsidRPr="00A72C5C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72C5C">
        <w:rPr>
          <w:rFonts w:ascii="Times New Roman" w:hAnsi="Times New Roman" w:cs="Times New Roman"/>
          <w:i/>
          <w:sz w:val="24"/>
          <w:szCs w:val="24"/>
        </w:rPr>
        <w:t>Inter-Governmental Agreement for a National Workplace Relations System for the Private Sector</w:t>
      </w:r>
      <w:r w:rsidRPr="00A72C5C">
        <w:rPr>
          <w:rFonts w:ascii="Times New Roman" w:hAnsi="Times New Roman" w:cs="Times New Roman"/>
          <w:sz w:val="24"/>
          <w:szCs w:val="24"/>
        </w:rPr>
        <w:t xml:space="preserve">, State and Territory jurisdictions </w:t>
      </w:r>
      <w:r w:rsidR="008037FA" w:rsidRPr="00A72C5C">
        <w:rPr>
          <w:rFonts w:ascii="Times New Roman" w:hAnsi="Times New Roman" w:cs="Times New Roman"/>
          <w:sz w:val="24"/>
          <w:szCs w:val="24"/>
        </w:rPr>
        <w:t>were</w:t>
      </w:r>
      <w:r w:rsidRPr="00A72C5C">
        <w:rPr>
          <w:rFonts w:ascii="Times New Roman" w:hAnsi="Times New Roman" w:cs="Times New Roman"/>
          <w:sz w:val="24"/>
          <w:szCs w:val="24"/>
        </w:rPr>
        <w:t xml:space="preserve"> consulted in relation to the Regulation.</w:t>
      </w:r>
      <w:r w:rsidR="00E865BB">
        <w:rPr>
          <w:rFonts w:ascii="Times New Roman" w:hAnsi="Times New Roman" w:cs="Times New Roman"/>
          <w:sz w:val="24"/>
          <w:szCs w:val="24"/>
        </w:rPr>
        <w:t xml:space="preserve"> The FWC was also consulted. </w:t>
      </w:r>
    </w:p>
    <w:p w14:paraId="2477BD06" w14:textId="3E4CEE6F" w:rsidR="00297FC5" w:rsidRPr="00A72C5C" w:rsidRDefault="00297FC5" w:rsidP="00A72C5C">
      <w:pPr>
        <w:rPr>
          <w:rFonts w:ascii="Times New Roman" w:hAnsi="Times New Roman" w:cs="Times New Roman"/>
          <w:sz w:val="24"/>
          <w:szCs w:val="24"/>
        </w:rPr>
      </w:pPr>
      <w:r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Office of Best Practice Regulation advised that a Regulation Impact Statement is not </w:t>
      </w:r>
      <w:r w:rsidRPr="00A72C5C">
        <w:rPr>
          <w:rFonts w:ascii="Times New Roman" w:hAnsi="Times New Roman" w:cs="Times New Roman"/>
          <w:sz w:val="24"/>
          <w:szCs w:val="24"/>
        </w:rPr>
        <w:t>required</w:t>
      </w:r>
      <w:r w:rsidR="00066F5F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(reference 15353).</w:t>
      </w:r>
    </w:p>
    <w:p w14:paraId="2477BD07" w14:textId="54E8814B" w:rsidR="006C6250" w:rsidRPr="00A72C5C" w:rsidRDefault="001C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bookmarkStart w:id="0" w:name="_GoBack"/>
      <w:bookmarkEnd w:id="0"/>
      <w:r w:rsidR="006C6250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6C6250" w:rsidRPr="00A72C5C">
        <w:rPr>
          <w:rFonts w:ascii="Times New Roman" w:eastAsia="Times New Roman" w:hAnsi="Times New Roman" w:cs="Times New Roman"/>
          <w:sz w:val="24"/>
          <w:szCs w:val="24"/>
          <w:lang w:eastAsia="en-AU"/>
        </w:rPr>
        <w:t>Regulation</w:t>
      </w:r>
      <w:r w:rsidR="006C6250" w:rsidRPr="00A72C5C">
        <w:rPr>
          <w:rFonts w:ascii="Times New Roman" w:hAnsi="Times New Roman" w:cs="Times New Roman"/>
          <w:sz w:val="24"/>
          <w:szCs w:val="24"/>
        </w:rPr>
        <w:t xml:space="preserve"> </w:t>
      </w:r>
      <w:r w:rsidR="008037FA" w:rsidRPr="00A72C5C">
        <w:rPr>
          <w:rFonts w:ascii="Times New Roman" w:hAnsi="Times New Roman" w:cs="Times New Roman"/>
          <w:sz w:val="24"/>
          <w:szCs w:val="24"/>
        </w:rPr>
        <w:t>commences</w:t>
      </w:r>
      <w:r w:rsidR="006C6250" w:rsidRPr="00A72C5C">
        <w:rPr>
          <w:rFonts w:ascii="Times New Roman" w:hAnsi="Times New Roman" w:cs="Times New Roman"/>
          <w:sz w:val="24"/>
          <w:szCs w:val="24"/>
        </w:rPr>
        <w:t xml:space="preserve"> on </w:t>
      </w:r>
      <w:r w:rsidR="00297FC5" w:rsidRPr="00A72C5C">
        <w:rPr>
          <w:rFonts w:ascii="Times New Roman" w:hAnsi="Times New Roman" w:cs="Times New Roman"/>
          <w:sz w:val="24"/>
          <w:szCs w:val="24"/>
        </w:rPr>
        <w:t>1 January 2014.</w:t>
      </w:r>
    </w:p>
    <w:p w14:paraId="59F4F7C6" w14:textId="77777777" w:rsidR="005778EF" w:rsidRDefault="005778E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2477BD1A" w14:textId="25D25BBF" w:rsidR="002B5FEE" w:rsidRPr="009006F3" w:rsidRDefault="002B5FEE" w:rsidP="002B5F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6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</w:t>
      </w:r>
      <w:r w:rsidR="005778EF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</w:p>
    <w:p w14:paraId="2477BD1B" w14:textId="77777777" w:rsidR="002B5FEE" w:rsidRPr="009006F3" w:rsidRDefault="002B5FEE" w:rsidP="002B5F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7BD1C" w14:textId="3509E67E" w:rsidR="002B5FEE" w:rsidRPr="009006F3" w:rsidRDefault="002B5FEE" w:rsidP="00A72C5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06F3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of the </w:t>
      </w:r>
      <w:r w:rsidRPr="009006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Fair Work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Amendment (Anti-</w:t>
      </w:r>
      <w:r w:rsidR="005139FA">
        <w:rPr>
          <w:rFonts w:ascii="Times New Roman" w:hAnsi="Times New Roman" w:cs="Times New Roman"/>
          <w:b/>
          <w:i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ullying) Regulation 2013 </w:t>
      </w:r>
    </w:p>
    <w:p w14:paraId="2477BD1E" w14:textId="77777777" w:rsidR="002B5FEE" w:rsidRPr="009006F3" w:rsidRDefault="002B5FEE" w:rsidP="00A72C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1 – Name of R</w:t>
      </w:r>
      <w:r w:rsidRPr="009006F3">
        <w:rPr>
          <w:rFonts w:ascii="Times New Roman" w:hAnsi="Times New Roman" w:cs="Times New Roman"/>
          <w:sz w:val="24"/>
          <w:szCs w:val="24"/>
          <w:u w:val="single"/>
        </w:rPr>
        <w:t>egulation</w:t>
      </w:r>
    </w:p>
    <w:p w14:paraId="2477BD20" w14:textId="34EA8CC8" w:rsidR="002B5FEE" w:rsidRPr="003E753A" w:rsidRDefault="002B5FEE" w:rsidP="00A72C5C">
      <w:pPr>
        <w:rPr>
          <w:rFonts w:ascii="Times New Roman" w:hAnsi="Times New Roman" w:cs="Times New Roman"/>
          <w:sz w:val="24"/>
          <w:szCs w:val="24"/>
        </w:rPr>
      </w:pPr>
      <w:r w:rsidRPr="009006F3">
        <w:rPr>
          <w:rFonts w:ascii="Times New Roman" w:hAnsi="Times New Roman" w:cs="Times New Roman"/>
          <w:sz w:val="24"/>
          <w:szCs w:val="24"/>
        </w:rPr>
        <w:t>This section set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006F3">
        <w:rPr>
          <w:rFonts w:ascii="Times New Roman" w:hAnsi="Times New Roman" w:cs="Times New Roman"/>
          <w:sz w:val="24"/>
          <w:szCs w:val="24"/>
        </w:rPr>
        <w:t xml:space="preserve"> out the name of the </w:t>
      </w:r>
      <w:r w:rsidR="00E6569A">
        <w:rPr>
          <w:rFonts w:ascii="Times New Roman" w:hAnsi="Times New Roman" w:cs="Times New Roman"/>
          <w:sz w:val="24"/>
          <w:szCs w:val="24"/>
        </w:rPr>
        <w:t>r</w:t>
      </w:r>
      <w:r w:rsidRPr="009006F3">
        <w:rPr>
          <w:rFonts w:ascii="Times New Roman" w:hAnsi="Times New Roman" w:cs="Times New Roman"/>
          <w:sz w:val="24"/>
          <w:szCs w:val="24"/>
        </w:rPr>
        <w:t xml:space="preserve">egulation as the </w:t>
      </w:r>
      <w:r w:rsidRPr="009006F3">
        <w:rPr>
          <w:rFonts w:ascii="Times New Roman" w:hAnsi="Times New Roman" w:cs="Times New Roman"/>
          <w:i/>
          <w:sz w:val="24"/>
          <w:szCs w:val="24"/>
        </w:rPr>
        <w:t xml:space="preserve">Fair Work </w:t>
      </w:r>
      <w:r>
        <w:rPr>
          <w:rFonts w:ascii="Times New Roman" w:hAnsi="Times New Roman" w:cs="Times New Roman"/>
          <w:i/>
          <w:sz w:val="24"/>
          <w:szCs w:val="24"/>
        </w:rPr>
        <w:t>Amendment (Anti-</w:t>
      </w:r>
      <w:r w:rsidR="005139FA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ullying) Regulation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7BD22" w14:textId="77777777" w:rsidR="002B5FEE" w:rsidRPr="009006F3" w:rsidRDefault="002B5FEE" w:rsidP="00A72C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06F3">
        <w:rPr>
          <w:rFonts w:ascii="Times New Roman" w:hAnsi="Times New Roman" w:cs="Times New Roman"/>
          <w:sz w:val="24"/>
          <w:szCs w:val="24"/>
          <w:u w:val="single"/>
        </w:rPr>
        <w:t xml:space="preserve">Section 2 – Commencement </w:t>
      </w:r>
    </w:p>
    <w:p w14:paraId="2477BD24" w14:textId="3D2392F5" w:rsidR="002B5FEE" w:rsidRPr="009006F3" w:rsidRDefault="002B5FEE" w:rsidP="00A72C5C">
      <w:pPr>
        <w:rPr>
          <w:rFonts w:ascii="Times New Roman" w:hAnsi="Times New Roman" w:cs="Times New Roman"/>
          <w:sz w:val="24"/>
          <w:szCs w:val="24"/>
        </w:rPr>
      </w:pPr>
      <w:r w:rsidRPr="009006F3">
        <w:rPr>
          <w:rFonts w:ascii="Times New Roman" w:hAnsi="Times New Roman" w:cs="Times New Roman"/>
          <w:sz w:val="24"/>
          <w:szCs w:val="24"/>
        </w:rPr>
        <w:t>This section 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006F3">
        <w:rPr>
          <w:rFonts w:ascii="Times New Roman" w:hAnsi="Times New Roman" w:cs="Times New Roman"/>
          <w:sz w:val="24"/>
          <w:szCs w:val="24"/>
        </w:rPr>
        <w:t xml:space="preserve"> that the </w:t>
      </w:r>
      <w:r w:rsidR="00E6569A">
        <w:rPr>
          <w:rFonts w:ascii="Times New Roman" w:hAnsi="Times New Roman" w:cs="Times New Roman"/>
          <w:sz w:val="24"/>
          <w:szCs w:val="24"/>
        </w:rPr>
        <w:t>r</w:t>
      </w:r>
      <w:r w:rsidRPr="009006F3">
        <w:rPr>
          <w:rFonts w:ascii="Times New Roman" w:hAnsi="Times New Roman" w:cs="Times New Roman"/>
          <w:sz w:val="24"/>
          <w:szCs w:val="24"/>
        </w:rPr>
        <w:t xml:space="preserve">egulation commences on </w:t>
      </w:r>
      <w:r>
        <w:rPr>
          <w:rFonts w:ascii="Times New Roman" w:hAnsi="Times New Roman" w:cs="Times New Roman"/>
          <w:sz w:val="24"/>
          <w:szCs w:val="24"/>
        </w:rPr>
        <w:t>1 January 2014.</w:t>
      </w:r>
    </w:p>
    <w:p w14:paraId="2477BD26" w14:textId="71E05233" w:rsidR="002B5FEE" w:rsidRPr="009006F3" w:rsidRDefault="002B5FEE" w:rsidP="00A72C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06F3">
        <w:rPr>
          <w:rFonts w:ascii="Times New Roman" w:hAnsi="Times New Roman" w:cs="Times New Roman"/>
          <w:sz w:val="24"/>
          <w:szCs w:val="24"/>
          <w:u w:val="single"/>
        </w:rPr>
        <w:t xml:space="preserve">Section 3 </w:t>
      </w:r>
      <w:r w:rsidR="00A72C5C" w:rsidRPr="009006F3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9006F3">
        <w:rPr>
          <w:rFonts w:ascii="Times New Roman" w:hAnsi="Times New Roman" w:cs="Times New Roman"/>
          <w:sz w:val="24"/>
          <w:szCs w:val="24"/>
          <w:u w:val="single"/>
        </w:rPr>
        <w:t xml:space="preserve"> Authority</w:t>
      </w:r>
    </w:p>
    <w:p w14:paraId="2477BD28" w14:textId="08B6689C" w:rsidR="002B5FEE" w:rsidRPr="009006F3" w:rsidRDefault="002B5FEE" w:rsidP="00A72C5C">
      <w:pPr>
        <w:rPr>
          <w:rFonts w:ascii="Times New Roman" w:hAnsi="Times New Roman" w:cs="Times New Roman"/>
          <w:sz w:val="24"/>
          <w:szCs w:val="24"/>
        </w:rPr>
      </w:pPr>
      <w:r w:rsidRPr="009006F3">
        <w:rPr>
          <w:rFonts w:ascii="Times New Roman" w:hAnsi="Times New Roman" w:cs="Times New Roman"/>
          <w:sz w:val="24"/>
          <w:szCs w:val="24"/>
        </w:rPr>
        <w:t xml:space="preserve">This section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Pr="009006F3">
        <w:rPr>
          <w:rFonts w:ascii="Times New Roman" w:hAnsi="Times New Roman" w:cs="Times New Roman"/>
          <w:sz w:val="24"/>
          <w:szCs w:val="24"/>
        </w:rPr>
        <w:t xml:space="preserve"> that the </w:t>
      </w:r>
      <w:r w:rsidR="00E6569A">
        <w:rPr>
          <w:rFonts w:ascii="Times New Roman" w:hAnsi="Times New Roman" w:cs="Times New Roman"/>
          <w:sz w:val="24"/>
          <w:szCs w:val="24"/>
        </w:rPr>
        <w:t>r</w:t>
      </w:r>
      <w:r w:rsidRPr="009006F3">
        <w:rPr>
          <w:rFonts w:ascii="Times New Roman" w:hAnsi="Times New Roman" w:cs="Times New Roman"/>
          <w:sz w:val="24"/>
          <w:szCs w:val="24"/>
        </w:rPr>
        <w:t xml:space="preserve">egulation is made under the </w:t>
      </w:r>
      <w:r>
        <w:rPr>
          <w:rFonts w:ascii="Times New Roman" w:hAnsi="Times New Roman" w:cs="Times New Roman"/>
          <w:i/>
          <w:sz w:val="24"/>
          <w:szCs w:val="24"/>
        </w:rPr>
        <w:t>Fair Work Act 2009</w:t>
      </w:r>
      <w:r>
        <w:rPr>
          <w:rFonts w:ascii="Times New Roman" w:hAnsi="Times New Roman" w:cs="Times New Roman"/>
          <w:sz w:val="24"/>
          <w:szCs w:val="24"/>
        </w:rPr>
        <w:t xml:space="preserve"> (FW Act)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477BD2A" w14:textId="77777777" w:rsidR="002B5FEE" w:rsidRDefault="002B5FEE" w:rsidP="00A72C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06F3">
        <w:rPr>
          <w:rFonts w:ascii="Times New Roman" w:hAnsi="Times New Roman" w:cs="Times New Roman"/>
          <w:sz w:val="24"/>
          <w:szCs w:val="24"/>
          <w:u w:val="single"/>
        </w:rPr>
        <w:t xml:space="preserve">Section 4 – Amendment of </w:t>
      </w:r>
      <w:r w:rsidRPr="009006F3">
        <w:rPr>
          <w:rFonts w:ascii="Times New Roman" w:hAnsi="Times New Roman" w:cs="Times New Roman"/>
          <w:i/>
          <w:sz w:val="24"/>
          <w:szCs w:val="24"/>
          <w:u w:val="single"/>
        </w:rPr>
        <w:t xml:space="preserve">Fair Work Regulations 2009 </w:t>
      </w:r>
    </w:p>
    <w:p w14:paraId="2477BD2C" w14:textId="77777777" w:rsidR="002B5FEE" w:rsidRPr="009006F3" w:rsidRDefault="002B5FEE" w:rsidP="00A72C5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</w:t>
      </w:r>
      <w:r w:rsidRPr="009006F3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006F3">
        <w:rPr>
          <w:rFonts w:ascii="Times New Roman" w:hAnsi="Times New Roman" w:cs="Times New Roman"/>
          <w:sz w:val="24"/>
          <w:szCs w:val="24"/>
        </w:rPr>
        <w:t xml:space="preserve"> that Schedule 1 to the Regulation amends the </w:t>
      </w:r>
      <w:r>
        <w:rPr>
          <w:rFonts w:ascii="Times New Roman" w:hAnsi="Times New Roman" w:cs="Times New Roman"/>
          <w:i/>
          <w:sz w:val="24"/>
          <w:szCs w:val="24"/>
        </w:rPr>
        <w:t>Fair Work Regulations 2009</w:t>
      </w:r>
      <w:r>
        <w:rPr>
          <w:rFonts w:ascii="Times New Roman" w:hAnsi="Times New Roman" w:cs="Times New Roman"/>
          <w:sz w:val="24"/>
          <w:szCs w:val="24"/>
        </w:rPr>
        <w:t xml:space="preserve"> (the Principal Regulations)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477BD2E" w14:textId="77777777" w:rsidR="002B5FEE" w:rsidRPr="009006F3" w:rsidRDefault="002B5FEE" w:rsidP="00A72C5C">
      <w:pPr>
        <w:rPr>
          <w:rFonts w:ascii="Times New Roman" w:hAnsi="Times New Roman" w:cs="Times New Roman"/>
          <w:i/>
          <w:sz w:val="24"/>
          <w:szCs w:val="24"/>
        </w:rPr>
      </w:pPr>
      <w:r w:rsidRPr="009006F3">
        <w:rPr>
          <w:rFonts w:ascii="Times New Roman" w:hAnsi="Times New Roman" w:cs="Times New Roman"/>
          <w:i/>
          <w:sz w:val="24"/>
          <w:szCs w:val="24"/>
        </w:rPr>
        <w:t xml:space="preserve">Schedule 1 – Amendments </w:t>
      </w:r>
    </w:p>
    <w:p w14:paraId="2477BD30" w14:textId="77777777" w:rsidR="002B5FEE" w:rsidRPr="009006F3" w:rsidRDefault="002B5FEE" w:rsidP="00A72C5C">
      <w:pPr>
        <w:rPr>
          <w:rFonts w:ascii="Times New Roman" w:hAnsi="Times New Roman" w:cs="Times New Roman"/>
          <w:i/>
          <w:sz w:val="24"/>
          <w:szCs w:val="24"/>
        </w:rPr>
      </w:pPr>
      <w:r w:rsidRPr="009006F3">
        <w:rPr>
          <w:rFonts w:ascii="Times New Roman" w:hAnsi="Times New Roman" w:cs="Times New Roman"/>
          <w:i/>
          <w:sz w:val="24"/>
          <w:szCs w:val="24"/>
        </w:rPr>
        <w:t>Fair Work Regulations 2009</w:t>
      </w:r>
    </w:p>
    <w:p w14:paraId="2477BD32" w14:textId="77777777" w:rsidR="002B5FEE" w:rsidRPr="009006F3" w:rsidRDefault="002B5FEE" w:rsidP="00A72C5C">
      <w:pPr>
        <w:rPr>
          <w:rFonts w:ascii="Times New Roman" w:hAnsi="Times New Roman" w:cs="Times New Roman"/>
          <w:b/>
          <w:sz w:val="24"/>
          <w:szCs w:val="24"/>
        </w:rPr>
      </w:pPr>
      <w:r w:rsidRPr="009006F3">
        <w:rPr>
          <w:rFonts w:ascii="Times New Roman" w:hAnsi="Times New Roman" w:cs="Times New Roman"/>
          <w:b/>
          <w:sz w:val="24"/>
          <w:szCs w:val="24"/>
        </w:rPr>
        <w:t xml:space="preserve">Item [1] – </w:t>
      </w:r>
      <w:r>
        <w:rPr>
          <w:rFonts w:ascii="Times New Roman" w:hAnsi="Times New Roman" w:cs="Times New Roman"/>
          <w:b/>
          <w:sz w:val="24"/>
          <w:szCs w:val="24"/>
        </w:rPr>
        <w:t xml:space="preserve">After Part 6-4 </w:t>
      </w:r>
    </w:p>
    <w:p w14:paraId="2477BD34" w14:textId="637CF79D" w:rsidR="002B5FEE" w:rsidRDefault="002B5FEE" w:rsidP="00A72C5C">
      <w:pPr>
        <w:rPr>
          <w:rFonts w:ascii="Times New Roman" w:hAnsi="Times New Roman" w:cs="Times New Roman"/>
          <w:sz w:val="24"/>
          <w:szCs w:val="24"/>
        </w:rPr>
      </w:pPr>
      <w:r w:rsidRPr="009006F3">
        <w:rPr>
          <w:rFonts w:ascii="Times New Roman" w:hAnsi="Times New Roman" w:cs="Times New Roman"/>
          <w:sz w:val="24"/>
          <w:szCs w:val="24"/>
        </w:rPr>
        <w:t xml:space="preserve">This item </w:t>
      </w:r>
      <w:r>
        <w:rPr>
          <w:rFonts w:ascii="Times New Roman" w:hAnsi="Times New Roman" w:cs="Times New Roman"/>
          <w:sz w:val="24"/>
          <w:szCs w:val="24"/>
        </w:rPr>
        <w:t>inserts</w:t>
      </w:r>
      <w:r w:rsidR="00E6569A">
        <w:rPr>
          <w:rFonts w:ascii="Times New Roman" w:hAnsi="Times New Roman" w:cs="Times New Roman"/>
          <w:sz w:val="24"/>
          <w:szCs w:val="24"/>
        </w:rPr>
        <w:t xml:space="preserve"> a new</w:t>
      </w:r>
      <w:r>
        <w:rPr>
          <w:rFonts w:ascii="Times New Roman" w:hAnsi="Times New Roman" w:cs="Times New Roman"/>
          <w:sz w:val="24"/>
          <w:szCs w:val="24"/>
        </w:rPr>
        <w:t xml:space="preserve"> Part 6-4B </w:t>
      </w:r>
      <w:r w:rsidR="00E6569A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the Principal Regulations. </w:t>
      </w:r>
    </w:p>
    <w:p w14:paraId="2477BD35" w14:textId="77777777" w:rsidR="002B5FEE" w:rsidRPr="00D908D1" w:rsidRDefault="002B5FEE" w:rsidP="00A72C5C">
      <w:pPr>
        <w:rPr>
          <w:rFonts w:ascii="Times New Roman" w:hAnsi="Times New Roman" w:cs="Times New Roman"/>
          <w:sz w:val="24"/>
          <w:szCs w:val="24"/>
        </w:rPr>
      </w:pPr>
      <w:r w:rsidRPr="00D908D1">
        <w:rPr>
          <w:rFonts w:ascii="Times New Roman" w:hAnsi="Times New Roman" w:cs="Times New Roman"/>
          <w:sz w:val="24"/>
          <w:szCs w:val="24"/>
        </w:rPr>
        <w:t>Subsection 789FC(4) of the FW Act provides that the regulations may prescribe a fee for making an application to the FWC under this section, a method for indexing the fee and the circumstances in which all or part of the fee may be waived or refunded.</w:t>
      </w:r>
    </w:p>
    <w:p w14:paraId="2477BD36" w14:textId="77777777" w:rsidR="00B039F9" w:rsidRDefault="002B5FEE" w:rsidP="00A72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Subregulation 6.07A(2) </w:t>
      </w:r>
      <w:r w:rsidR="00B039F9">
        <w:rPr>
          <w:rFonts w:ascii="Times New Roman" w:hAnsi="Times New Roman" w:cs="Times New Roman"/>
          <w:sz w:val="24"/>
          <w:szCs w:val="24"/>
        </w:rPr>
        <w:t>prescribes a fee of $65.50 for applications made under subsection 789FC(1) in the year starting on 1 January 2014. This</w:t>
      </w:r>
      <w:r w:rsidR="006F1EFF">
        <w:rPr>
          <w:rFonts w:ascii="Times New Roman" w:hAnsi="Times New Roman" w:cs="Times New Roman"/>
          <w:sz w:val="24"/>
          <w:szCs w:val="24"/>
        </w:rPr>
        <w:t xml:space="preserve"> fee would be indexed annually at the start of each financial year.</w:t>
      </w:r>
    </w:p>
    <w:p w14:paraId="2477BD37" w14:textId="04AC8639" w:rsidR="002B5FEE" w:rsidRDefault="002B5FEE" w:rsidP="00A72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Subregulation</w:t>
      </w:r>
      <w:r w:rsidR="005778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6.07A(3)</w:t>
      </w:r>
      <w:r w:rsidR="005778EF">
        <w:rPr>
          <w:rFonts w:ascii="Times New Roman" w:hAnsi="Times New Roman" w:cs="Times New Roman"/>
          <w:sz w:val="24"/>
          <w:szCs w:val="24"/>
        </w:rPr>
        <w:t>-(6)</w:t>
      </w:r>
      <w:r>
        <w:rPr>
          <w:rFonts w:ascii="Times New Roman" w:hAnsi="Times New Roman" w:cs="Times New Roman"/>
          <w:sz w:val="24"/>
          <w:szCs w:val="24"/>
        </w:rPr>
        <w:t xml:space="preserve"> set</w:t>
      </w:r>
      <w:r w:rsidR="009241C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out the method for indexing fees if an application is made in a financial year starting on 1 January 2014 or in a later year. The indexation method </w:t>
      </w:r>
      <w:r w:rsidR="008037F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identical to that of other applications to the FWC. </w:t>
      </w:r>
    </w:p>
    <w:p w14:paraId="2477BD38" w14:textId="77777777" w:rsidR="002B5FEE" w:rsidRDefault="009241CC" w:rsidP="00A72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Subregulation 6.07A(7) </w:t>
      </w:r>
      <w:r w:rsidR="002B5FEE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B5FEE">
        <w:rPr>
          <w:rFonts w:ascii="Times New Roman" w:hAnsi="Times New Roman" w:cs="Times New Roman"/>
          <w:sz w:val="24"/>
          <w:szCs w:val="24"/>
        </w:rPr>
        <w:t xml:space="preserve"> that there is no fee payable for making an application where the applicant would suffer serious hardship if required to pay the fee. </w:t>
      </w:r>
    </w:p>
    <w:p w14:paraId="72EE8329" w14:textId="3206969D" w:rsidR="005778EF" w:rsidRPr="00CE5AFD" w:rsidRDefault="00CE5AFD" w:rsidP="00A72C5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Subregulation 6.07A(8) would provide for circumstances in which the FWC must refund a fee. The FWC must refund a fee that has been paid where the application is then discontinued in accordance with any procedural rules, provided the application has not yet been listed for a conference or hearing.</w:t>
      </w:r>
      <w:r w:rsidR="005778E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67FA964" w14:textId="7D749A67" w:rsidR="005778EF" w:rsidRDefault="005778EF" w:rsidP="005778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6F3">
        <w:rPr>
          <w:rFonts w:ascii="Times New Roman" w:hAnsi="Times New Roman" w:cs="Times New Roman"/>
          <w:b/>
          <w:sz w:val="24"/>
          <w:szCs w:val="24"/>
          <w:u w:val="single"/>
        </w:rPr>
        <w:t>ATTACHMENT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</w:t>
      </w:r>
    </w:p>
    <w:p w14:paraId="501E7EAF" w14:textId="77777777" w:rsidR="005778EF" w:rsidRPr="00E6569A" w:rsidRDefault="005778EF" w:rsidP="005778E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477BD3A" w14:textId="6B3BDF32" w:rsidR="00292978" w:rsidRDefault="00292978" w:rsidP="00577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Statement of Compatibility with Human Rights</w:t>
      </w:r>
    </w:p>
    <w:p w14:paraId="2477BD3B" w14:textId="77777777" w:rsidR="00292978" w:rsidRPr="008E0F5D" w:rsidRDefault="00292978" w:rsidP="00292978">
      <w:pPr>
        <w:spacing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2477BD3C" w14:textId="4A38588F" w:rsidR="00292978" w:rsidRPr="008E0F5D" w:rsidRDefault="00292978" w:rsidP="00292978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F5D">
        <w:rPr>
          <w:rFonts w:ascii="Times New Roman" w:hAnsi="Times New Roman" w:cs="Times New Roman"/>
          <w:b/>
          <w:sz w:val="24"/>
          <w:szCs w:val="24"/>
        </w:rPr>
        <w:t xml:space="preserve">Fair Work </w:t>
      </w:r>
      <w:r w:rsidR="005139FA" w:rsidRPr="008E0F5D">
        <w:rPr>
          <w:rFonts w:ascii="Times New Roman" w:hAnsi="Times New Roman" w:cs="Times New Roman"/>
          <w:b/>
          <w:sz w:val="24"/>
          <w:szCs w:val="24"/>
        </w:rPr>
        <w:t>Amendment (Anti-B</w:t>
      </w:r>
      <w:r w:rsidR="00BC6D88" w:rsidRPr="008E0F5D">
        <w:rPr>
          <w:rFonts w:ascii="Times New Roman" w:hAnsi="Times New Roman" w:cs="Times New Roman"/>
          <w:b/>
          <w:sz w:val="24"/>
          <w:szCs w:val="24"/>
        </w:rPr>
        <w:t xml:space="preserve">ullying) Regulation 2013 </w:t>
      </w:r>
    </w:p>
    <w:p w14:paraId="2477BD3E" w14:textId="77777777" w:rsidR="00292978" w:rsidRPr="008E0F5D" w:rsidRDefault="00292978" w:rsidP="0029297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8E0F5D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8E0F5D">
        <w:rPr>
          <w:rFonts w:ascii="Times New Roman" w:hAnsi="Times New Roman" w:cs="Times New Roman"/>
          <w:sz w:val="24"/>
          <w:szCs w:val="24"/>
        </w:rPr>
        <w:t>.</w:t>
      </w:r>
    </w:p>
    <w:p w14:paraId="2477BD40" w14:textId="77777777" w:rsidR="00292978" w:rsidRPr="008E0F5D" w:rsidRDefault="00292978" w:rsidP="00E656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F5D">
        <w:rPr>
          <w:rFonts w:ascii="Times New Roman" w:hAnsi="Times New Roman" w:cs="Times New Roman"/>
          <w:b/>
          <w:sz w:val="24"/>
          <w:szCs w:val="24"/>
        </w:rPr>
        <w:t>Overview of the Legislative Instrument</w:t>
      </w:r>
    </w:p>
    <w:p w14:paraId="2477BD41" w14:textId="131D0DC5" w:rsidR="005639CA" w:rsidRPr="008E0F5D" w:rsidRDefault="00142F87" w:rsidP="005639CA">
      <w:pPr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sz w:val="24"/>
          <w:szCs w:val="24"/>
        </w:rPr>
        <w:t>T</w:t>
      </w:r>
      <w:r w:rsidR="005639CA" w:rsidRPr="008E0F5D">
        <w:rPr>
          <w:rFonts w:ascii="Times New Roman" w:hAnsi="Times New Roman" w:cs="Times New Roman"/>
          <w:sz w:val="24"/>
          <w:szCs w:val="24"/>
        </w:rPr>
        <w:t xml:space="preserve">he </w:t>
      </w:r>
      <w:r w:rsidR="005639CA" w:rsidRPr="008E0F5D">
        <w:rPr>
          <w:rFonts w:ascii="Times New Roman" w:hAnsi="Times New Roman" w:cs="Times New Roman"/>
          <w:i/>
          <w:sz w:val="24"/>
          <w:szCs w:val="24"/>
        </w:rPr>
        <w:t>Fair Work Amendment Act 2013</w:t>
      </w:r>
      <w:r w:rsidR="005639CA" w:rsidRPr="008E0F5D">
        <w:rPr>
          <w:rFonts w:ascii="Times New Roman" w:hAnsi="Times New Roman" w:cs="Times New Roman"/>
          <w:sz w:val="24"/>
          <w:szCs w:val="24"/>
        </w:rPr>
        <w:t xml:space="preserve"> amended the </w:t>
      </w:r>
      <w:r w:rsidRPr="008E0F5D">
        <w:rPr>
          <w:rFonts w:ascii="Times New Roman" w:hAnsi="Times New Roman" w:cs="Times New Roman"/>
          <w:i/>
          <w:sz w:val="24"/>
          <w:szCs w:val="24"/>
        </w:rPr>
        <w:t>Fair Work Act 2009</w:t>
      </w:r>
      <w:r w:rsidR="005639CA" w:rsidRPr="008E0F5D">
        <w:rPr>
          <w:rFonts w:ascii="Times New Roman" w:hAnsi="Times New Roman" w:cs="Times New Roman"/>
          <w:sz w:val="24"/>
          <w:szCs w:val="24"/>
        </w:rPr>
        <w:t xml:space="preserve"> to include a new Part</w:t>
      </w:r>
      <w:r w:rsidR="00687BDA" w:rsidRPr="008E0F5D">
        <w:rPr>
          <w:rFonts w:ascii="Times New Roman" w:hAnsi="Times New Roman" w:cs="Times New Roman"/>
          <w:sz w:val="24"/>
          <w:szCs w:val="24"/>
        </w:rPr>
        <w:t> </w:t>
      </w:r>
      <w:r w:rsidR="005639CA" w:rsidRPr="008E0F5D">
        <w:rPr>
          <w:rFonts w:ascii="Times New Roman" w:hAnsi="Times New Roman" w:cs="Times New Roman"/>
          <w:sz w:val="24"/>
          <w:szCs w:val="24"/>
        </w:rPr>
        <w:t>6</w:t>
      </w:r>
      <w:r w:rsidR="00353F8B" w:rsidRPr="008E0F5D">
        <w:rPr>
          <w:rFonts w:ascii="Times New Roman" w:hAnsi="Times New Roman" w:cs="Times New Roman"/>
          <w:sz w:val="24"/>
          <w:szCs w:val="24"/>
        </w:rPr>
        <w:noBreakHyphen/>
      </w:r>
      <w:r w:rsidR="005639CA" w:rsidRPr="008E0F5D">
        <w:rPr>
          <w:rFonts w:ascii="Times New Roman" w:hAnsi="Times New Roman" w:cs="Times New Roman"/>
          <w:sz w:val="24"/>
          <w:szCs w:val="24"/>
        </w:rPr>
        <w:t xml:space="preserve">4B to enable a worker who </w:t>
      </w:r>
      <w:r w:rsidR="009F0E66" w:rsidRPr="008E0F5D">
        <w:rPr>
          <w:rFonts w:ascii="Times New Roman" w:hAnsi="Times New Roman" w:cs="Times New Roman"/>
          <w:sz w:val="24"/>
          <w:szCs w:val="24"/>
        </w:rPr>
        <w:t>reasonably believes that they have been</w:t>
      </w:r>
      <w:r w:rsidR="005639CA" w:rsidRPr="008E0F5D">
        <w:rPr>
          <w:rFonts w:ascii="Times New Roman" w:hAnsi="Times New Roman" w:cs="Times New Roman"/>
          <w:sz w:val="24"/>
          <w:szCs w:val="24"/>
        </w:rPr>
        <w:t xml:space="preserve"> bullied at work to apply to the Fair Work Commission (FWC) for an order to stop the bullying. </w:t>
      </w:r>
      <w:r w:rsidR="009F0E66" w:rsidRPr="008E0F5D">
        <w:rPr>
          <w:rFonts w:ascii="Times New Roman" w:hAnsi="Times New Roman" w:cs="Times New Roman"/>
          <w:sz w:val="24"/>
          <w:szCs w:val="24"/>
        </w:rPr>
        <w:t xml:space="preserve">If the FWC is satisfied that the worker has been bullied, and there is a risk that the worker will continue to be bullied, it may make an order to prevent the worker from being bullied at work. </w:t>
      </w:r>
      <w:r w:rsidR="005639CA" w:rsidRPr="008E0F5D">
        <w:rPr>
          <w:rFonts w:ascii="Times New Roman" w:hAnsi="Times New Roman" w:cs="Times New Roman"/>
          <w:sz w:val="24"/>
          <w:szCs w:val="24"/>
        </w:rPr>
        <w:t>This jurisdiction will commence on 1 January 2014.</w:t>
      </w:r>
    </w:p>
    <w:p w14:paraId="2477BD42" w14:textId="77777777" w:rsidR="005639CA" w:rsidRPr="008E0F5D" w:rsidRDefault="005639CA" w:rsidP="00E6569A">
      <w:pPr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sz w:val="24"/>
          <w:szCs w:val="24"/>
        </w:rPr>
        <w:t xml:space="preserve">The purpose of this Legislative Instrument is to amend the </w:t>
      </w:r>
      <w:r w:rsidRPr="008E0F5D">
        <w:rPr>
          <w:rFonts w:ascii="Times New Roman" w:hAnsi="Times New Roman" w:cs="Times New Roman"/>
          <w:i/>
          <w:sz w:val="24"/>
          <w:szCs w:val="24"/>
        </w:rPr>
        <w:t xml:space="preserve">Fair Work Regulations </w:t>
      </w:r>
      <w:r w:rsidR="00363581" w:rsidRPr="008E0F5D">
        <w:rPr>
          <w:rFonts w:ascii="Times New Roman" w:hAnsi="Times New Roman" w:cs="Times New Roman"/>
          <w:i/>
          <w:sz w:val="24"/>
          <w:szCs w:val="24"/>
        </w:rPr>
        <w:t>2009</w:t>
      </w:r>
      <w:r w:rsidR="00363581" w:rsidRPr="008E0F5D">
        <w:rPr>
          <w:rFonts w:ascii="Times New Roman" w:hAnsi="Times New Roman" w:cs="Times New Roman"/>
          <w:sz w:val="24"/>
          <w:szCs w:val="24"/>
        </w:rPr>
        <w:t xml:space="preserve"> to</w:t>
      </w:r>
      <w:r w:rsidRPr="008E0F5D">
        <w:rPr>
          <w:rFonts w:ascii="Times New Roman" w:hAnsi="Times New Roman" w:cs="Times New Roman"/>
          <w:sz w:val="24"/>
          <w:szCs w:val="24"/>
        </w:rPr>
        <w:t xml:space="preserve"> prescribe a fee for applications made to the FWC </w:t>
      </w:r>
      <w:r w:rsidR="001B6B36" w:rsidRPr="008E0F5D">
        <w:rPr>
          <w:rFonts w:ascii="Times New Roman" w:hAnsi="Times New Roman" w:cs="Times New Roman"/>
          <w:sz w:val="24"/>
          <w:szCs w:val="24"/>
        </w:rPr>
        <w:t xml:space="preserve">made under section 789FF. </w:t>
      </w:r>
    </w:p>
    <w:p w14:paraId="2477BD44" w14:textId="77777777" w:rsidR="00292978" w:rsidRPr="008E0F5D" w:rsidRDefault="00292978" w:rsidP="00292978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sz w:val="24"/>
          <w:szCs w:val="24"/>
        </w:rPr>
        <w:t>The Legislative Instrument:</w:t>
      </w:r>
    </w:p>
    <w:p w14:paraId="2477BD45" w14:textId="74F6C616" w:rsidR="00292978" w:rsidRPr="008E0F5D" w:rsidRDefault="00292978" w:rsidP="00E6569A">
      <w:pPr>
        <w:pStyle w:val="ListParagraph"/>
        <w:numPr>
          <w:ilvl w:val="0"/>
          <w:numId w:val="1"/>
        </w:numPr>
        <w:spacing w:after="160" w:line="276" w:lineRule="auto"/>
        <w:ind w:left="777" w:hanging="357"/>
      </w:pPr>
      <w:r w:rsidRPr="008E0F5D">
        <w:t xml:space="preserve">prescribes </w:t>
      </w:r>
      <w:r w:rsidR="001B6B36" w:rsidRPr="008E0F5D">
        <w:t xml:space="preserve">a fee of </w:t>
      </w:r>
      <w:r w:rsidR="00B039F9" w:rsidRPr="008E0F5D">
        <w:t xml:space="preserve">$65.50 for applications </w:t>
      </w:r>
      <w:r w:rsidR="006F1EFF" w:rsidRPr="008E0F5D">
        <w:t>made in the year starting on 1</w:t>
      </w:r>
      <w:r w:rsidR="00A939E7" w:rsidRPr="008E0F5D">
        <w:t> </w:t>
      </w:r>
      <w:r w:rsidR="006F1EFF" w:rsidRPr="008E0F5D">
        <w:t>January</w:t>
      </w:r>
      <w:r w:rsidR="00A939E7" w:rsidRPr="008E0F5D">
        <w:t> </w:t>
      </w:r>
      <w:r w:rsidR="006F1EFF" w:rsidRPr="008E0F5D">
        <w:t xml:space="preserve">2014 </w:t>
      </w:r>
      <w:r w:rsidR="00A939E7" w:rsidRPr="008E0F5D">
        <w:t>until indexation on 1 July 2014;</w:t>
      </w:r>
    </w:p>
    <w:p w14:paraId="2477BD46" w14:textId="3DBEF418" w:rsidR="001B6B36" w:rsidRPr="008E0F5D" w:rsidRDefault="001B6B36" w:rsidP="00E6569A">
      <w:pPr>
        <w:pStyle w:val="ListParagraph"/>
        <w:numPr>
          <w:ilvl w:val="0"/>
          <w:numId w:val="1"/>
        </w:numPr>
        <w:spacing w:after="160" w:line="276" w:lineRule="auto"/>
        <w:ind w:left="777" w:hanging="357"/>
      </w:pPr>
      <w:r w:rsidRPr="008E0F5D">
        <w:t xml:space="preserve">sets out the method for indexing fees if an application is made in a financial year starting on 1 </w:t>
      </w:r>
      <w:r w:rsidR="00A939E7" w:rsidRPr="008E0F5D">
        <w:t>July 2014 or in a later year;</w:t>
      </w:r>
      <w:r w:rsidRPr="008E0F5D">
        <w:t xml:space="preserve"> </w:t>
      </w:r>
    </w:p>
    <w:p w14:paraId="2477BD48" w14:textId="2A25F802" w:rsidR="001B6B36" w:rsidRPr="008E0F5D" w:rsidRDefault="006F1EFF" w:rsidP="00E6569A">
      <w:pPr>
        <w:pStyle w:val="ListParagraph"/>
        <w:numPr>
          <w:ilvl w:val="0"/>
          <w:numId w:val="1"/>
        </w:numPr>
        <w:spacing w:after="160" w:line="276" w:lineRule="auto"/>
        <w:ind w:left="777" w:hanging="357"/>
      </w:pPr>
      <w:r w:rsidRPr="008E0F5D">
        <w:t>prescribes circumstances</w:t>
      </w:r>
      <w:r w:rsidR="00A939E7" w:rsidRPr="008E0F5D">
        <w:t xml:space="preserve"> in which the fee may be waived; and</w:t>
      </w:r>
    </w:p>
    <w:p w14:paraId="2477BD4A" w14:textId="797F77DB" w:rsidR="006F1EFF" w:rsidRPr="008E0F5D" w:rsidRDefault="00A939E7" w:rsidP="00E6569A">
      <w:pPr>
        <w:pStyle w:val="ListParagraph"/>
        <w:numPr>
          <w:ilvl w:val="0"/>
          <w:numId w:val="1"/>
        </w:numPr>
        <w:spacing w:after="160" w:line="276" w:lineRule="auto"/>
        <w:ind w:left="777" w:hanging="357"/>
      </w:pPr>
      <w:r w:rsidRPr="008E0F5D">
        <w:t>p</w:t>
      </w:r>
      <w:r w:rsidR="006F1EFF" w:rsidRPr="008E0F5D">
        <w:t>rescribes circumstances in which the fee may be refunded.</w:t>
      </w:r>
    </w:p>
    <w:p w14:paraId="2477BD4D" w14:textId="77777777" w:rsidR="00292978" w:rsidRPr="008E0F5D" w:rsidRDefault="00292978" w:rsidP="00E656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F5D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31180783" w14:textId="39572DC6" w:rsidR="00FB1C38" w:rsidRPr="008E0F5D" w:rsidRDefault="00FB1C38" w:rsidP="00E6569A">
      <w:pPr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sz w:val="24"/>
          <w:szCs w:val="24"/>
        </w:rPr>
        <w:t xml:space="preserve">The imposition </w:t>
      </w:r>
      <w:r w:rsidR="00353F8B" w:rsidRPr="008E0F5D">
        <w:rPr>
          <w:rFonts w:ascii="Times New Roman" w:hAnsi="Times New Roman" w:cs="Times New Roman"/>
          <w:sz w:val="24"/>
          <w:szCs w:val="24"/>
        </w:rPr>
        <w:t xml:space="preserve">of a fee for applications engages the right to access to justice under Article 14 of the </w:t>
      </w:r>
      <w:r w:rsidR="00353F8B" w:rsidRPr="008E0F5D">
        <w:rPr>
          <w:rFonts w:ascii="Times New Roman" w:hAnsi="Times New Roman" w:cs="Times New Roman"/>
          <w:i/>
          <w:sz w:val="24"/>
          <w:szCs w:val="24"/>
        </w:rPr>
        <w:t xml:space="preserve">International Covenant on Civil and Political Rights </w:t>
      </w:r>
      <w:r w:rsidR="00353F8B" w:rsidRPr="008E0F5D">
        <w:rPr>
          <w:rFonts w:ascii="Times New Roman" w:hAnsi="Times New Roman" w:cs="Times New Roman"/>
          <w:sz w:val="24"/>
          <w:szCs w:val="24"/>
        </w:rPr>
        <w:t>(ICCPR).</w:t>
      </w:r>
    </w:p>
    <w:p w14:paraId="6083E549" w14:textId="722402B2" w:rsidR="00353F8B" w:rsidRPr="008E0F5D" w:rsidRDefault="00353F8B" w:rsidP="00E6569A">
      <w:pPr>
        <w:rPr>
          <w:rFonts w:ascii="Times New Roman" w:hAnsi="Times New Roman" w:cs="Times New Roman"/>
          <w:sz w:val="24"/>
          <w:szCs w:val="24"/>
        </w:rPr>
      </w:pPr>
      <w:r w:rsidRPr="008E0F5D">
        <w:rPr>
          <w:rFonts w:ascii="Times New Roman" w:hAnsi="Times New Roman" w:cs="Times New Roman"/>
          <w:sz w:val="24"/>
          <w:szCs w:val="24"/>
        </w:rPr>
        <w:t>The Human Rights Committee, in General Comment 32 (</w:t>
      </w:r>
      <w:r w:rsidRPr="008E0F5D">
        <w:rPr>
          <w:rFonts w:ascii="Times New Roman" w:hAnsi="Times New Roman" w:cs="Times New Roman"/>
          <w:i/>
          <w:sz w:val="24"/>
          <w:szCs w:val="24"/>
        </w:rPr>
        <w:t>Right to equality before courts and tribunals and to a fair trial</w:t>
      </w:r>
      <w:r w:rsidRPr="008E0F5D">
        <w:rPr>
          <w:rFonts w:ascii="Times New Roman" w:hAnsi="Times New Roman" w:cs="Times New Roman"/>
          <w:sz w:val="24"/>
          <w:szCs w:val="24"/>
        </w:rPr>
        <w:t>) noted at paragraph 11 that:</w:t>
      </w:r>
    </w:p>
    <w:p w14:paraId="6A88552E" w14:textId="07271F07" w:rsidR="00353F8B" w:rsidRPr="008E0F5D" w:rsidRDefault="00353F8B" w:rsidP="00E6569A">
      <w:pPr>
        <w:shd w:val="clear" w:color="auto" w:fill="FFFFFF"/>
        <w:spacing w:after="240" w:line="240" w:lineRule="auto"/>
        <w:ind w:left="567" w:right="804"/>
        <w:rPr>
          <w:rFonts w:ascii="Times New Roman" w:hAnsi="Times New Roman" w:cs="Times New Roman"/>
          <w:i/>
          <w:sz w:val="24"/>
          <w:szCs w:val="24"/>
        </w:rPr>
      </w:pPr>
      <w:r w:rsidRPr="008E0F5D">
        <w:rPr>
          <w:rFonts w:ascii="Times New Roman" w:hAnsi="Times New Roman" w:cs="Times New Roman"/>
          <w:i/>
          <w:sz w:val="24"/>
          <w:szCs w:val="24"/>
        </w:rPr>
        <w:t>The imposition of fees on the parties to proceedings that would de facto prevent their access to justice might give ri</w:t>
      </w:r>
      <w:r w:rsidR="0099573E" w:rsidRPr="008E0F5D">
        <w:rPr>
          <w:rFonts w:ascii="Times New Roman" w:hAnsi="Times New Roman" w:cs="Times New Roman"/>
          <w:i/>
          <w:sz w:val="24"/>
          <w:szCs w:val="24"/>
        </w:rPr>
        <w:t>se</w:t>
      </w:r>
      <w:r w:rsidRPr="008E0F5D">
        <w:rPr>
          <w:rFonts w:ascii="Times New Roman" w:hAnsi="Times New Roman" w:cs="Times New Roman"/>
          <w:i/>
          <w:sz w:val="24"/>
          <w:szCs w:val="24"/>
        </w:rPr>
        <w:t xml:space="preserve"> to issues under Article 14, paragraph 1 [of the ICCPR].</w:t>
      </w:r>
      <w:r w:rsidRPr="008E0F5D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</w:p>
    <w:p w14:paraId="589DEDCF" w14:textId="2202A517" w:rsidR="00353F8B" w:rsidRPr="00353F8B" w:rsidRDefault="00353F8B" w:rsidP="00E65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submitted that a fee of $65.50 is </w:t>
      </w:r>
      <w:r w:rsidR="009849DB">
        <w:rPr>
          <w:rFonts w:ascii="Times New Roman" w:hAnsi="Times New Roman" w:cs="Times New Roman"/>
          <w:sz w:val="24"/>
          <w:szCs w:val="24"/>
        </w:rPr>
        <w:t xml:space="preserve">reasonable in the circumstances and is </w:t>
      </w:r>
      <w:r>
        <w:rPr>
          <w:rFonts w:ascii="Times New Roman" w:hAnsi="Times New Roman" w:cs="Times New Roman"/>
          <w:sz w:val="24"/>
          <w:szCs w:val="24"/>
        </w:rPr>
        <w:t xml:space="preserve">not high enough to negatively affect or prevent access to the remedies contained in the new Part 6-4B of the Fair Work Act. </w:t>
      </w:r>
    </w:p>
    <w:p w14:paraId="2477BD4F" w14:textId="77777777" w:rsidR="00292978" w:rsidRDefault="00292978" w:rsidP="00292978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14BF158" w14:textId="77777777" w:rsidR="00E6569A" w:rsidRPr="00E6569A" w:rsidRDefault="00E6569A" w:rsidP="00E6569A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56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Legislative </w:t>
      </w:r>
      <w:r w:rsidRPr="00E6569A">
        <w:rPr>
          <w:rFonts w:ascii="Times New Roman" w:hAnsi="Times New Roman" w:cs="Times New Roman"/>
          <w:sz w:val="24"/>
          <w:szCs w:val="24"/>
        </w:rPr>
        <w:t>Instrument</w:t>
      </w:r>
      <w:r w:rsidRPr="00E656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compatible with human rights.</w:t>
      </w:r>
    </w:p>
    <w:p w14:paraId="2477BD51" w14:textId="77777777" w:rsidR="00292978" w:rsidRDefault="00292978" w:rsidP="0029297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2477BD52" w14:textId="60BA40F7" w:rsidR="00292978" w:rsidRDefault="00292978" w:rsidP="002929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Senator The Hon</w:t>
      </w:r>
      <w:r w:rsidR="00687BD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Eric Abetz </w:t>
      </w:r>
    </w:p>
    <w:p w14:paraId="2477BD53" w14:textId="77777777" w:rsidR="002B5FEE" w:rsidRPr="00292978" w:rsidRDefault="00292978" w:rsidP="0029297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Employment</w:t>
      </w:r>
    </w:p>
    <w:sectPr w:rsidR="002B5FEE" w:rsidRPr="0029297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CD95A" w14:textId="77777777" w:rsidR="00353F8B" w:rsidRDefault="00353F8B" w:rsidP="00353F8B">
      <w:pPr>
        <w:spacing w:after="0" w:line="240" w:lineRule="auto"/>
      </w:pPr>
      <w:r>
        <w:separator/>
      </w:r>
    </w:p>
  </w:endnote>
  <w:endnote w:type="continuationSeparator" w:id="0">
    <w:p w14:paraId="6D92D9EE" w14:textId="77777777" w:rsidR="00353F8B" w:rsidRDefault="00353F8B" w:rsidP="0035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05ADB" w14:textId="77777777" w:rsidR="00353F8B" w:rsidRDefault="00353F8B" w:rsidP="00353F8B">
      <w:pPr>
        <w:spacing w:after="0" w:line="240" w:lineRule="auto"/>
      </w:pPr>
      <w:r>
        <w:separator/>
      </w:r>
    </w:p>
  </w:footnote>
  <w:footnote w:type="continuationSeparator" w:id="0">
    <w:p w14:paraId="32323CE6" w14:textId="77777777" w:rsidR="00353F8B" w:rsidRDefault="00353F8B" w:rsidP="00353F8B">
      <w:pPr>
        <w:spacing w:after="0" w:line="240" w:lineRule="auto"/>
      </w:pPr>
      <w:r>
        <w:continuationSeparator/>
      </w:r>
    </w:p>
  </w:footnote>
  <w:footnote w:id="1">
    <w:p w14:paraId="21FDB2F5" w14:textId="6B42B239" w:rsidR="00353F8B" w:rsidRPr="00E6569A" w:rsidRDefault="00353F8B">
      <w:pPr>
        <w:pStyle w:val="FootnoteText"/>
        <w:rPr>
          <w:rFonts w:ascii="Times New Roman" w:hAnsi="Times New Roman" w:cs="Times New Roman"/>
          <w:b/>
        </w:rPr>
      </w:pPr>
      <w:r w:rsidRPr="00E6569A">
        <w:rPr>
          <w:rStyle w:val="FootnoteReference"/>
          <w:rFonts w:ascii="Times New Roman" w:hAnsi="Times New Roman" w:cs="Times New Roman"/>
          <w:b/>
        </w:rPr>
        <w:footnoteRef/>
      </w:r>
      <w:r w:rsidRPr="00E6569A">
        <w:rPr>
          <w:rFonts w:ascii="Times New Roman" w:hAnsi="Times New Roman" w:cs="Times New Roman"/>
          <w:b/>
        </w:rPr>
        <w:t xml:space="preserve"> </w:t>
      </w:r>
      <w:r w:rsidR="00E6569A" w:rsidRPr="00E6569A">
        <w:rPr>
          <w:rStyle w:val="Strong"/>
          <w:rFonts w:ascii="Times New Roman" w:hAnsi="Times New Roman" w:cs="Times New Roman"/>
          <w:b w:val="0"/>
        </w:rPr>
        <w:t>Human Rights Committee, General Comment No. 32, Article 14: Right to equality before courts and tribunals and to a fair trial, U.N. Doc. CCPR/C/GC/32 (2007).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1524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C48FF17" w14:textId="2F778C6C" w:rsidR="00CF73C3" w:rsidRPr="00CF73C3" w:rsidRDefault="00CF73C3">
        <w:pPr>
          <w:pStyle w:val="Header"/>
          <w:jc w:val="center"/>
          <w:rPr>
            <w:rFonts w:ascii="Times New Roman" w:hAnsi="Times New Roman"/>
          </w:rPr>
        </w:pPr>
        <w:r w:rsidRPr="00CF73C3">
          <w:rPr>
            <w:rFonts w:ascii="Times New Roman" w:hAnsi="Times New Roman"/>
          </w:rPr>
          <w:fldChar w:fldCharType="begin"/>
        </w:r>
        <w:r w:rsidRPr="00CF73C3">
          <w:rPr>
            <w:rFonts w:ascii="Times New Roman" w:hAnsi="Times New Roman"/>
          </w:rPr>
          <w:instrText xml:space="preserve"> PAGE   \* MERGEFORMAT </w:instrText>
        </w:r>
        <w:r w:rsidRPr="00CF73C3">
          <w:rPr>
            <w:rFonts w:ascii="Times New Roman" w:hAnsi="Times New Roman"/>
          </w:rPr>
          <w:fldChar w:fldCharType="separate"/>
        </w:r>
        <w:r w:rsidR="001C4270">
          <w:rPr>
            <w:rFonts w:ascii="Times New Roman" w:hAnsi="Times New Roman"/>
            <w:noProof/>
          </w:rPr>
          <w:t>4</w:t>
        </w:r>
        <w:r w:rsidRPr="00CF73C3">
          <w:rPr>
            <w:rFonts w:ascii="Times New Roman" w:hAnsi="Times New Roman"/>
            <w:noProof/>
          </w:rPr>
          <w:fldChar w:fldCharType="end"/>
        </w:r>
      </w:p>
    </w:sdtContent>
  </w:sdt>
  <w:p w14:paraId="5685C415" w14:textId="77777777" w:rsidR="00CF73C3" w:rsidRDefault="00CF7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CC"/>
    <w:multiLevelType w:val="hybridMultilevel"/>
    <w:tmpl w:val="A79A424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85"/>
    <w:rsid w:val="000471A6"/>
    <w:rsid w:val="000636BB"/>
    <w:rsid w:val="00066F5F"/>
    <w:rsid w:val="000E2B71"/>
    <w:rsid w:val="00115C74"/>
    <w:rsid w:val="00142F87"/>
    <w:rsid w:val="00154A0B"/>
    <w:rsid w:val="00166EBD"/>
    <w:rsid w:val="001B6B36"/>
    <w:rsid w:val="001C4270"/>
    <w:rsid w:val="001D11FD"/>
    <w:rsid w:val="001D4C56"/>
    <w:rsid w:val="001F641A"/>
    <w:rsid w:val="002317FF"/>
    <w:rsid w:val="00234AF0"/>
    <w:rsid w:val="00292978"/>
    <w:rsid w:val="00297FC5"/>
    <w:rsid w:val="002B5FEE"/>
    <w:rsid w:val="00324D4B"/>
    <w:rsid w:val="003334EF"/>
    <w:rsid w:val="00353F8B"/>
    <w:rsid w:val="00363581"/>
    <w:rsid w:val="0039165B"/>
    <w:rsid w:val="003B699F"/>
    <w:rsid w:val="00423651"/>
    <w:rsid w:val="00434C87"/>
    <w:rsid w:val="00435C03"/>
    <w:rsid w:val="00462602"/>
    <w:rsid w:val="00496065"/>
    <w:rsid w:val="004A5895"/>
    <w:rsid w:val="004A7E87"/>
    <w:rsid w:val="005139FA"/>
    <w:rsid w:val="005326A3"/>
    <w:rsid w:val="005455D0"/>
    <w:rsid w:val="00556265"/>
    <w:rsid w:val="005639CA"/>
    <w:rsid w:val="005652ED"/>
    <w:rsid w:val="00572049"/>
    <w:rsid w:val="005778EF"/>
    <w:rsid w:val="00577C76"/>
    <w:rsid w:val="005E0A33"/>
    <w:rsid w:val="005E3085"/>
    <w:rsid w:val="00613966"/>
    <w:rsid w:val="00635298"/>
    <w:rsid w:val="006602F2"/>
    <w:rsid w:val="00687BDA"/>
    <w:rsid w:val="006941D5"/>
    <w:rsid w:val="006C6250"/>
    <w:rsid w:val="006D764A"/>
    <w:rsid w:val="006F1EFF"/>
    <w:rsid w:val="006F371B"/>
    <w:rsid w:val="00700DED"/>
    <w:rsid w:val="0073163B"/>
    <w:rsid w:val="007B0D5F"/>
    <w:rsid w:val="008037FA"/>
    <w:rsid w:val="00817E45"/>
    <w:rsid w:val="00820D93"/>
    <w:rsid w:val="00875192"/>
    <w:rsid w:val="008E0F5D"/>
    <w:rsid w:val="008F39E7"/>
    <w:rsid w:val="009241CC"/>
    <w:rsid w:val="009335B5"/>
    <w:rsid w:val="009647CE"/>
    <w:rsid w:val="009849DB"/>
    <w:rsid w:val="0099573E"/>
    <w:rsid w:val="009A7F22"/>
    <w:rsid w:val="009B25AE"/>
    <w:rsid w:val="009F0E66"/>
    <w:rsid w:val="00A3383A"/>
    <w:rsid w:val="00A648DD"/>
    <w:rsid w:val="00A72C5C"/>
    <w:rsid w:val="00A939E7"/>
    <w:rsid w:val="00A94CF2"/>
    <w:rsid w:val="00A953C8"/>
    <w:rsid w:val="00AD29E5"/>
    <w:rsid w:val="00AE1B45"/>
    <w:rsid w:val="00B039F9"/>
    <w:rsid w:val="00B1659E"/>
    <w:rsid w:val="00B407A6"/>
    <w:rsid w:val="00B5443E"/>
    <w:rsid w:val="00BA095E"/>
    <w:rsid w:val="00BB06F6"/>
    <w:rsid w:val="00BC6D88"/>
    <w:rsid w:val="00C27D70"/>
    <w:rsid w:val="00C3169C"/>
    <w:rsid w:val="00C6499D"/>
    <w:rsid w:val="00CB3285"/>
    <w:rsid w:val="00CC5711"/>
    <w:rsid w:val="00CE5AFD"/>
    <w:rsid w:val="00CF6C85"/>
    <w:rsid w:val="00CF73C3"/>
    <w:rsid w:val="00DC5ACC"/>
    <w:rsid w:val="00DD540C"/>
    <w:rsid w:val="00DF6877"/>
    <w:rsid w:val="00E62290"/>
    <w:rsid w:val="00E6569A"/>
    <w:rsid w:val="00E865BB"/>
    <w:rsid w:val="00FB1C38"/>
    <w:rsid w:val="00FB3BD9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77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textprelim">
    <w:name w:val="emtextprelim"/>
    <w:basedOn w:val="Normal"/>
    <w:rsid w:val="0006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97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F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3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8B"/>
  </w:style>
  <w:style w:type="paragraph" w:styleId="Footer">
    <w:name w:val="footer"/>
    <w:basedOn w:val="Normal"/>
    <w:link w:val="FooterChar"/>
    <w:uiPriority w:val="99"/>
    <w:unhideWhenUsed/>
    <w:rsid w:val="00353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8B"/>
  </w:style>
  <w:style w:type="character" w:styleId="Strong">
    <w:name w:val="Strong"/>
    <w:basedOn w:val="DefaultParagraphFont"/>
    <w:uiPriority w:val="22"/>
    <w:qFormat/>
    <w:rsid w:val="00E65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textprelim">
    <w:name w:val="emtextprelim"/>
    <w:basedOn w:val="Normal"/>
    <w:rsid w:val="0006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97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F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3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8B"/>
  </w:style>
  <w:style w:type="paragraph" w:styleId="Footer">
    <w:name w:val="footer"/>
    <w:basedOn w:val="Normal"/>
    <w:link w:val="FooterChar"/>
    <w:uiPriority w:val="99"/>
    <w:unhideWhenUsed/>
    <w:rsid w:val="00353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8B"/>
  </w:style>
  <w:style w:type="character" w:styleId="Strong">
    <w:name w:val="Strong"/>
    <w:basedOn w:val="DefaultParagraphFont"/>
    <w:uiPriority w:val="22"/>
    <w:qFormat/>
    <w:rsid w:val="00E65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365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76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2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2603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4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443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2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37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C99851850DBED5479E3993248FB8F88C" ma:contentTypeVersion="11" ma:contentTypeDescription="Ddocs' Word Content Type" ma:contentTypeScope="" ma:versionID="f17ffa5304b3010a6f0e3da7330f306c">
  <xsd:schema xmlns:xsd="http://www.w3.org/2001/XMLSchema" xmlns:xs="http://www.w3.org/2001/XMLSchema" xmlns:p="http://schemas.microsoft.com/office/2006/metadata/properties" xmlns:ns2="http://schemas.microsoft.com/sharepoint/v3/fields" xmlns:ns3="aa4207c7-5642-493f-9786-e265201cbb14" targetNamespace="http://schemas.microsoft.com/office/2006/metadata/properties" ma:root="true" ma:fieldsID="057f453f3ebc735b32496a852dc4cd9f" ns2:_="" ns3:_=""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ocsSearchTerms xmlns="http://schemas.microsoft.com/sharepoint/v3/fields" xsi:nil="true"/>
  </documentManagement>
</p:properties>
</file>

<file path=customXml/item4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3B4-0E3D-488C-BAB6-FF5EFD41A0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640C83-2EE5-45B4-98E4-14DD8A6F0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8560B-896C-4518-B106-2B534327DF8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aa4207c7-5642-493f-9786-e265201cbb14"/>
    <ds:schemaRef ds:uri="http://schemas.microsoft.com/office/infopath/2007/PartnerControls"/>
    <ds:schemaRef ds:uri="http://purl.org/dc/terms/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0B729C-E76C-4726-A675-9756CA270D0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896A1F4-3053-4116-95CF-91C1054F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7471</Characters>
  <Application>Microsoft Office Word</Application>
  <DocSecurity>0</DocSecurity>
  <Lines>933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Chhen</dc:creator>
  <cp:lastModifiedBy>van Meurs, Tina</cp:lastModifiedBy>
  <cp:revision>2</cp:revision>
  <dcterms:created xsi:type="dcterms:W3CDTF">2013-12-09T03:52:00Z</dcterms:created>
  <dcterms:modified xsi:type="dcterms:W3CDTF">2013-12-09T03:52:00Z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0x0101009EDC4876AF524A70BD125A9D2C0D191E0C00C99851850DBED5479E3993248FB8F88C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