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069" w:rsidRPr="00516CDD" w:rsidRDefault="00223069" w:rsidP="001E78E1">
      <w:pPr>
        <w:pStyle w:val="Title"/>
        <w:spacing w:before="0"/>
        <w:rPr>
          <w:sz w:val="24"/>
          <w:szCs w:val="24"/>
        </w:rPr>
      </w:pPr>
      <w:r w:rsidRPr="00481343">
        <w:rPr>
          <w:sz w:val="24"/>
          <w:szCs w:val="24"/>
        </w:rPr>
        <w:t xml:space="preserve">Australian </w:t>
      </w:r>
      <w:r w:rsidRPr="00516CDD">
        <w:rPr>
          <w:sz w:val="24"/>
          <w:szCs w:val="24"/>
        </w:rPr>
        <w:t>Prudential Regulation Authority (confidentiality) determination</w:t>
      </w:r>
    </w:p>
    <w:p w:rsidR="00223069" w:rsidRPr="00516CDD" w:rsidRDefault="00223069" w:rsidP="001E78E1">
      <w:pPr>
        <w:pStyle w:val="Title"/>
        <w:spacing w:before="0"/>
        <w:rPr>
          <w:sz w:val="24"/>
          <w:szCs w:val="24"/>
        </w:rPr>
      </w:pPr>
      <w:r w:rsidRPr="007C1D42">
        <w:rPr>
          <w:sz w:val="24"/>
          <w:szCs w:val="24"/>
        </w:rPr>
        <w:t>No.</w:t>
      </w:r>
      <w:r w:rsidR="007C1D42">
        <w:rPr>
          <w:sz w:val="24"/>
          <w:szCs w:val="24"/>
        </w:rPr>
        <w:t xml:space="preserve"> 25 </w:t>
      </w:r>
      <w:r w:rsidRPr="007C1D42">
        <w:rPr>
          <w:sz w:val="24"/>
          <w:szCs w:val="24"/>
        </w:rPr>
        <w:t>of 2013</w:t>
      </w:r>
    </w:p>
    <w:p w:rsidR="00223069" w:rsidRPr="00516CDD" w:rsidRDefault="00223069" w:rsidP="001E78E1">
      <w:pPr>
        <w:pStyle w:val="Title"/>
        <w:spacing w:before="0"/>
        <w:rPr>
          <w:sz w:val="24"/>
          <w:szCs w:val="24"/>
        </w:rPr>
      </w:pPr>
    </w:p>
    <w:p w:rsidR="00223069" w:rsidRPr="00516CDD" w:rsidRDefault="00223069" w:rsidP="00776F3F">
      <w:pPr>
        <w:pStyle w:val="Title"/>
        <w:rPr>
          <w:sz w:val="24"/>
          <w:szCs w:val="24"/>
        </w:rPr>
      </w:pPr>
      <w:r w:rsidRPr="00701610">
        <w:rPr>
          <w:sz w:val="24"/>
          <w:szCs w:val="24"/>
        </w:rPr>
        <w:t>Information provided by general insurers</w:t>
      </w:r>
      <w:r w:rsidR="000F57D0">
        <w:rPr>
          <w:sz w:val="24"/>
          <w:szCs w:val="24"/>
        </w:rPr>
        <w:t xml:space="preserve"> and parent entities of Level 2 insurance groups</w:t>
      </w:r>
      <w:r w:rsidRPr="00701610">
        <w:rPr>
          <w:sz w:val="24"/>
          <w:szCs w:val="24"/>
        </w:rPr>
        <w:t xml:space="preserve"> under </w:t>
      </w:r>
      <w:r>
        <w:rPr>
          <w:sz w:val="24"/>
          <w:szCs w:val="24"/>
        </w:rPr>
        <w:t>certain r</w:t>
      </w:r>
      <w:r w:rsidRPr="00701610">
        <w:rPr>
          <w:sz w:val="24"/>
          <w:szCs w:val="24"/>
        </w:rPr>
        <w:t xml:space="preserve">eporting </w:t>
      </w:r>
      <w:r>
        <w:rPr>
          <w:sz w:val="24"/>
          <w:szCs w:val="24"/>
        </w:rPr>
        <w:t>s</w:t>
      </w:r>
      <w:r w:rsidRPr="00701610">
        <w:rPr>
          <w:sz w:val="24"/>
          <w:szCs w:val="24"/>
        </w:rPr>
        <w:t>tandard</w:t>
      </w:r>
      <w:r>
        <w:rPr>
          <w:sz w:val="24"/>
          <w:szCs w:val="24"/>
        </w:rPr>
        <w:t>s</w:t>
      </w:r>
      <w:r w:rsidR="00776F3F">
        <w:rPr>
          <w:sz w:val="24"/>
          <w:szCs w:val="24"/>
        </w:rPr>
        <w:t xml:space="preserve"> </w:t>
      </w:r>
      <w:r w:rsidR="00031B43">
        <w:rPr>
          <w:sz w:val="24"/>
          <w:szCs w:val="24"/>
        </w:rPr>
        <w:t>or part of reporting standards specified in Appendix A</w:t>
      </w:r>
    </w:p>
    <w:p w:rsidR="00223069" w:rsidRPr="00516CDD" w:rsidRDefault="00223069" w:rsidP="00701610">
      <w:pPr>
        <w:pStyle w:val="Title"/>
        <w:spacing w:before="0"/>
        <w:jc w:val="left"/>
        <w:rPr>
          <w:sz w:val="24"/>
          <w:szCs w:val="24"/>
        </w:rPr>
      </w:pPr>
    </w:p>
    <w:p w:rsidR="00223069" w:rsidRPr="00516CDD" w:rsidRDefault="00223069" w:rsidP="001E78E1">
      <w:pPr>
        <w:pStyle w:val="Title"/>
        <w:spacing w:before="0"/>
        <w:jc w:val="left"/>
        <w:rPr>
          <w:sz w:val="24"/>
          <w:szCs w:val="24"/>
        </w:rPr>
      </w:pPr>
    </w:p>
    <w:p w:rsidR="00223069" w:rsidRPr="00516CDD" w:rsidRDefault="00223069" w:rsidP="001E78E1">
      <w:pPr>
        <w:pStyle w:val="BodyText"/>
        <w:jc w:val="center"/>
        <w:rPr>
          <w:b/>
          <w:szCs w:val="24"/>
          <w:u w:val="single"/>
        </w:rPr>
      </w:pPr>
      <w:r>
        <w:rPr>
          <w:b/>
          <w:szCs w:val="24"/>
          <w:u w:val="single"/>
        </w:rPr>
        <w:t>EXPLANATORY STATEMENT</w:t>
      </w:r>
    </w:p>
    <w:p w:rsidR="00223069" w:rsidRPr="00516CDD" w:rsidRDefault="00223069" w:rsidP="001E78E1">
      <w:pPr>
        <w:pStyle w:val="BodyText"/>
        <w:jc w:val="center"/>
        <w:rPr>
          <w:szCs w:val="24"/>
        </w:rPr>
      </w:pPr>
      <w:r>
        <w:rPr>
          <w:szCs w:val="24"/>
        </w:rPr>
        <w:t>Prepared by the Australian Prudential Regulation Authority (</w:t>
      </w:r>
      <w:r>
        <w:rPr>
          <w:b/>
          <w:i/>
          <w:szCs w:val="24"/>
        </w:rPr>
        <w:t>APRA</w:t>
      </w:r>
      <w:r>
        <w:rPr>
          <w:szCs w:val="24"/>
        </w:rPr>
        <w:t>)</w:t>
      </w:r>
    </w:p>
    <w:p w:rsidR="00223069" w:rsidRDefault="00223069" w:rsidP="001E78E1">
      <w:pPr>
        <w:pStyle w:val="BodyText"/>
        <w:jc w:val="center"/>
        <w:rPr>
          <w:szCs w:val="24"/>
        </w:rPr>
      </w:pPr>
      <w:r>
        <w:rPr>
          <w:i/>
          <w:szCs w:val="24"/>
        </w:rPr>
        <w:t>Australian Prudential Regulation Authority Act 1998</w:t>
      </w:r>
      <w:r>
        <w:rPr>
          <w:szCs w:val="24"/>
        </w:rPr>
        <w:t>, s</w:t>
      </w:r>
      <w:r w:rsidR="00BB0327">
        <w:rPr>
          <w:szCs w:val="24"/>
        </w:rPr>
        <w:t>ection</w:t>
      </w:r>
      <w:r>
        <w:rPr>
          <w:szCs w:val="24"/>
        </w:rPr>
        <w:t xml:space="preserve"> 57</w:t>
      </w:r>
    </w:p>
    <w:p w:rsidR="00BB0327" w:rsidRPr="00776F3F" w:rsidRDefault="00BB0327" w:rsidP="001E78E1">
      <w:pPr>
        <w:pStyle w:val="BodyText"/>
        <w:jc w:val="center"/>
        <w:rPr>
          <w:i/>
          <w:szCs w:val="24"/>
        </w:rPr>
      </w:pPr>
      <w:r w:rsidRPr="00776F3F">
        <w:rPr>
          <w:i/>
          <w:szCs w:val="24"/>
        </w:rPr>
        <w:t xml:space="preserve">Acts Interpretation Act 1901, </w:t>
      </w:r>
      <w:r w:rsidRPr="00F82024">
        <w:rPr>
          <w:szCs w:val="24"/>
        </w:rPr>
        <w:t>section 33</w:t>
      </w:r>
    </w:p>
    <w:p w:rsidR="00223069" w:rsidRPr="00516CDD" w:rsidRDefault="00223069" w:rsidP="00776F3F">
      <w:pPr>
        <w:pStyle w:val="BodyText"/>
        <w:numPr>
          <w:ilvl w:val="0"/>
          <w:numId w:val="4"/>
        </w:numPr>
        <w:rPr>
          <w:b/>
          <w:szCs w:val="24"/>
        </w:rPr>
      </w:pPr>
      <w:r>
        <w:rPr>
          <w:b/>
          <w:szCs w:val="24"/>
        </w:rPr>
        <w:t>Purpose</w:t>
      </w:r>
    </w:p>
    <w:p w:rsidR="00223069" w:rsidRDefault="00223069" w:rsidP="001E78E1">
      <w:pPr>
        <w:pStyle w:val="BodyText"/>
        <w:rPr>
          <w:szCs w:val="24"/>
        </w:rPr>
      </w:pPr>
      <w:r>
        <w:rPr>
          <w:szCs w:val="24"/>
        </w:rPr>
        <w:t xml:space="preserve">The purpose of the Australian Prudential </w:t>
      </w:r>
      <w:r w:rsidRPr="00496996">
        <w:rPr>
          <w:szCs w:val="24"/>
        </w:rPr>
        <w:t xml:space="preserve">Regulation Authority (confidentiality) determination No. </w:t>
      </w:r>
      <w:r w:rsidR="004311F5" w:rsidRPr="00496996">
        <w:rPr>
          <w:szCs w:val="24"/>
        </w:rPr>
        <w:t xml:space="preserve">25 </w:t>
      </w:r>
      <w:r w:rsidRPr="00496996">
        <w:rPr>
          <w:szCs w:val="24"/>
        </w:rPr>
        <w:t>of 2013 (th</w:t>
      </w:r>
      <w:r w:rsidR="0071588A" w:rsidRPr="00496996">
        <w:rPr>
          <w:szCs w:val="24"/>
        </w:rPr>
        <w:t>e</w:t>
      </w:r>
      <w:r w:rsidRPr="00496996">
        <w:rPr>
          <w:szCs w:val="24"/>
        </w:rPr>
        <w:t xml:space="preserve"> </w:t>
      </w:r>
      <w:r w:rsidR="005535F8" w:rsidRPr="00496996">
        <w:rPr>
          <w:szCs w:val="24"/>
        </w:rPr>
        <w:t>d</w:t>
      </w:r>
      <w:r w:rsidRPr="00496996">
        <w:rPr>
          <w:szCs w:val="24"/>
        </w:rPr>
        <w:t xml:space="preserve">etermination) made on </w:t>
      </w:r>
      <w:r w:rsidR="00576B46">
        <w:rPr>
          <w:szCs w:val="24"/>
        </w:rPr>
        <w:t>9</w:t>
      </w:r>
      <w:r w:rsidRPr="00496996">
        <w:rPr>
          <w:szCs w:val="24"/>
        </w:rPr>
        <w:t xml:space="preserve"> December</w:t>
      </w:r>
      <w:r>
        <w:rPr>
          <w:szCs w:val="24"/>
        </w:rPr>
        <w:t xml:space="preserve"> 2013 is to enable APRA to disclose, </w:t>
      </w:r>
      <w:r w:rsidR="00AD119D">
        <w:rPr>
          <w:szCs w:val="24"/>
        </w:rPr>
        <w:t xml:space="preserve">including </w:t>
      </w:r>
      <w:r>
        <w:rPr>
          <w:szCs w:val="24"/>
        </w:rPr>
        <w:t xml:space="preserve">by way of publication, certain </w:t>
      </w:r>
      <w:r w:rsidR="008C6577">
        <w:rPr>
          <w:szCs w:val="24"/>
        </w:rPr>
        <w:t xml:space="preserve">annual </w:t>
      </w:r>
      <w:r>
        <w:rPr>
          <w:szCs w:val="24"/>
        </w:rPr>
        <w:t>information provided by general insurers to APRA under the reporting standards listed in Appendix</w:t>
      </w:r>
      <w:r w:rsidR="00EE0CA4">
        <w:rPr>
          <w:szCs w:val="24"/>
        </w:rPr>
        <w:t xml:space="preserve"> A</w:t>
      </w:r>
      <w:r>
        <w:rPr>
          <w:szCs w:val="24"/>
        </w:rPr>
        <w:t xml:space="preserve">. </w:t>
      </w:r>
      <w:r w:rsidR="00F82024">
        <w:rPr>
          <w:szCs w:val="24"/>
        </w:rPr>
        <w:t xml:space="preserve">This </w:t>
      </w:r>
      <w:r>
        <w:rPr>
          <w:szCs w:val="24"/>
        </w:rPr>
        <w:t>information will be of use to regulators, policymakers, industry, researchers,</w:t>
      </w:r>
      <w:r w:rsidR="00EE0CA4">
        <w:rPr>
          <w:szCs w:val="24"/>
        </w:rPr>
        <w:t xml:space="preserve"> and</w:t>
      </w:r>
      <w:r>
        <w:rPr>
          <w:szCs w:val="24"/>
        </w:rPr>
        <w:t xml:space="preserve"> analysts.</w:t>
      </w:r>
    </w:p>
    <w:p w:rsidR="00223069" w:rsidRPr="0030580F" w:rsidRDefault="00223069" w:rsidP="00776F3F">
      <w:pPr>
        <w:pStyle w:val="BodyText"/>
        <w:numPr>
          <w:ilvl w:val="0"/>
          <w:numId w:val="4"/>
        </w:numPr>
        <w:rPr>
          <w:b/>
          <w:szCs w:val="24"/>
        </w:rPr>
      </w:pPr>
      <w:r>
        <w:rPr>
          <w:b/>
          <w:szCs w:val="24"/>
        </w:rPr>
        <w:t>Legislative b</w:t>
      </w:r>
      <w:r w:rsidRPr="0030580F">
        <w:rPr>
          <w:b/>
          <w:szCs w:val="24"/>
        </w:rPr>
        <w:t>ackground</w:t>
      </w:r>
      <w:bookmarkStart w:id="0" w:name="_GoBack"/>
      <w:bookmarkEnd w:id="0"/>
    </w:p>
    <w:p w:rsidR="00223069" w:rsidRPr="0030580F" w:rsidRDefault="00223069" w:rsidP="001E78E1">
      <w:pPr>
        <w:pStyle w:val="BodyText"/>
        <w:rPr>
          <w:szCs w:val="24"/>
        </w:rPr>
      </w:pPr>
      <w:r w:rsidRPr="0030580F">
        <w:rPr>
          <w:szCs w:val="24"/>
        </w:rPr>
        <w:t>Subsection 56(5C) of the</w:t>
      </w:r>
      <w:r w:rsidR="0071588A">
        <w:rPr>
          <w:szCs w:val="24"/>
        </w:rPr>
        <w:t xml:space="preserve"> </w:t>
      </w:r>
      <w:r w:rsidR="0071588A">
        <w:rPr>
          <w:i/>
          <w:szCs w:val="24"/>
        </w:rPr>
        <w:t>Australian Prudential Regulation Authority Act 1998</w:t>
      </w:r>
      <w:r w:rsidRPr="0030580F">
        <w:rPr>
          <w:szCs w:val="24"/>
        </w:rPr>
        <w:t xml:space="preserve"> </w:t>
      </w:r>
      <w:r w:rsidR="0071588A">
        <w:rPr>
          <w:szCs w:val="24"/>
        </w:rPr>
        <w:t>(</w:t>
      </w:r>
      <w:r w:rsidRPr="0030580F">
        <w:rPr>
          <w:szCs w:val="24"/>
        </w:rPr>
        <w:t>APRA Act</w:t>
      </w:r>
      <w:r w:rsidR="0071588A">
        <w:rPr>
          <w:szCs w:val="24"/>
        </w:rPr>
        <w:t>)</w:t>
      </w:r>
      <w:r w:rsidRPr="0030580F">
        <w:rPr>
          <w:szCs w:val="24"/>
        </w:rPr>
        <w:t xml:space="preserve"> provides that it is not an offence against s</w:t>
      </w:r>
      <w:r w:rsidR="00AA3E16">
        <w:rPr>
          <w:szCs w:val="24"/>
        </w:rPr>
        <w:t>ection</w:t>
      </w:r>
      <w:r w:rsidRPr="0030580F">
        <w:rPr>
          <w:szCs w:val="24"/>
        </w:rPr>
        <w:t xml:space="preserve"> 56(2) of that Act to disclose information in a reporting document given to APRA under s</w:t>
      </w:r>
      <w:r w:rsidR="00AA3E16">
        <w:rPr>
          <w:szCs w:val="24"/>
        </w:rPr>
        <w:t>ection</w:t>
      </w:r>
      <w:r w:rsidRPr="0030580F">
        <w:rPr>
          <w:szCs w:val="24"/>
        </w:rPr>
        <w:t xml:space="preserve"> 13 of the </w:t>
      </w:r>
      <w:r w:rsidRPr="0030580F">
        <w:rPr>
          <w:i/>
          <w:szCs w:val="24"/>
        </w:rPr>
        <w:t>Financial Sector (Collection of Data) Act 2001</w:t>
      </w:r>
      <w:r w:rsidRPr="0030580F">
        <w:rPr>
          <w:szCs w:val="24"/>
        </w:rPr>
        <w:t xml:space="preserve"> </w:t>
      </w:r>
      <w:r>
        <w:rPr>
          <w:szCs w:val="24"/>
        </w:rPr>
        <w:t>(</w:t>
      </w:r>
      <w:r w:rsidR="0071588A">
        <w:rPr>
          <w:szCs w:val="24"/>
        </w:rPr>
        <w:t>FSCOD Act</w:t>
      </w:r>
      <w:r>
        <w:rPr>
          <w:szCs w:val="24"/>
        </w:rPr>
        <w:t xml:space="preserve">) </w:t>
      </w:r>
      <w:r w:rsidRPr="0030580F">
        <w:rPr>
          <w:szCs w:val="24"/>
        </w:rPr>
        <w:t>where APRA has determined, under s</w:t>
      </w:r>
      <w:r w:rsidR="00AA3E16">
        <w:rPr>
          <w:szCs w:val="24"/>
        </w:rPr>
        <w:t>ection</w:t>
      </w:r>
      <w:r w:rsidRPr="0030580F">
        <w:rPr>
          <w:szCs w:val="24"/>
        </w:rPr>
        <w:t xml:space="preserve"> 57</w:t>
      </w:r>
      <w:r w:rsidR="00AA3E16">
        <w:rPr>
          <w:szCs w:val="24"/>
        </w:rPr>
        <w:t xml:space="preserve"> of the APRA Act</w:t>
      </w:r>
      <w:r w:rsidRPr="0030580F">
        <w:rPr>
          <w:szCs w:val="24"/>
        </w:rPr>
        <w:t xml:space="preserve">, that the document does not contain confidential information. </w:t>
      </w:r>
    </w:p>
    <w:p w:rsidR="00223069" w:rsidRDefault="00223069" w:rsidP="001E78E1">
      <w:pPr>
        <w:pStyle w:val="BodyText"/>
        <w:rPr>
          <w:szCs w:val="24"/>
        </w:rPr>
      </w:pPr>
      <w:r w:rsidRPr="0030580F">
        <w:rPr>
          <w:szCs w:val="24"/>
        </w:rPr>
        <w:t>Section 57 of the APRA Act gives APRA power to determine whether a document given under s</w:t>
      </w:r>
      <w:r w:rsidR="00AA3E16">
        <w:rPr>
          <w:szCs w:val="24"/>
        </w:rPr>
        <w:t>ection</w:t>
      </w:r>
      <w:r w:rsidRPr="0030580F">
        <w:rPr>
          <w:szCs w:val="24"/>
        </w:rPr>
        <w:t xml:space="preserve"> 13 of the </w:t>
      </w:r>
      <w:r w:rsidR="0071588A">
        <w:rPr>
          <w:szCs w:val="24"/>
        </w:rPr>
        <w:t xml:space="preserve">FSCOD </w:t>
      </w:r>
      <w:r w:rsidRPr="0030580F">
        <w:rPr>
          <w:szCs w:val="24"/>
        </w:rPr>
        <w:t xml:space="preserve">Act contains confidential information.  The section provides that before </w:t>
      </w:r>
      <w:r w:rsidR="00FB6DDD">
        <w:rPr>
          <w:szCs w:val="24"/>
        </w:rPr>
        <w:t xml:space="preserve">making such a determination, </w:t>
      </w:r>
      <w:r w:rsidRPr="0030580F">
        <w:rPr>
          <w:szCs w:val="24"/>
        </w:rPr>
        <w:t>APRA must give relevant entities or bodies, or their representative association</w:t>
      </w:r>
      <w:r w:rsidR="005535F8">
        <w:rPr>
          <w:szCs w:val="24"/>
        </w:rPr>
        <w:t>s</w:t>
      </w:r>
      <w:r w:rsidRPr="0030580F">
        <w:rPr>
          <w:szCs w:val="24"/>
        </w:rPr>
        <w:t xml:space="preserve">, a reasonable opportunity to make representations as to whether information of the kind contained in the document is confidential, and take such </w:t>
      </w:r>
      <w:r>
        <w:rPr>
          <w:szCs w:val="24"/>
        </w:rPr>
        <w:t>representations into account.  The c</w:t>
      </w:r>
      <w:r w:rsidRPr="0030580F">
        <w:rPr>
          <w:szCs w:val="24"/>
        </w:rPr>
        <w:t>onsultation</w:t>
      </w:r>
      <w:r>
        <w:rPr>
          <w:szCs w:val="24"/>
        </w:rPr>
        <w:t xml:space="preserve"> undertaken is discussed below.</w:t>
      </w:r>
      <w:r w:rsidRPr="0030580F">
        <w:rPr>
          <w:szCs w:val="24"/>
        </w:rPr>
        <w:t xml:space="preserve"> </w:t>
      </w:r>
    </w:p>
    <w:p w:rsidR="00223069" w:rsidRPr="0030580F" w:rsidRDefault="00223069" w:rsidP="00776F3F">
      <w:pPr>
        <w:pStyle w:val="BodyText"/>
        <w:numPr>
          <w:ilvl w:val="0"/>
          <w:numId w:val="4"/>
        </w:numPr>
        <w:rPr>
          <w:szCs w:val="24"/>
        </w:rPr>
      </w:pPr>
      <w:r w:rsidRPr="0030580F">
        <w:rPr>
          <w:b/>
          <w:szCs w:val="24"/>
        </w:rPr>
        <w:t>Information covered by the determination</w:t>
      </w:r>
      <w:r w:rsidRPr="0030580F">
        <w:rPr>
          <w:szCs w:val="24"/>
        </w:rPr>
        <w:t xml:space="preserve">  </w:t>
      </w:r>
    </w:p>
    <w:p w:rsidR="00811403" w:rsidRDefault="00223069" w:rsidP="009314E2">
      <w:pPr>
        <w:pStyle w:val="BodyText"/>
        <w:rPr>
          <w:color w:val="000000"/>
          <w:szCs w:val="24"/>
        </w:rPr>
      </w:pPr>
      <w:r w:rsidRPr="00AD03E9">
        <w:rPr>
          <w:szCs w:val="24"/>
        </w:rPr>
        <w:t>Th</w:t>
      </w:r>
      <w:r w:rsidR="0071588A" w:rsidRPr="00AD03E9">
        <w:rPr>
          <w:szCs w:val="24"/>
        </w:rPr>
        <w:t>e</w:t>
      </w:r>
      <w:r w:rsidRPr="00AD03E9">
        <w:rPr>
          <w:szCs w:val="24"/>
        </w:rPr>
        <w:t xml:space="preserve"> </w:t>
      </w:r>
      <w:r w:rsidR="005535F8">
        <w:rPr>
          <w:szCs w:val="24"/>
        </w:rPr>
        <w:t>d</w:t>
      </w:r>
      <w:r w:rsidRPr="00AD03E9">
        <w:rPr>
          <w:szCs w:val="24"/>
        </w:rPr>
        <w:t>etermination provides that</w:t>
      </w:r>
      <w:r w:rsidR="004C2C2D">
        <w:rPr>
          <w:szCs w:val="24"/>
        </w:rPr>
        <w:t xml:space="preserve"> certain</w:t>
      </w:r>
      <w:r w:rsidRPr="00AD03E9">
        <w:rPr>
          <w:szCs w:val="24"/>
        </w:rPr>
        <w:t xml:space="preserve"> </w:t>
      </w:r>
      <w:r w:rsidR="00123680">
        <w:rPr>
          <w:szCs w:val="24"/>
        </w:rPr>
        <w:t xml:space="preserve">annual </w:t>
      </w:r>
      <w:r w:rsidRPr="00AD03E9">
        <w:rPr>
          <w:szCs w:val="24"/>
        </w:rPr>
        <w:t xml:space="preserve">information given to APRA under the reporting standards listed in </w:t>
      </w:r>
      <w:r w:rsidRPr="00BF1250">
        <w:rPr>
          <w:szCs w:val="24"/>
        </w:rPr>
        <w:t>Appendix A</w:t>
      </w:r>
      <w:r w:rsidRPr="00AD03E9">
        <w:rPr>
          <w:szCs w:val="24"/>
        </w:rPr>
        <w:t xml:space="preserve"> is non-confidential.</w:t>
      </w:r>
      <w:r w:rsidR="004C6C9C">
        <w:rPr>
          <w:szCs w:val="24"/>
        </w:rPr>
        <w:t xml:space="preserve"> The reporting standards in Appendix A were made under section 13 of the FSCOD Act.</w:t>
      </w:r>
      <w:r w:rsidRPr="00776F3F">
        <w:rPr>
          <w:sz w:val="22"/>
          <w:szCs w:val="24"/>
        </w:rPr>
        <w:t xml:space="preserve"> </w:t>
      </w:r>
      <w:r w:rsidRPr="00AD03E9">
        <w:rPr>
          <w:szCs w:val="24"/>
        </w:rPr>
        <w:t>Th</w:t>
      </w:r>
      <w:r w:rsidR="0071588A" w:rsidRPr="00AD03E9">
        <w:rPr>
          <w:szCs w:val="24"/>
        </w:rPr>
        <w:t>e</w:t>
      </w:r>
      <w:r w:rsidRPr="00AD03E9">
        <w:rPr>
          <w:szCs w:val="24"/>
        </w:rPr>
        <w:t xml:space="preserve"> </w:t>
      </w:r>
      <w:r w:rsidR="005535F8">
        <w:rPr>
          <w:szCs w:val="24"/>
        </w:rPr>
        <w:t>d</w:t>
      </w:r>
      <w:r w:rsidRPr="00AD03E9">
        <w:rPr>
          <w:szCs w:val="24"/>
        </w:rPr>
        <w:t>etermination applies to</w:t>
      </w:r>
      <w:r w:rsidR="00DF3EFB">
        <w:rPr>
          <w:szCs w:val="24"/>
        </w:rPr>
        <w:t xml:space="preserve"> </w:t>
      </w:r>
      <w:r w:rsidR="00C868CA">
        <w:rPr>
          <w:szCs w:val="24"/>
        </w:rPr>
        <w:t xml:space="preserve">annual </w:t>
      </w:r>
      <w:r w:rsidR="00DF3EFB">
        <w:rPr>
          <w:szCs w:val="24"/>
        </w:rPr>
        <w:t>information given to APRA by</w:t>
      </w:r>
      <w:r w:rsidRPr="00AD03E9">
        <w:rPr>
          <w:szCs w:val="24"/>
        </w:rPr>
        <w:t xml:space="preserve"> all </w:t>
      </w:r>
      <w:r w:rsidRPr="00AD03E9">
        <w:rPr>
          <w:color w:val="000000"/>
          <w:szCs w:val="24"/>
        </w:rPr>
        <w:t>general insurers</w:t>
      </w:r>
      <w:r w:rsidR="004C2C2D">
        <w:rPr>
          <w:color w:val="000000"/>
          <w:szCs w:val="24"/>
        </w:rPr>
        <w:t xml:space="preserve"> (</w:t>
      </w:r>
      <w:r w:rsidRPr="00AD03E9">
        <w:rPr>
          <w:color w:val="000000"/>
          <w:szCs w:val="24"/>
        </w:rPr>
        <w:t>including foreign general insurers operating in Australia through branch operations</w:t>
      </w:r>
      <w:r w:rsidR="004C2C2D">
        <w:rPr>
          <w:color w:val="000000"/>
          <w:szCs w:val="24"/>
        </w:rPr>
        <w:t xml:space="preserve">), and parent entities of Level 2 insurance groups.  </w:t>
      </w:r>
    </w:p>
    <w:p w:rsidR="00223069" w:rsidRPr="0030580F" w:rsidRDefault="00223069" w:rsidP="00776F3F">
      <w:pPr>
        <w:pStyle w:val="BodyText"/>
        <w:numPr>
          <w:ilvl w:val="0"/>
          <w:numId w:val="4"/>
        </w:numPr>
        <w:spacing w:after="0"/>
        <w:rPr>
          <w:b/>
          <w:color w:val="000000"/>
          <w:szCs w:val="24"/>
        </w:rPr>
      </w:pPr>
      <w:r w:rsidRPr="0030580F">
        <w:rPr>
          <w:b/>
          <w:color w:val="000000"/>
          <w:szCs w:val="24"/>
        </w:rPr>
        <w:lastRenderedPageBreak/>
        <w:t>Consultation</w:t>
      </w:r>
    </w:p>
    <w:p w:rsidR="00223069" w:rsidRPr="0030580F" w:rsidRDefault="00223069" w:rsidP="001E78E1">
      <w:pPr>
        <w:pStyle w:val="BodyText"/>
        <w:spacing w:after="0"/>
        <w:rPr>
          <w:color w:val="000000"/>
          <w:szCs w:val="24"/>
        </w:rPr>
      </w:pPr>
    </w:p>
    <w:p w:rsidR="00223069" w:rsidRDefault="00223069" w:rsidP="001E78E1">
      <w:pPr>
        <w:pStyle w:val="BodyText"/>
        <w:spacing w:after="0"/>
        <w:rPr>
          <w:color w:val="000000"/>
          <w:szCs w:val="24"/>
        </w:rPr>
      </w:pPr>
      <w:r>
        <w:rPr>
          <w:color w:val="000000"/>
          <w:szCs w:val="24"/>
        </w:rPr>
        <w:t>In accordance with</w:t>
      </w:r>
      <w:r w:rsidR="00AA3E16">
        <w:rPr>
          <w:color w:val="000000"/>
          <w:szCs w:val="24"/>
        </w:rPr>
        <w:t xml:space="preserve"> the requirements for consultation under</w:t>
      </w:r>
      <w:r>
        <w:rPr>
          <w:color w:val="000000"/>
          <w:szCs w:val="24"/>
        </w:rPr>
        <w:t xml:space="preserve"> s</w:t>
      </w:r>
      <w:r w:rsidR="00AA3E16">
        <w:rPr>
          <w:color w:val="000000"/>
          <w:szCs w:val="24"/>
        </w:rPr>
        <w:t>ection</w:t>
      </w:r>
      <w:r>
        <w:rPr>
          <w:color w:val="000000"/>
          <w:szCs w:val="24"/>
        </w:rPr>
        <w:t xml:space="preserve"> 57</w:t>
      </w:r>
      <w:r w:rsidR="00AA3E16">
        <w:rPr>
          <w:color w:val="000000"/>
          <w:szCs w:val="24"/>
        </w:rPr>
        <w:t xml:space="preserve"> of the APRA Act</w:t>
      </w:r>
      <w:r>
        <w:rPr>
          <w:color w:val="000000"/>
          <w:szCs w:val="24"/>
        </w:rPr>
        <w:t>, APRA released a discussion paper on 22 February 2013 that proposed that all general insurance data</w:t>
      </w:r>
      <w:r w:rsidR="00146202">
        <w:rPr>
          <w:rStyle w:val="FootnoteReference"/>
          <w:color w:val="000000"/>
          <w:szCs w:val="24"/>
        </w:rPr>
        <w:footnoteReference w:id="1"/>
      </w:r>
      <w:r>
        <w:rPr>
          <w:color w:val="000000"/>
          <w:szCs w:val="24"/>
        </w:rPr>
        <w:t xml:space="preserve"> be determined non-confidential, as well as proposals to change </w:t>
      </w:r>
      <w:r w:rsidR="00AA3E16">
        <w:rPr>
          <w:color w:val="000000"/>
          <w:szCs w:val="24"/>
        </w:rPr>
        <w:t>APRA’s</w:t>
      </w:r>
      <w:r>
        <w:rPr>
          <w:color w:val="000000"/>
          <w:szCs w:val="24"/>
        </w:rPr>
        <w:t xml:space="preserve"> statistical publications. The discussion paper provided all affected entities an opportunity to make representations on the proposed determination. The consultation period ended on 5 April 2013. APRA also invited some affected entities to make additional representations to clarify their submissions in response to the discussion paper, particularly in relation to proposed disclosures </w:t>
      </w:r>
      <w:r w:rsidR="00AA3E16">
        <w:rPr>
          <w:color w:val="000000"/>
          <w:szCs w:val="24"/>
        </w:rPr>
        <w:t>of</w:t>
      </w:r>
      <w:r>
        <w:rPr>
          <w:color w:val="000000"/>
          <w:szCs w:val="24"/>
        </w:rPr>
        <w:t xml:space="preserve"> institution-level publications. </w:t>
      </w:r>
    </w:p>
    <w:p w:rsidR="00223069" w:rsidRDefault="00223069" w:rsidP="001E78E1">
      <w:pPr>
        <w:pStyle w:val="BodyText"/>
        <w:spacing w:after="0"/>
        <w:rPr>
          <w:color w:val="000000"/>
          <w:szCs w:val="24"/>
        </w:rPr>
      </w:pPr>
    </w:p>
    <w:p w:rsidR="00223069" w:rsidRDefault="00223069" w:rsidP="001E78E1">
      <w:pPr>
        <w:pStyle w:val="BodyText"/>
        <w:spacing w:after="0"/>
        <w:rPr>
          <w:color w:val="000000"/>
          <w:szCs w:val="24"/>
        </w:rPr>
      </w:pPr>
      <w:r>
        <w:rPr>
          <w:color w:val="000000"/>
          <w:szCs w:val="24"/>
        </w:rPr>
        <w:t xml:space="preserve">APRA received submissions from seven entities and representative associations during the consultation. </w:t>
      </w:r>
      <w:r w:rsidRPr="00DD2606">
        <w:rPr>
          <w:color w:val="000000"/>
          <w:szCs w:val="24"/>
        </w:rPr>
        <w:t xml:space="preserve">These submissions supported the proposed general insurance publications, and supported the principles behind the proposals to make general insurance data non-confidential. However, some </w:t>
      </w:r>
      <w:r>
        <w:rPr>
          <w:color w:val="000000"/>
          <w:szCs w:val="24"/>
        </w:rPr>
        <w:t xml:space="preserve">submissions </w:t>
      </w:r>
      <w:r w:rsidRPr="00DD2606">
        <w:rPr>
          <w:color w:val="000000"/>
          <w:szCs w:val="24"/>
        </w:rPr>
        <w:t xml:space="preserve">suggested that making all data non-confidential would </w:t>
      </w:r>
      <w:r w:rsidR="00AA3E16">
        <w:rPr>
          <w:color w:val="000000"/>
          <w:szCs w:val="24"/>
        </w:rPr>
        <w:t xml:space="preserve">be </w:t>
      </w:r>
      <w:r w:rsidRPr="00DD2606">
        <w:rPr>
          <w:color w:val="000000"/>
          <w:szCs w:val="24"/>
        </w:rPr>
        <w:t>detriment</w:t>
      </w:r>
      <w:r w:rsidR="00AA3E16">
        <w:rPr>
          <w:color w:val="000000"/>
          <w:szCs w:val="24"/>
        </w:rPr>
        <w:t>al</w:t>
      </w:r>
      <w:r w:rsidRPr="00DD2606">
        <w:rPr>
          <w:color w:val="000000"/>
          <w:szCs w:val="24"/>
        </w:rPr>
        <w:t xml:space="preserve"> to</w:t>
      </w:r>
      <w:r w:rsidR="00AA3E16">
        <w:rPr>
          <w:color w:val="000000"/>
          <w:szCs w:val="24"/>
        </w:rPr>
        <w:t xml:space="preserve"> the</w:t>
      </w:r>
      <w:r w:rsidRPr="00DD2606">
        <w:rPr>
          <w:color w:val="000000"/>
          <w:szCs w:val="24"/>
        </w:rPr>
        <w:t xml:space="preserve"> commercial interests</w:t>
      </w:r>
      <w:r w:rsidR="00AA3E16">
        <w:rPr>
          <w:color w:val="000000"/>
          <w:szCs w:val="24"/>
        </w:rPr>
        <w:t xml:space="preserve"> of general insurers</w:t>
      </w:r>
      <w:r w:rsidR="0045584C">
        <w:rPr>
          <w:color w:val="000000"/>
          <w:szCs w:val="24"/>
        </w:rPr>
        <w:t>,</w:t>
      </w:r>
      <w:r w:rsidRPr="00DD2606">
        <w:rPr>
          <w:color w:val="000000"/>
          <w:szCs w:val="24"/>
        </w:rPr>
        <w:t xml:space="preserve"> particularly </w:t>
      </w:r>
      <w:r w:rsidR="00AB7C18">
        <w:rPr>
          <w:color w:val="000000"/>
          <w:szCs w:val="24"/>
        </w:rPr>
        <w:t xml:space="preserve">class of </w:t>
      </w:r>
      <w:r w:rsidRPr="00DD2606">
        <w:rPr>
          <w:color w:val="000000"/>
          <w:szCs w:val="24"/>
        </w:rPr>
        <w:t>business level</w:t>
      </w:r>
      <w:r w:rsidR="0045584C">
        <w:rPr>
          <w:color w:val="000000"/>
          <w:szCs w:val="24"/>
        </w:rPr>
        <w:t xml:space="preserve"> data and</w:t>
      </w:r>
      <w:r w:rsidRPr="00DD2606">
        <w:rPr>
          <w:color w:val="000000"/>
          <w:szCs w:val="24"/>
        </w:rPr>
        <w:t xml:space="preserve"> information relating to individual counterparties.</w:t>
      </w:r>
    </w:p>
    <w:p w:rsidR="00223069" w:rsidRDefault="00223069" w:rsidP="001E78E1">
      <w:pPr>
        <w:pStyle w:val="BodyText"/>
        <w:spacing w:after="0"/>
        <w:rPr>
          <w:color w:val="000000"/>
          <w:szCs w:val="24"/>
        </w:rPr>
      </w:pPr>
    </w:p>
    <w:p w:rsidR="00223069" w:rsidRDefault="00146202" w:rsidP="00816A29">
      <w:pPr>
        <w:pStyle w:val="BodyText"/>
        <w:spacing w:after="0"/>
        <w:rPr>
          <w:szCs w:val="24"/>
        </w:rPr>
      </w:pPr>
      <w:r>
        <w:rPr>
          <w:color w:val="000000"/>
          <w:szCs w:val="24"/>
        </w:rPr>
        <w:t xml:space="preserve">As a result, </w:t>
      </w:r>
      <w:r w:rsidR="00223069">
        <w:rPr>
          <w:color w:val="000000"/>
          <w:szCs w:val="24"/>
        </w:rPr>
        <w:t>APRA</w:t>
      </w:r>
      <w:r w:rsidR="0045584C">
        <w:rPr>
          <w:color w:val="000000"/>
          <w:szCs w:val="24"/>
        </w:rPr>
        <w:t xml:space="preserve"> </w:t>
      </w:r>
      <w:r w:rsidR="00223069">
        <w:rPr>
          <w:color w:val="000000"/>
          <w:szCs w:val="24"/>
        </w:rPr>
        <w:t>revised the</w:t>
      </w:r>
      <w:r w:rsidR="0045584C">
        <w:rPr>
          <w:color w:val="000000"/>
          <w:szCs w:val="24"/>
        </w:rPr>
        <w:t xml:space="preserve"> </w:t>
      </w:r>
      <w:r w:rsidR="00223069">
        <w:rPr>
          <w:color w:val="000000"/>
          <w:szCs w:val="24"/>
        </w:rPr>
        <w:t xml:space="preserve">proposed determination and only included information that entities and representative associations suggested </w:t>
      </w:r>
      <w:r w:rsidR="007D1817">
        <w:rPr>
          <w:color w:val="000000"/>
          <w:szCs w:val="24"/>
        </w:rPr>
        <w:t xml:space="preserve">to date </w:t>
      </w:r>
      <w:r w:rsidR="00223069">
        <w:rPr>
          <w:color w:val="000000"/>
          <w:szCs w:val="24"/>
        </w:rPr>
        <w:t xml:space="preserve">would not </w:t>
      </w:r>
      <w:r w:rsidR="0045584C">
        <w:rPr>
          <w:color w:val="000000"/>
          <w:szCs w:val="24"/>
        </w:rPr>
        <w:t xml:space="preserve">be detrimental to their </w:t>
      </w:r>
      <w:r w:rsidR="00223069">
        <w:rPr>
          <w:color w:val="000000"/>
          <w:szCs w:val="24"/>
        </w:rPr>
        <w:t>commercial interests. Further consultation was</w:t>
      </w:r>
      <w:r w:rsidR="00AB7C18">
        <w:rPr>
          <w:color w:val="000000"/>
          <w:szCs w:val="24"/>
        </w:rPr>
        <w:t xml:space="preserve"> then</w:t>
      </w:r>
      <w:r w:rsidR="00223069">
        <w:rPr>
          <w:color w:val="000000"/>
          <w:szCs w:val="24"/>
        </w:rPr>
        <w:t xml:space="preserve"> held in relation to the revised proposed determination </w:t>
      </w:r>
      <w:r w:rsidR="00223069">
        <w:rPr>
          <w:szCs w:val="24"/>
        </w:rPr>
        <w:t xml:space="preserve">with </w:t>
      </w:r>
      <w:r w:rsidR="00223069">
        <w:rPr>
          <w:color w:val="000000"/>
          <w:szCs w:val="24"/>
        </w:rPr>
        <w:t>representative associations and their members</w:t>
      </w:r>
      <w:r>
        <w:rPr>
          <w:szCs w:val="24"/>
        </w:rPr>
        <w:t>.</w:t>
      </w:r>
    </w:p>
    <w:p w:rsidR="00A92E70" w:rsidRDefault="00A92E70" w:rsidP="001E78E1">
      <w:pPr>
        <w:pStyle w:val="BodyText"/>
        <w:spacing w:after="0"/>
        <w:rPr>
          <w:color w:val="000000"/>
          <w:szCs w:val="24"/>
        </w:rPr>
      </w:pPr>
    </w:p>
    <w:p w:rsidR="00A92E70" w:rsidRDefault="00A92E70" w:rsidP="001E78E1">
      <w:pPr>
        <w:pStyle w:val="BodyText"/>
        <w:spacing w:after="0"/>
        <w:rPr>
          <w:color w:val="000000"/>
          <w:szCs w:val="24"/>
        </w:rPr>
      </w:pPr>
      <w:r>
        <w:rPr>
          <w:color w:val="000000"/>
          <w:szCs w:val="24"/>
        </w:rPr>
        <w:t>APRA intends to further consult with entities and representative associations on other general insurance data that is collected under the FSCOD Ac</w:t>
      </w:r>
      <w:r w:rsidR="00C857CB">
        <w:rPr>
          <w:color w:val="000000"/>
          <w:szCs w:val="24"/>
        </w:rPr>
        <w:t>t that is not included in this d</w:t>
      </w:r>
      <w:r>
        <w:rPr>
          <w:color w:val="000000"/>
          <w:szCs w:val="24"/>
        </w:rPr>
        <w:t xml:space="preserve">etermination. </w:t>
      </w:r>
    </w:p>
    <w:p w:rsidR="004C6C9C" w:rsidRDefault="004C6C9C" w:rsidP="001E78E1">
      <w:pPr>
        <w:pStyle w:val="BodyText"/>
        <w:spacing w:after="0"/>
        <w:rPr>
          <w:color w:val="000000"/>
          <w:szCs w:val="24"/>
        </w:rPr>
      </w:pPr>
    </w:p>
    <w:p w:rsidR="00223069" w:rsidRDefault="00223069" w:rsidP="001E78E1">
      <w:pPr>
        <w:pStyle w:val="BodyText"/>
        <w:spacing w:after="0"/>
        <w:rPr>
          <w:color w:val="000000"/>
          <w:szCs w:val="24"/>
        </w:rPr>
      </w:pPr>
      <w:r w:rsidRPr="0092442A">
        <w:rPr>
          <w:color w:val="000000"/>
          <w:szCs w:val="24"/>
        </w:rPr>
        <w:t>APRA considers, after taking affected entities’ representations into account</w:t>
      </w:r>
      <w:r w:rsidR="00FE6A9E">
        <w:rPr>
          <w:color w:val="000000"/>
          <w:szCs w:val="24"/>
        </w:rPr>
        <w:t xml:space="preserve"> </w:t>
      </w:r>
      <w:r w:rsidR="00607313">
        <w:rPr>
          <w:color w:val="000000"/>
          <w:szCs w:val="24"/>
        </w:rPr>
        <w:t>that</w:t>
      </w:r>
      <w:r w:rsidRPr="0092442A">
        <w:rPr>
          <w:color w:val="000000"/>
          <w:szCs w:val="24"/>
        </w:rPr>
        <w:t xml:space="preserve"> </w:t>
      </w:r>
      <w:r w:rsidRPr="0090681C">
        <w:rPr>
          <w:color w:val="000000"/>
          <w:szCs w:val="24"/>
        </w:rPr>
        <w:t>the</w:t>
      </w:r>
      <w:r w:rsidR="00445AE1">
        <w:rPr>
          <w:color w:val="000000"/>
          <w:szCs w:val="24"/>
        </w:rPr>
        <w:t xml:space="preserve">re is a strong public interest in the publication of the information </w:t>
      </w:r>
      <w:r>
        <w:rPr>
          <w:color w:val="000000"/>
          <w:szCs w:val="24"/>
        </w:rPr>
        <w:t>in th</w:t>
      </w:r>
      <w:r w:rsidR="0071588A">
        <w:rPr>
          <w:color w:val="000000"/>
          <w:szCs w:val="24"/>
        </w:rPr>
        <w:t>e</w:t>
      </w:r>
      <w:r>
        <w:rPr>
          <w:color w:val="000000"/>
          <w:szCs w:val="24"/>
        </w:rPr>
        <w:t xml:space="preserve"> </w:t>
      </w:r>
      <w:r w:rsidR="00C857CB">
        <w:rPr>
          <w:color w:val="000000"/>
          <w:szCs w:val="24"/>
        </w:rPr>
        <w:t>d</w:t>
      </w:r>
      <w:r>
        <w:rPr>
          <w:color w:val="000000"/>
          <w:szCs w:val="24"/>
        </w:rPr>
        <w:t>etermination</w:t>
      </w:r>
      <w:r w:rsidR="00445AE1">
        <w:rPr>
          <w:color w:val="000000"/>
          <w:szCs w:val="24"/>
        </w:rPr>
        <w:t>, and this</w:t>
      </w:r>
      <w:r>
        <w:rPr>
          <w:color w:val="000000"/>
          <w:szCs w:val="24"/>
        </w:rPr>
        <w:t xml:space="preserve"> </w:t>
      </w:r>
      <w:r w:rsidRPr="0090681C">
        <w:rPr>
          <w:color w:val="000000"/>
          <w:szCs w:val="24"/>
        </w:rPr>
        <w:t xml:space="preserve">outweighs any </w:t>
      </w:r>
      <w:r w:rsidR="00607313">
        <w:rPr>
          <w:color w:val="000000"/>
          <w:szCs w:val="24"/>
        </w:rPr>
        <w:t>potential detrimental effect to the</w:t>
      </w:r>
      <w:r w:rsidRPr="0090681C">
        <w:rPr>
          <w:color w:val="000000"/>
          <w:szCs w:val="24"/>
        </w:rPr>
        <w:t xml:space="preserve"> commercial interests</w:t>
      </w:r>
      <w:r w:rsidR="00607313">
        <w:rPr>
          <w:color w:val="000000"/>
          <w:szCs w:val="24"/>
        </w:rPr>
        <w:t xml:space="preserve"> of general insurers. </w:t>
      </w:r>
    </w:p>
    <w:p w:rsidR="00223069" w:rsidRDefault="00223069" w:rsidP="001E78E1">
      <w:pPr>
        <w:pStyle w:val="BodyText"/>
        <w:spacing w:after="0"/>
        <w:rPr>
          <w:szCs w:val="24"/>
        </w:rPr>
      </w:pPr>
    </w:p>
    <w:p w:rsidR="00223069" w:rsidRPr="00776F3F" w:rsidRDefault="00223069" w:rsidP="00776F3F">
      <w:pPr>
        <w:pStyle w:val="ListParagraph"/>
        <w:numPr>
          <w:ilvl w:val="0"/>
          <w:numId w:val="4"/>
        </w:numPr>
        <w:autoSpaceDE w:val="0"/>
        <w:autoSpaceDN w:val="0"/>
        <w:adjustRightInd w:val="0"/>
        <w:rPr>
          <w:b/>
          <w:i/>
          <w:szCs w:val="24"/>
        </w:rPr>
      </w:pPr>
      <w:r w:rsidRPr="00776F3F">
        <w:rPr>
          <w:rFonts w:ascii="Times New Roman" w:hAnsi="Times New Roman"/>
          <w:b/>
          <w:sz w:val="24"/>
          <w:szCs w:val="24"/>
        </w:rPr>
        <w:t>Statement of compatibility with human rights prepared in accordance with</w:t>
      </w:r>
      <w:r w:rsidRPr="00776F3F">
        <w:rPr>
          <w:rFonts w:ascii="Times New Roman" w:hAnsi="Times New Roman"/>
          <w:i/>
          <w:sz w:val="24"/>
          <w:szCs w:val="24"/>
        </w:rPr>
        <w:t xml:space="preserve"> </w:t>
      </w:r>
      <w:r w:rsidRPr="00776F3F">
        <w:rPr>
          <w:rFonts w:ascii="Times New Roman" w:hAnsi="Times New Roman"/>
          <w:b/>
          <w:sz w:val="24"/>
          <w:szCs w:val="24"/>
        </w:rPr>
        <w:t>Part 3 of the</w:t>
      </w:r>
      <w:r w:rsidRPr="00776F3F">
        <w:rPr>
          <w:rFonts w:ascii="Times New Roman" w:hAnsi="Times New Roman"/>
          <w:b/>
          <w:i/>
          <w:sz w:val="24"/>
          <w:szCs w:val="24"/>
        </w:rPr>
        <w:t xml:space="preserve"> Human Rights (Parliamentary Scrutiny) Act 201</w:t>
      </w:r>
      <w:r w:rsidR="00607313">
        <w:rPr>
          <w:rFonts w:ascii="Times New Roman" w:hAnsi="Times New Roman"/>
          <w:b/>
          <w:i/>
          <w:sz w:val="24"/>
          <w:szCs w:val="24"/>
        </w:rPr>
        <w:t>1</w:t>
      </w:r>
    </w:p>
    <w:p w:rsidR="00223069" w:rsidRDefault="00223069" w:rsidP="001E78E1">
      <w:pPr>
        <w:pStyle w:val="BodyText"/>
        <w:spacing w:after="0"/>
        <w:rPr>
          <w:szCs w:val="24"/>
        </w:rPr>
      </w:pPr>
    </w:p>
    <w:p w:rsidR="00223069" w:rsidRDefault="00223069" w:rsidP="006B7429">
      <w:pPr>
        <w:autoSpaceDE w:val="0"/>
        <w:autoSpaceDN w:val="0"/>
        <w:adjustRightInd w:val="0"/>
        <w:jc w:val="both"/>
        <w:rPr>
          <w:szCs w:val="24"/>
        </w:rPr>
      </w:pPr>
      <w:r>
        <w:rPr>
          <w:szCs w:val="24"/>
        </w:rPr>
        <w:t xml:space="preserve">A Statement of Compatibility with Human Rights is Appendix </w:t>
      </w:r>
      <w:r w:rsidR="00607313">
        <w:rPr>
          <w:szCs w:val="24"/>
        </w:rPr>
        <w:t>B</w:t>
      </w:r>
      <w:r>
        <w:rPr>
          <w:szCs w:val="24"/>
        </w:rPr>
        <w:t xml:space="preserve"> to this Explanatory Statement.</w:t>
      </w:r>
    </w:p>
    <w:p w:rsidR="00223069" w:rsidRDefault="00223069" w:rsidP="006B7429">
      <w:pPr>
        <w:autoSpaceDE w:val="0"/>
        <w:autoSpaceDN w:val="0"/>
        <w:adjustRightInd w:val="0"/>
        <w:jc w:val="both"/>
        <w:rPr>
          <w:szCs w:val="24"/>
        </w:rPr>
      </w:pPr>
    </w:p>
    <w:p w:rsidR="00223069" w:rsidRPr="0030580F" w:rsidRDefault="00223069" w:rsidP="001E78E1">
      <w:pPr>
        <w:pStyle w:val="BodyText"/>
        <w:spacing w:after="0"/>
        <w:rPr>
          <w:color w:val="000000"/>
          <w:szCs w:val="24"/>
        </w:rPr>
      </w:pPr>
    </w:p>
    <w:p w:rsidR="00223069" w:rsidRPr="00D203C0" w:rsidRDefault="00223069" w:rsidP="001E78E1">
      <w:pPr>
        <w:rPr>
          <w:b/>
          <w:sz w:val="28"/>
          <w:szCs w:val="28"/>
        </w:rPr>
      </w:pPr>
      <w:r w:rsidRPr="0030580F">
        <w:rPr>
          <w:szCs w:val="24"/>
        </w:rPr>
        <w:br w:type="page"/>
      </w:r>
      <w:r w:rsidRPr="00D203C0">
        <w:rPr>
          <w:b/>
          <w:sz w:val="28"/>
          <w:szCs w:val="28"/>
        </w:rPr>
        <w:lastRenderedPageBreak/>
        <w:t>Appendix A</w:t>
      </w:r>
    </w:p>
    <w:p w:rsidR="00223069" w:rsidRDefault="00223069" w:rsidP="001E78E1">
      <w:pPr>
        <w:rPr>
          <w:rFonts w:ascii="Arial" w:hAnsi="Arial" w:cs="Arial"/>
          <w:b/>
          <w:sz w:val="28"/>
          <w:szCs w:val="28"/>
        </w:rPr>
      </w:pPr>
    </w:p>
    <w:p w:rsidR="00223069" w:rsidRDefault="00223069" w:rsidP="00701610">
      <w:r>
        <w:t xml:space="preserve">Determination No. </w:t>
      </w:r>
      <w:r w:rsidR="00AD03E9">
        <w:t>25 of 2013</w:t>
      </w:r>
      <w:r>
        <w:t xml:space="preserve"> covers the following reporting standards and data:</w:t>
      </w:r>
    </w:p>
    <w:p w:rsidR="00ED517C" w:rsidRPr="000A2229" w:rsidRDefault="00ED517C" w:rsidP="00ED517C">
      <w:pPr>
        <w:spacing w:before="14" w:line="200" w:lineRule="exact"/>
        <w:rPr>
          <w:rFonts w:asciiTheme="minorHAnsi" w:hAnsiTheme="minorHAnsi"/>
          <w:sz w:val="20"/>
        </w:rPr>
      </w:pPr>
    </w:p>
    <w:p w:rsidR="001E2EFE" w:rsidRPr="00497493" w:rsidRDefault="001E2EFE" w:rsidP="001E2EFE">
      <w:pPr>
        <w:spacing w:line="356" w:lineRule="exact"/>
        <w:ind w:left="100" w:right="2333"/>
        <w:rPr>
          <w:rFonts w:ascii="Arial" w:eastAsia="Arial" w:hAnsi="Arial" w:cs="Arial"/>
          <w:sz w:val="31"/>
          <w:szCs w:val="31"/>
        </w:rPr>
      </w:pPr>
      <w:r w:rsidRPr="00B204F5">
        <w:rPr>
          <w:rFonts w:ascii="Arial" w:eastAsia="Arial" w:hAnsi="Arial" w:cs="Arial"/>
          <w:b/>
          <w:bCs/>
          <w:spacing w:val="2"/>
          <w:sz w:val="31"/>
          <w:szCs w:val="31"/>
        </w:rPr>
        <w:t>Part 1 (</w:t>
      </w:r>
      <w:r>
        <w:rPr>
          <w:rFonts w:ascii="Arial" w:eastAsia="Arial" w:hAnsi="Arial" w:cs="Arial"/>
          <w:b/>
          <w:bCs/>
          <w:spacing w:val="2"/>
          <w:sz w:val="31"/>
          <w:szCs w:val="31"/>
        </w:rPr>
        <w:t>R</w:t>
      </w:r>
      <w:r w:rsidRPr="00B204F5">
        <w:rPr>
          <w:rFonts w:ascii="Arial" w:eastAsia="Arial" w:hAnsi="Arial" w:cs="Arial"/>
          <w:b/>
          <w:bCs/>
          <w:spacing w:val="2"/>
          <w:sz w:val="31"/>
          <w:szCs w:val="31"/>
        </w:rPr>
        <w:t>eporting documents covered by this determination)</w:t>
      </w:r>
    </w:p>
    <w:p w:rsidR="001E2EFE" w:rsidRDefault="001E2EFE" w:rsidP="001E2EFE">
      <w:pPr>
        <w:spacing w:line="200" w:lineRule="exact"/>
        <w:ind w:left="102" w:right="210"/>
        <w:rPr>
          <w:sz w:val="10"/>
          <w:szCs w:val="10"/>
        </w:rPr>
      </w:pPr>
    </w:p>
    <w:p w:rsidR="001E2EFE" w:rsidRPr="00B204F5" w:rsidRDefault="001E2EFE" w:rsidP="001E2EFE">
      <w:pPr>
        <w:spacing w:line="264" w:lineRule="exact"/>
        <w:ind w:left="100" w:right="211"/>
        <w:rPr>
          <w:szCs w:val="24"/>
        </w:rPr>
      </w:pPr>
      <w:r w:rsidRPr="00B204F5">
        <w:rPr>
          <w:szCs w:val="24"/>
        </w:rPr>
        <w:t xml:space="preserve">This determination applies to </w:t>
      </w:r>
      <w:r>
        <w:rPr>
          <w:szCs w:val="24"/>
        </w:rPr>
        <w:t xml:space="preserve">annual information in the </w:t>
      </w:r>
      <w:r w:rsidRPr="00B204F5">
        <w:rPr>
          <w:szCs w:val="24"/>
        </w:rPr>
        <w:t xml:space="preserve">reporting forms given to APRA by a general insurer under the following reporting standards, where a period of </w:t>
      </w:r>
      <w:r w:rsidRPr="00882707">
        <w:rPr>
          <w:szCs w:val="24"/>
        </w:rPr>
        <w:t>at least 14 days</w:t>
      </w:r>
      <w:r w:rsidRPr="00B204F5">
        <w:rPr>
          <w:szCs w:val="24"/>
        </w:rPr>
        <w:t xml:space="preserve"> has elapsed from the date the general insurer was required to provide the information required under the reporting standards in accordance with paragraph 5 of Reporting Standard GRS 001 Reporting Requirements:</w:t>
      </w:r>
    </w:p>
    <w:p w:rsidR="001E2EFE" w:rsidRPr="00B204F5" w:rsidRDefault="001E2EFE" w:rsidP="001E2EFE">
      <w:pPr>
        <w:spacing w:line="264" w:lineRule="exact"/>
        <w:ind w:left="100" w:right="211"/>
        <w:rPr>
          <w:szCs w:val="24"/>
        </w:rPr>
      </w:pPr>
    </w:p>
    <w:p w:rsidR="001E2EFE" w:rsidRPr="006A4D3B" w:rsidRDefault="001E2EFE" w:rsidP="001E2EFE">
      <w:pPr>
        <w:pStyle w:val="ListParagraph"/>
        <w:widowControl w:val="0"/>
        <w:numPr>
          <w:ilvl w:val="0"/>
          <w:numId w:val="5"/>
        </w:numPr>
        <w:spacing w:line="264" w:lineRule="exact"/>
        <w:ind w:right="211"/>
        <w:contextualSpacing/>
        <w:rPr>
          <w:rFonts w:ascii="Times New Roman" w:eastAsia="Times New Roman" w:hAnsi="Times New Roman"/>
          <w:b/>
          <w:sz w:val="24"/>
          <w:szCs w:val="24"/>
        </w:rPr>
      </w:pPr>
      <w:r w:rsidRPr="006A4D3B">
        <w:rPr>
          <w:rFonts w:ascii="Times New Roman" w:eastAsia="Times New Roman" w:hAnsi="Times New Roman"/>
          <w:b/>
          <w:sz w:val="24"/>
          <w:szCs w:val="24"/>
        </w:rPr>
        <w:t>New reporting standards which came into effect on 1 January 2013</w:t>
      </w:r>
    </w:p>
    <w:p w:rsidR="001E2EFE" w:rsidRDefault="001E2EFE" w:rsidP="001E2EFE">
      <w:pPr>
        <w:spacing w:line="264" w:lineRule="exact"/>
        <w:ind w:left="200" w:right="211"/>
        <w:rPr>
          <w:szCs w:val="24"/>
        </w:rPr>
      </w:pPr>
    </w:p>
    <w:p w:rsidR="001E2EFE" w:rsidRPr="006A4D3B" w:rsidRDefault="001E2EFE" w:rsidP="001E2EFE">
      <w:pPr>
        <w:pStyle w:val="ListParagraph"/>
        <w:widowControl w:val="0"/>
        <w:numPr>
          <w:ilvl w:val="0"/>
          <w:numId w:val="6"/>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 xml:space="preserve">Reporting Standard GRS 112.0 Determination of Capital Base </w:t>
      </w:r>
    </w:p>
    <w:p w:rsidR="001E2EFE" w:rsidRPr="006A4D3B" w:rsidRDefault="001E2EFE" w:rsidP="001E2EFE">
      <w:pPr>
        <w:pStyle w:val="ListParagraph"/>
        <w:widowControl w:val="0"/>
        <w:numPr>
          <w:ilvl w:val="0"/>
          <w:numId w:val="6"/>
        </w:numPr>
        <w:spacing w:after="200" w:line="276" w:lineRule="auto"/>
        <w:contextualSpacing/>
        <w:rPr>
          <w:rFonts w:ascii="Times New Roman" w:hAnsi="Times New Roman"/>
          <w:sz w:val="24"/>
          <w:szCs w:val="24"/>
        </w:rPr>
      </w:pPr>
      <w:r w:rsidRPr="006A4D3B">
        <w:rPr>
          <w:rFonts w:ascii="Times New Roman" w:hAnsi="Times New Roman"/>
          <w:sz w:val="24"/>
          <w:szCs w:val="24"/>
        </w:rPr>
        <w:t xml:space="preserve">Reporting Standard GRS 300.0 Statement of Financial Position </w:t>
      </w:r>
    </w:p>
    <w:p w:rsidR="001E2EFE" w:rsidRPr="002C1EE7" w:rsidRDefault="001E2EFE" w:rsidP="001E2EFE">
      <w:pPr>
        <w:pStyle w:val="ListParagraph"/>
        <w:widowControl w:val="0"/>
        <w:numPr>
          <w:ilvl w:val="0"/>
          <w:numId w:val="6"/>
        </w:numPr>
        <w:spacing w:after="200"/>
        <w:contextualSpacing/>
        <w:rPr>
          <w:rFonts w:ascii="Times New Roman" w:hAnsi="Times New Roman"/>
          <w:sz w:val="24"/>
          <w:szCs w:val="24"/>
        </w:rPr>
      </w:pPr>
      <w:r w:rsidRPr="002C1EE7">
        <w:rPr>
          <w:rFonts w:ascii="Times New Roman" w:hAnsi="Times New Roman"/>
          <w:sz w:val="24"/>
          <w:szCs w:val="24"/>
        </w:rPr>
        <w:t xml:space="preserve">Reporting Standard GRS 310.0 Income Statement </w:t>
      </w:r>
    </w:p>
    <w:p w:rsidR="001E2EFE" w:rsidRDefault="001E2EFE" w:rsidP="001E2EFE">
      <w:pPr>
        <w:spacing w:line="264" w:lineRule="exact"/>
        <w:ind w:left="100" w:right="211"/>
        <w:rPr>
          <w:szCs w:val="24"/>
        </w:rPr>
      </w:pPr>
      <w:r>
        <w:rPr>
          <w:szCs w:val="24"/>
        </w:rPr>
        <w:t>AND</w:t>
      </w:r>
    </w:p>
    <w:p w:rsidR="001E2EFE" w:rsidRDefault="001E2EFE" w:rsidP="001E2EFE">
      <w:pPr>
        <w:spacing w:line="264" w:lineRule="exact"/>
        <w:ind w:left="100" w:right="211"/>
        <w:rPr>
          <w:szCs w:val="24"/>
        </w:rPr>
      </w:pPr>
    </w:p>
    <w:p w:rsidR="001E2EFE" w:rsidRPr="00B204F5" w:rsidRDefault="001E2EFE" w:rsidP="001E2EFE">
      <w:pPr>
        <w:spacing w:line="264" w:lineRule="exact"/>
        <w:ind w:left="100" w:right="211"/>
        <w:rPr>
          <w:szCs w:val="24"/>
        </w:rPr>
      </w:pPr>
      <w:r w:rsidRPr="00B204F5">
        <w:rPr>
          <w:szCs w:val="24"/>
        </w:rPr>
        <w:t xml:space="preserve">This determination applies to </w:t>
      </w:r>
      <w:r>
        <w:rPr>
          <w:szCs w:val="24"/>
        </w:rPr>
        <w:t xml:space="preserve">annual information in the </w:t>
      </w:r>
      <w:r w:rsidRPr="00B204F5">
        <w:rPr>
          <w:szCs w:val="24"/>
        </w:rPr>
        <w:t>reporting forms given to APRA by a general insurer under the following reporting standards:</w:t>
      </w:r>
    </w:p>
    <w:p w:rsidR="001E2EFE" w:rsidRDefault="001E2EFE" w:rsidP="001E2EFE">
      <w:pPr>
        <w:spacing w:line="264" w:lineRule="exact"/>
        <w:ind w:left="100" w:right="211"/>
        <w:rPr>
          <w:szCs w:val="24"/>
        </w:rPr>
      </w:pPr>
    </w:p>
    <w:p w:rsidR="001E2EFE" w:rsidRPr="006A4D3B" w:rsidRDefault="001E2EFE" w:rsidP="001E2EFE">
      <w:pPr>
        <w:pStyle w:val="ListParagraph"/>
        <w:widowControl w:val="0"/>
        <w:numPr>
          <w:ilvl w:val="0"/>
          <w:numId w:val="5"/>
        </w:numPr>
        <w:spacing w:line="264" w:lineRule="exact"/>
        <w:ind w:right="211"/>
        <w:contextualSpacing/>
        <w:rPr>
          <w:rFonts w:ascii="Times New Roman" w:eastAsia="Times New Roman" w:hAnsi="Times New Roman"/>
          <w:b/>
          <w:sz w:val="24"/>
          <w:szCs w:val="24"/>
        </w:rPr>
      </w:pPr>
      <w:r w:rsidRPr="006A4D3B">
        <w:rPr>
          <w:rFonts w:ascii="Times New Roman" w:eastAsia="Times New Roman" w:hAnsi="Times New Roman"/>
          <w:b/>
          <w:sz w:val="24"/>
          <w:szCs w:val="24"/>
        </w:rPr>
        <w:t>Old reporting standards which ceased to have effect prior to 1 January 2013</w:t>
      </w:r>
    </w:p>
    <w:p w:rsidR="001E2EFE" w:rsidRDefault="001E2EFE" w:rsidP="001E2EFE">
      <w:pPr>
        <w:spacing w:line="264" w:lineRule="exact"/>
        <w:ind w:left="100" w:right="211"/>
        <w:rPr>
          <w:szCs w:val="24"/>
        </w:rPr>
      </w:pPr>
    </w:p>
    <w:p w:rsidR="001E2EFE" w:rsidRPr="006A4D3B" w:rsidRDefault="001E2EFE" w:rsidP="001E2EFE">
      <w:pPr>
        <w:spacing w:line="264" w:lineRule="exact"/>
        <w:ind w:left="100" w:right="211"/>
        <w:rPr>
          <w:szCs w:val="24"/>
          <w:u w:val="single"/>
        </w:rPr>
      </w:pPr>
      <w:r w:rsidRPr="006A4D3B">
        <w:rPr>
          <w:szCs w:val="24"/>
          <w:u w:val="single"/>
        </w:rPr>
        <w:t>General Insurance Reporting Standards (2008)</w:t>
      </w:r>
    </w:p>
    <w:p w:rsidR="001E2EFE" w:rsidRPr="006A4D3B" w:rsidRDefault="001E2EFE" w:rsidP="001E2EFE">
      <w:pPr>
        <w:pStyle w:val="ListParagraph"/>
        <w:widowControl w:val="0"/>
        <w:numPr>
          <w:ilvl w:val="0"/>
          <w:numId w:val="21"/>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140.0 Investments - Direct Interest Rate Holdings and Risk Charge (which came into effect on 23 October 2008)</w:t>
      </w:r>
    </w:p>
    <w:p w:rsidR="001E2EFE" w:rsidRPr="006A4D3B" w:rsidRDefault="001E2EFE" w:rsidP="001E2EFE">
      <w:pPr>
        <w:pStyle w:val="ListParagraph"/>
        <w:widowControl w:val="0"/>
        <w:numPr>
          <w:ilvl w:val="0"/>
          <w:numId w:val="21"/>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140.1 Investments - Direct Equity Holdings and Risk Charge (which came into effect on 23 October 2008)</w:t>
      </w:r>
    </w:p>
    <w:p w:rsidR="001E2EFE" w:rsidRPr="006A4D3B" w:rsidRDefault="001E2EFE" w:rsidP="001E2EFE">
      <w:pPr>
        <w:pStyle w:val="ListParagraph"/>
        <w:widowControl w:val="0"/>
        <w:numPr>
          <w:ilvl w:val="0"/>
          <w:numId w:val="21"/>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140.2 Investments - Direct Property Holdings and Risk Charge (which came into effect on 23 October 2008)</w:t>
      </w:r>
    </w:p>
    <w:p w:rsidR="001E2EFE" w:rsidRPr="006A4D3B" w:rsidRDefault="001E2EFE" w:rsidP="001E2EFE">
      <w:pPr>
        <w:pStyle w:val="ListParagraph"/>
        <w:widowControl w:val="0"/>
        <w:numPr>
          <w:ilvl w:val="0"/>
          <w:numId w:val="21"/>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140.3 Investments - Loans and Advances and Risk Charge (which came into effect on 23 October 2008)</w:t>
      </w:r>
    </w:p>
    <w:p w:rsidR="001E2EFE" w:rsidRDefault="001E2EFE" w:rsidP="001E2EFE">
      <w:pPr>
        <w:spacing w:line="264" w:lineRule="exact"/>
        <w:ind w:left="100" w:right="211"/>
        <w:rPr>
          <w:szCs w:val="24"/>
        </w:rPr>
      </w:pPr>
    </w:p>
    <w:p w:rsidR="001E2EFE" w:rsidRDefault="001E2EFE" w:rsidP="001E2EFE">
      <w:pPr>
        <w:spacing w:line="264" w:lineRule="exact"/>
        <w:ind w:left="100" w:right="211"/>
        <w:rPr>
          <w:szCs w:val="24"/>
          <w:u w:val="single"/>
        </w:rPr>
      </w:pPr>
      <w:r w:rsidRPr="006A4D3B">
        <w:rPr>
          <w:szCs w:val="24"/>
          <w:u w:val="single"/>
        </w:rPr>
        <w:t>General Insurance Reporting Standards (2007)</w:t>
      </w:r>
    </w:p>
    <w:p w:rsidR="001E2EFE" w:rsidRPr="006A4D3B" w:rsidRDefault="001E2EFE" w:rsidP="001E2EFE">
      <w:pPr>
        <w:pStyle w:val="ListParagraph"/>
        <w:widowControl w:val="0"/>
        <w:numPr>
          <w:ilvl w:val="0"/>
          <w:numId w:val="21"/>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140.0 Investments - Direct Interest Rate Holdings and Risk Charge (which came into effect on 1 January 2007)</w:t>
      </w:r>
    </w:p>
    <w:p w:rsidR="001E2EFE" w:rsidRPr="006A4D3B" w:rsidRDefault="001E2EFE" w:rsidP="001E2EFE">
      <w:pPr>
        <w:pStyle w:val="ListParagraph"/>
        <w:widowControl w:val="0"/>
        <w:numPr>
          <w:ilvl w:val="0"/>
          <w:numId w:val="21"/>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140.1 Investments - Direct Equity Holdings and Risk Charge (which came into effect on 1 January 2007)</w:t>
      </w:r>
    </w:p>
    <w:p w:rsidR="001E2EFE" w:rsidRPr="006A4D3B" w:rsidRDefault="001E2EFE" w:rsidP="001E2EFE">
      <w:pPr>
        <w:pStyle w:val="ListParagraph"/>
        <w:widowControl w:val="0"/>
        <w:numPr>
          <w:ilvl w:val="0"/>
          <w:numId w:val="21"/>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140.2 Investments - Direct Property Holdings and Risk Charge (which came into effect on 1 January 2007)</w:t>
      </w:r>
    </w:p>
    <w:p w:rsidR="001E2EFE" w:rsidRPr="006A4D3B" w:rsidRDefault="001E2EFE" w:rsidP="001E2EFE">
      <w:pPr>
        <w:pStyle w:val="ListParagraph"/>
        <w:widowControl w:val="0"/>
        <w:numPr>
          <w:ilvl w:val="0"/>
          <w:numId w:val="21"/>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140.3 Investments - Loans and Advances and Risk Charge (which came into effect on 1 January 2007)</w:t>
      </w:r>
    </w:p>
    <w:p w:rsidR="001E2EFE" w:rsidRDefault="001E2EFE" w:rsidP="001E2EFE">
      <w:pPr>
        <w:spacing w:line="264" w:lineRule="exact"/>
        <w:ind w:left="100" w:right="211"/>
        <w:rPr>
          <w:szCs w:val="24"/>
        </w:rPr>
      </w:pPr>
    </w:p>
    <w:p w:rsidR="001E2EFE" w:rsidRPr="006A4D3B" w:rsidRDefault="001E2EFE" w:rsidP="001E2EFE">
      <w:pPr>
        <w:spacing w:line="264" w:lineRule="exact"/>
        <w:ind w:left="100" w:right="211"/>
        <w:rPr>
          <w:szCs w:val="24"/>
          <w:u w:val="single"/>
        </w:rPr>
      </w:pPr>
      <w:r w:rsidRPr="006A4D3B">
        <w:rPr>
          <w:szCs w:val="24"/>
          <w:u w:val="single"/>
        </w:rPr>
        <w:t>General Insurance Reporting Standards (2005)</w:t>
      </w:r>
    </w:p>
    <w:p w:rsidR="001E2EFE" w:rsidRPr="006A4D3B" w:rsidRDefault="001E2EFE" w:rsidP="001E2EFE">
      <w:pPr>
        <w:pStyle w:val="ListParagraph"/>
        <w:widowControl w:val="0"/>
        <w:numPr>
          <w:ilvl w:val="0"/>
          <w:numId w:val="21"/>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140.0 Investments - Direct Interest Rate Holdings and Risk Charge (which came into effect on 1 July 2005)</w:t>
      </w:r>
    </w:p>
    <w:p w:rsidR="001E2EFE" w:rsidRPr="006A4D3B" w:rsidRDefault="001E2EFE" w:rsidP="001E2EFE">
      <w:pPr>
        <w:pStyle w:val="ListParagraph"/>
        <w:widowControl w:val="0"/>
        <w:numPr>
          <w:ilvl w:val="0"/>
          <w:numId w:val="21"/>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 xml:space="preserve">Reporting Standard GRS 140.1 Investments - Direct Equity Holdings and Risk </w:t>
      </w:r>
      <w:r w:rsidRPr="006A4D3B">
        <w:rPr>
          <w:rFonts w:ascii="Times New Roman" w:eastAsia="Times New Roman" w:hAnsi="Times New Roman"/>
          <w:sz w:val="24"/>
          <w:szCs w:val="24"/>
        </w:rPr>
        <w:lastRenderedPageBreak/>
        <w:t>Charge (which came into effect on 1 July 2005)</w:t>
      </w:r>
    </w:p>
    <w:p w:rsidR="001E2EFE" w:rsidRPr="006A4D3B" w:rsidRDefault="001E2EFE" w:rsidP="001E2EFE">
      <w:pPr>
        <w:pStyle w:val="ListParagraph"/>
        <w:widowControl w:val="0"/>
        <w:numPr>
          <w:ilvl w:val="0"/>
          <w:numId w:val="21"/>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140.2 Investments - Direct Property Holdings and Risk Charge (which came into effect on 1 July 2005)</w:t>
      </w:r>
    </w:p>
    <w:p w:rsidR="001E2EFE" w:rsidRPr="006A4D3B" w:rsidRDefault="001E2EFE" w:rsidP="001E2EFE">
      <w:pPr>
        <w:pStyle w:val="ListParagraph"/>
        <w:widowControl w:val="0"/>
        <w:numPr>
          <w:ilvl w:val="0"/>
          <w:numId w:val="21"/>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140.3 Investments - Loans and Advances and Risk Charge (which came into effect on 1 July 2005)</w:t>
      </w:r>
    </w:p>
    <w:p w:rsidR="001E2EFE" w:rsidRDefault="001E2EFE" w:rsidP="001E2EFE">
      <w:pPr>
        <w:spacing w:line="264" w:lineRule="exact"/>
        <w:ind w:left="100" w:right="211"/>
        <w:rPr>
          <w:szCs w:val="24"/>
        </w:rPr>
      </w:pPr>
    </w:p>
    <w:p w:rsidR="001E2EFE" w:rsidRDefault="001E2EFE" w:rsidP="001E2EFE">
      <w:pPr>
        <w:spacing w:line="264" w:lineRule="exact"/>
        <w:ind w:left="100" w:right="211"/>
        <w:rPr>
          <w:szCs w:val="24"/>
          <w:u w:val="single"/>
        </w:rPr>
      </w:pPr>
      <w:r w:rsidRPr="006A4D3B">
        <w:rPr>
          <w:szCs w:val="24"/>
          <w:u w:val="single"/>
        </w:rPr>
        <w:t>General Insurance Reporting Standards (2002)</w:t>
      </w:r>
    </w:p>
    <w:p w:rsidR="001E2EFE" w:rsidRPr="006A4D3B" w:rsidRDefault="001E2EFE" w:rsidP="001E2EFE">
      <w:pPr>
        <w:pStyle w:val="ListParagraph"/>
        <w:widowControl w:val="0"/>
        <w:numPr>
          <w:ilvl w:val="0"/>
          <w:numId w:val="21"/>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140.0 Investments - Direct Interest Rate Holdings and Risk Charge made on 28 June 2002 (which came into effect on 1 July 2002 and ceased to have effect on 1 July 2005)</w:t>
      </w:r>
    </w:p>
    <w:p w:rsidR="001E2EFE" w:rsidRPr="006A4D3B" w:rsidRDefault="001E2EFE" w:rsidP="001E2EFE">
      <w:pPr>
        <w:pStyle w:val="ListParagraph"/>
        <w:widowControl w:val="0"/>
        <w:numPr>
          <w:ilvl w:val="0"/>
          <w:numId w:val="21"/>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140.1 Investments - Direct Equity Holdings and Risk Charge made on 28 June 2002 (which came into effect on 1 July 2002 and ceased to have effect on 1 July 2005)</w:t>
      </w:r>
    </w:p>
    <w:p w:rsidR="001E2EFE" w:rsidRPr="006A4D3B" w:rsidRDefault="001E2EFE" w:rsidP="001E2EFE">
      <w:pPr>
        <w:pStyle w:val="ListParagraph"/>
        <w:widowControl w:val="0"/>
        <w:numPr>
          <w:ilvl w:val="0"/>
          <w:numId w:val="21"/>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140.2 Investments - Direct Property Holdings and Risk Charge made on 28 June 2002 (which came into effect on 1 July 2002 and ceased to have effect on 1 July 2005)</w:t>
      </w:r>
    </w:p>
    <w:p w:rsidR="001E2EFE" w:rsidRPr="006A4D3B" w:rsidRDefault="001E2EFE" w:rsidP="001E2EFE">
      <w:pPr>
        <w:pStyle w:val="ListParagraph"/>
        <w:widowControl w:val="0"/>
        <w:numPr>
          <w:ilvl w:val="0"/>
          <w:numId w:val="21"/>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140.3 Investments - Loans and Advances and Risk Charge made on 28 June 2002 (which came into effect on 1 July 2002 and ceased to have effect on 1 July 2005)</w:t>
      </w:r>
    </w:p>
    <w:p w:rsidR="001E2EFE" w:rsidRPr="006A4D3B" w:rsidRDefault="001E2EFE" w:rsidP="001E2EFE">
      <w:pPr>
        <w:spacing w:line="264" w:lineRule="exact"/>
        <w:ind w:left="100" w:right="211"/>
        <w:rPr>
          <w:szCs w:val="24"/>
          <w:u w:val="single"/>
        </w:rPr>
      </w:pPr>
    </w:p>
    <w:p w:rsidR="001E2EFE" w:rsidRDefault="001E2EFE" w:rsidP="001E2EFE">
      <w:pPr>
        <w:spacing w:line="264" w:lineRule="exact"/>
        <w:ind w:left="100" w:right="211"/>
        <w:rPr>
          <w:szCs w:val="24"/>
        </w:rPr>
      </w:pPr>
      <w:r>
        <w:rPr>
          <w:szCs w:val="24"/>
        </w:rPr>
        <w:t>AND</w:t>
      </w:r>
    </w:p>
    <w:p w:rsidR="001E2EFE" w:rsidRDefault="001E2EFE" w:rsidP="001E2EFE">
      <w:pPr>
        <w:spacing w:line="264" w:lineRule="exact"/>
        <w:ind w:left="100" w:right="211"/>
        <w:rPr>
          <w:szCs w:val="24"/>
        </w:rPr>
      </w:pPr>
    </w:p>
    <w:p w:rsidR="001E2EFE" w:rsidRPr="00584D0D" w:rsidRDefault="001E2EFE" w:rsidP="001E2EFE">
      <w:pPr>
        <w:spacing w:line="264" w:lineRule="exact"/>
        <w:ind w:left="100" w:right="211"/>
        <w:rPr>
          <w:szCs w:val="24"/>
        </w:rPr>
      </w:pPr>
      <w:r w:rsidRPr="00584D0D">
        <w:rPr>
          <w:szCs w:val="24"/>
        </w:rPr>
        <w:t xml:space="preserve">This determination applies to </w:t>
      </w:r>
      <w:r>
        <w:rPr>
          <w:szCs w:val="24"/>
        </w:rPr>
        <w:t xml:space="preserve">annual information in the </w:t>
      </w:r>
      <w:r w:rsidRPr="00584D0D">
        <w:rPr>
          <w:szCs w:val="24"/>
        </w:rPr>
        <w:t xml:space="preserve">reporting forms given to APRA by a parent entity of a Level 2 insurance group under the following reporting standards, where a period of </w:t>
      </w:r>
      <w:r>
        <w:rPr>
          <w:szCs w:val="24"/>
        </w:rPr>
        <w:t xml:space="preserve">at least </w:t>
      </w:r>
      <w:r w:rsidRPr="00882707">
        <w:rPr>
          <w:szCs w:val="24"/>
        </w:rPr>
        <w:t>14 days</w:t>
      </w:r>
      <w:r w:rsidRPr="00584D0D">
        <w:rPr>
          <w:szCs w:val="24"/>
        </w:rPr>
        <w:t xml:space="preserve"> has elapsed from the date the parent entity was required to provide the information required under the reporting standards in accordance with paragraph 7 of Reporting Standard GRS 001 Reporting Requirements:</w:t>
      </w:r>
    </w:p>
    <w:p w:rsidR="001E2EFE" w:rsidRDefault="001E2EFE" w:rsidP="001E2EFE"/>
    <w:p w:rsidR="001E2EFE" w:rsidRPr="006A4D3B" w:rsidRDefault="001E2EFE" w:rsidP="001E2EFE">
      <w:pPr>
        <w:pStyle w:val="ListParagraph"/>
        <w:widowControl w:val="0"/>
        <w:numPr>
          <w:ilvl w:val="0"/>
          <w:numId w:val="5"/>
        </w:numPr>
        <w:spacing w:line="264" w:lineRule="exact"/>
        <w:ind w:right="211"/>
        <w:contextualSpacing/>
        <w:rPr>
          <w:rFonts w:ascii="Times New Roman" w:eastAsia="Times New Roman" w:hAnsi="Times New Roman"/>
          <w:b/>
          <w:sz w:val="24"/>
          <w:szCs w:val="24"/>
        </w:rPr>
      </w:pPr>
      <w:r w:rsidRPr="006A4D3B">
        <w:rPr>
          <w:rFonts w:ascii="Times New Roman" w:eastAsia="Times New Roman" w:hAnsi="Times New Roman"/>
          <w:b/>
          <w:sz w:val="24"/>
          <w:szCs w:val="24"/>
        </w:rPr>
        <w:t xml:space="preserve">New reporting standards </w:t>
      </w:r>
      <w:r w:rsidR="009B7D33">
        <w:rPr>
          <w:rFonts w:ascii="Times New Roman" w:eastAsia="Times New Roman" w:hAnsi="Times New Roman"/>
          <w:b/>
          <w:sz w:val="24"/>
          <w:szCs w:val="24"/>
        </w:rPr>
        <w:t xml:space="preserve">for level 2 insurance groups </w:t>
      </w:r>
      <w:r w:rsidRPr="006A4D3B">
        <w:rPr>
          <w:rFonts w:ascii="Times New Roman" w:eastAsia="Times New Roman" w:hAnsi="Times New Roman"/>
          <w:b/>
          <w:sz w:val="24"/>
          <w:szCs w:val="24"/>
        </w:rPr>
        <w:t>which came into effect on 1 January 2013</w:t>
      </w:r>
    </w:p>
    <w:p w:rsidR="001E2EFE" w:rsidRPr="005716E4" w:rsidRDefault="001E2EFE" w:rsidP="001E2EFE">
      <w:pPr>
        <w:spacing w:line="264" w:lineRule="exact"/>
        <w:ind w:left="100" w:right="211"/>
        <w:rPr>
          <w:b/>
          <w:szCs w:val="24"/>
        </w:rPr>
      </w:pPr>
    </w:p>
    <w:p w:rsidR="001E2EFE" w:rsidRDefault="001E2EFE" w:rsidP="001E2EFE">
      <w:pPr>
        <w:pStyle w:val="ListParagraph"/>
        <w:widowControl w:val="0"/>
        <w:numPr>
          <w:ilvl w:val="0"/>
          <w:numId w:val="7"/>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 xml:space="preserve">Reporting Standard GRS 112.0_G Determination of Capital Base </w:t>
      </w:r>
    </w:p>
    <w:p w:rsidR="001E2EFE" w:rsidRPr="006A4D3B" w:rsidRDefault="001E2EFE" w:rsidP="001E2EFE">
      <w:pPr>
        <w:pStyle w:val="ListParagraph"/>
        <w:widowControl w:val="0"/>
        <w:numPr>
          <w:ilvl w:val="0"/>
          <w:numId w:val="7"/>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 xml:space="preserve">Reporting Standard GRS 300.0_G Statement of Financial Position </w:t>
      </w:r>
    </w:p>
    <w:p w:rsidR="001E2EFE" w:rsidRDefault="001E2EFE" w:rsidP="001E2EFE">
      <w:pPr>
        <w:spacing w:line="264" w:lineRule="exact"/>
        <w:ind w:left="100" w:right="211"/>
        <w:rPr>
          <w:szCs w:val="24"/>
        </w:rPr>
      </w:pPr>
    </w:p>
    <w:p w:rsidR="001E2EFE" w:rsidRDefault="001E2EFE" w:rsidP="001E2EFE">
      <w:pPr>
        <w:spacing w:line="264" w:lineRule="exact"/>
        <w:ind w:left="100" w:right="211"/>
        <w:rPr>
          <w:szCs w:val="24"/>
        </w:rPr>
      </w:pPr>
      <w:r>
        <w:rPr>
          <w:szCs w:val="24"/>
        </w:rPr>
        <w:t>AND</w:t>
      </w:r>
    </w:p>
    <w:p w:rsidR="001E2EFE" w:rsidRDefault="001E2EFE" w:rsidP="001E2EFE">
      <w:pPr>
        <w:spacing w:line="264" w:lineRule="exact"/>
        <w:ind w:left="100" w:right="211"/>
        <w:rPr>
          <w:szCs w:val="24"/>
        </w:rPr>
      </w:pPr>
    </w:p>
    <w:p w:rsidR="001E2EFE" w:rsidRPr="00584D0D" w:rsidRDefault="001E2EFE" w:rsidP="001E2EFE">
      <w:pPr>
        <w:spacing w:line="264" w:lineRule="exact"/>
        <w:ind w:left="100" w:right="211"/>
        <w:rPr>
          <w:szCs w:val="24"/>
        </w:rPr>
      </w:pPr>
      <w:r w:rsidRPr="00584D0D">
        <w:rPr>
          <w:szCs w:val="24"/>
        </w:rPr>
        <w:t xml:space="preserve">This determination applies to </w:t>
      </w:r>
      <w:r>
        <w:rPr>
          <w:szCs w:val="24"/>
        </w:rPr>
        <w:t xml:space="preserve">annual information in the </w:t>
      </w:r>
      <w:r w:rsidRPr="00584D0D">
        <w:rPr>
          <w:szCs w:val="24"/>
        </w:rPr>
        <w:t>reporting forms given to APRA by a parent entity of a Level 2 insurance group under the</w:t>
      </w:r>
      <w:r>
        <w:rPr>
          <w:szCs w:val="24"/>
        </w:rPr>
        <w:t xml:space="preserve"> following reporting standards:</w:t>
      </w:r>
    </w:p>
    <w:p w:rsidR="001E2EFE" w:rsidRDefault="001E2EFE" w:rsidP="001E2EFE">
      <w:pPr>
        <w:spacing w:line="264" w:lineRule="exact"/>
        <w:ind w:left="100" w:right="211"/>
        <w:rPr>
          <w:szCs w:val="24"/>
        </w:rPr>
      </w:pPr>
    </w:p>
    <w:p w:rsidR="001E2EFE" w:rsidRPr="006A4D3B" w:rsidRDefault="001E2EFE" w:rsidP="001E2EFE">
      <w:pPr>
        <w:pStyle w:val="ListParagraph"/>
        <w:widowControl w:val="0"/>
        <w:numPr>
          <w:ilvl w:val="0"/>
          <w:numId w:val="5"/>
        </w:numPr>
        <w:spacing w:line="264" w:lineRule="exact"/>
        <w:ind w:right="211"/>
        <w:contextualSpacing/>
        <w:rPr>
          <w:rFonts w:ascii="Times New Roman" w:eastAsia="Times New Roman" w:hAnsi="Times New Roman"/>
          <w:b/>
          <w:sz w:val="24"/>
          <w:szCs w:val="24"/>
        </w:rPr>
      </w:pPr>
      <w:r w:rsidRPr="006A4D3B">
        <w:rPr>
          <w:rFonts w:ascii="Times New Roman" w:eastAsia="Times New Roman" w:hAnsi="Times New Roman"/>
          <w:b/>
          <w:sz w:val="24"/>
          <w:szCs w:val="24"/>
        </w:rPr>
        <w:t xml:space="preserve">Old reporting standards </w:t>
      </w:r>
      <w:r>
        <w:rPr>
          <w:rFonts w:ascii="Times New Roman" w:eastAsia="Times New Roman" w:hAnsi="Times New Roman"/>
          <w:b/>
          <w:sz w:val="24"/>
          <w:szCs w:val="24"/>
        </w:rPr>
        <w:t xml:space="preserve">for </w:t>
      </w:r>
      <w:r w:rsidR="009B7D33">
        <w:rPr>
          <w:rFonts w:ascii="Times New Roman" w:eastAsia="Times New Roman" w:hAnsi="Times New Roman"/>
          <w:b/>
          <w:sz w:val="24"/>
          <w:szCs w:val="24"/>
        </w:rPr>
        <w:t xml:space="preserve">level 2 insurance groups </w:t>
      </w:r>
      <w:r w:rsidRPr="006A4D3B">
        <w:rPr>
          <w:rFonts w:ascii="Times New Roman" w:eastAsia="Times New Roman" w:hAnsi="Times New Roman"/>
          <w:b/>
          <w:sz w:val="24"/>
          <w:szCs w:val="24"/>
        </w:rPr>
        <w:t>which ceased to have effect prior to 1 January 2013</w:t>
      </w:r>
    </w:p>
    <w:p w:rsidR="001E2EFE" w:rsidRDefault="001E2EFE" w:rsidP="001E2EFE">
      <w:pPr>
        <w:spacing w:line="264" w:lineRule="exact"/>
        <w:ind w:left="100" w:right="211"/>
        <w:rPr>
          <w:szCs w:val="24"/>
        </w:rPr>
      </w:pPr>
    </w:p>
    <w:p w:rsidR="001E2EFE" w:rsidRPr="006A4D3B" w:rsidRDefault="001E2EFE" w:rsidP="001E2EFE">
      <w:pPr>
        <w:spacing w:line="264" w:lineRule="exact"/>
        <w:ind w:left="100" w:right="211"/>
        <w:rPr>
          <w:szCs w:val="24"/>
          <w:u w:val="single"/>
        </w:rPr>
      </w:pPr>
      <w:r w:rsidRPr="006A4D3B">
        <w:rPr>
          <w:szCs w:val="24"/>
          <w:u w:val="single"/>
        </w:rPr>
        <w:t>General Insurance Reporting Standards (2011)</w:t>
      </w:r>
    </w:p>
    <w:p w:rsidR="001E2EFE" w:rsidRPr="006A4D3B" w:rsidRDefault="001E2EFE" w:rsidP="001E2EFE">
      <w:pPr>
        <w:pStyle w:val="ListParagraph"/>
        <w:widowControl w:val="0"/>
        <w:numPr>
          <w:ilvl w:val="0"/>
          <w:numId w:val="8"/>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120.0_G Determination of Capital Base (which came into effect on 1 July 2011)</w:t>
      </w:r>
    </w:p>
    <w:p w:rsidR="001E2EFE" w:rsidRPr="006A4D3B" w:rsidRDefault="001E2EFE" w:rsidP="001E2EFE">
      <w:pPr>
        <w:pStyle w:val="ListParagraph"/>
        <w:widowControl w:val="0"/>
        <w:numPr>
          <w:ilvl w:val="0"/>
          <w:numId w:val="8"/>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300.0_G Statement of Financial Position (which came into effect on 1 July 2011)</w:t>
      </w:r>
    </w:p>
    <w:p w:rsidR="001E2EFE" w:rsidRDefault="001E2EFE" w:rsidP="001E2EFE">
      <w:pPr>
        <w:spacing w:line="264" w:lineRule="exact"/>
        <w:ind w:left="100" w:right="211"/>
        <w:rPr>
          <w:szCs w:val="24"/>
        </w:rPr>
      </w:pPr>
    </w:p>
    <w:p w:rsidR="001E2EFE" w:rsidRPr="006A4D3B" w:rsidRDefault="001E2EFE" w:rsidP="001E2EFE">
      <w:pPr>
        <w:spacing w:line="264" w:lineRule="exact"/>
        <w:ind w:left="100" w:right="211"/>
        <w:rPr>
          <w:szCs w:val="24"/>
          <w:u w:val="single"/>
        </w:rPr>
      </w:pPr>
      <w:r w:rsidRPr="006A4D3B">
        <w:rPr>
          <w:szCs w:val="24"/>
          <w:u w:val="single"/>
        </w:rPr>
        <w:t>General Insurance Reporting Standards (2009)</w:t>
      </w:r>
    </w:p>
    <w:p w:rsidR="001E2EFE" w:rsidRDefault="001E2EFE" w:rsidP="001E2EFE">
      <w:pPr>
        <w:pStyle w:val="ListParagraph"/>
        <w:widowControl w:val="0"/>
        <w:numPr>
          <w:ilvl w:val="0"/>
          <w:numId w:val="8"/>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 xml:space="preserve">Reporting Standard GRS 120.0_G Determination of Capital Base (which came </w:t>
      </w:r>
      <w:r w:rsidRPr="006A4D3B">
        <w:rPr>
          <w:rFonts w:ascii="Times New Roman" w:eastAsia="Times New Roman" w:hAnsi="Times New Roman"/>
          <w:sz w:val="24"/>
          <w:szCs w:val="24"/>
        </w:rPr>
        <w:lastRenderedPageBreak/>
        <w:t>into effect on 31 August 2009)</w:t>
      </w:r>
    </w:p>
    <w:p w:rsidR="001E2EFE" w:rsidRPr="006A4D3B" w:rsidRDefault="001E2EFE" w:rsidP="001E2EFE">
      <w:pPr>
        <w:pStyle w:val="ListParagraph"/>
        <w:widowControl w:val="0"/>
        <w:numPr>
          <w:ilvl w:val="0"/>
          <w:numId w:val="8"/>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300.0_G Statement of Financial Position (which came into effect on 31 August 2009)</w:t>
      </w:r>
    </w:p>
    <w:p w:rsidR="001E2EFE" w:rsidRDefault="001E2EFE" w:rsidP="001E2EFE">
      <w:pPr>
        <w:spacing w:line="264" w:lineRule="exact"/>
        <w:ind w:left="100" w:right="211"/>
        <w:rPr>
          <w:szCs w:val="24"/>
        </w:rPr>
      </w:pPr>
    </w:p>
    <w:p w:rsidR="001E2EFE" w:rsidRDefault="001E2EFE" w:rsidP="001E2EFE">
      <w:pPr>
        <w:spacing w:line="242" w:lineRule="auto"/>
        <w:ind w:left="100" w:right="129"/>
        <w:rPr>
          <w:rFonts w:ascii="Arial" w:eastAsia="Arial" w:hAnsi="Arial" w:cs="Arial"/>
          <w:sz w:val="31"/>
          <w:szCs w:val="31"/>
        </w:rPr>
      </w:pPr>
      <w:r w:rsidRPr="00DF3F06">
        <w:rPr>
          <w:rFonts w:ascii="Arial" w:eastAsia="Arial" w:hAnsi="Arial" w:cs="Arial"/>
          <w:b/>
          <w:bCs/>
          <w:spacing w:val="2"/>
          <w:sz w:val="31"/>
          <w:szCs w:val="31"/>
        </w:rPr>
        <w:t>Part 2 (Parts of reporting documents covered by this determination)</w:t>
      </w:r>
    </w:p>
    <w:p w:rsidR="001E2EFE" w:rsidRDefault="001E2EFE" w:rsidP="001E2EFE">
      <w:pPr>
        <w:spacing w:line="200" w:lineRule="exact"/>
        <w:rPr>
          <w:sz w:val="20"/>
        </w:rPr>
      </w:pPr>
    </w:p>
    <w:p w:rsidR="001E2EFE" w:rsidRDefault="001E2EFE" w:rsidP="001E2EFE">
      <w:pPr>
        <w:spacing w:before="37" w:line="230" w:lineRule="auto"/>
        <w:ind w:left="100" w:right="71"/>
        <w:rPr>
          <w:szCs w:val="24"/>
        </w:rPr>
      </w:pPr>
      <w:r w:rsidRPr="00DF3F06">
        <w:rPr>
          <w:szCs w:val="24"/>
        </w:rPr>
        <w:t xml:space="preserve">This determination applies to </w:t>
      </w:r>
      <w:r>
        <w:rPr>
          <w:szCs w:val="24"/>
        </w:rPr>
        <w:t xml:space="preserve">annual information in </w:t>
      </w:r>
      <w:r w:rsidRPr="00DF3F06">
        <w:rPr>
          <w:szCs w:val="24"/>
        </w:rPr>
        <w:t xml:space="preserve">the following parts of reporting forms given to APRA by a general insurer under the following reporting standards, where a period of </w:t>
      </w:r>
      <w:r>
        <w:rPr>
          <w:szCs w:val="24"/>
        </w:rPr>
        <w:t xml:space="preserve">at least </w:t>
      </w:r>
      <w:r w:rsidRPr="00882707">
        <w:rPr>
          <w:szCs w:val="24"/>
        </w:rPr>
        <w:t>14 days</w:t>
      </w:r>
      <w:r w:rsidRPr="00DF3F06">
        <w:rPr>
          <w:szCs w:val="24"/>
        </w:rPr>
        <w:t xml:space="preserve"> has elapsed from the date the general insurer was required to provide the information required under the reporting standards in accordance with paragraph 5 of Reporting Standard GRS 001 Reporting Requirements:</w:t>
      </w:r>
    </w:p>
    <w:p w:rsidR="001E2EFE" w:rsidRDefault="001E2EFE" w:rsidP="001E2EFE">
      <w:pPr>
        <w:spacing w:line="264" w:lineRule="exact"/>
        <w:ind w:left="100" w:right="211"/>
        <w:rPr>
          <w:b/>
          <w:szCs w:val="24"/>
        </w:rPr>
      </w:pPr>
    </w:p>
    <w:p w:rsidR="001E2EFE" w:rsidRPr="006A4D3B" w:rsidRDefault="001E2EFE" w:rsidP="001E2EFE">
      <w:pPr>
        <w:pStyle w:val="ListParagraph"/>
        <w:widowControl w:val="0"/>
        <w:numPr>
          <w:ilvl w:val="0"/>
          <w:numId w:val="11"/>
        </w:numPr>
        <w:spacing w:line="264" w:lineRule="exact"/>
        <w:ind w:right="211"/>
        <w:contextualSpacing/>
        <w:rPr>
          <w:rFonts w:ascii="Times New Roman" w:eastAsia="Times New Roman" w:hAnsi="Times New Roman"/>
          <w:b/>
          <w:sz w:val="24"/>
          <w:szCs w:val="24"/>
        </w:rPr>
      </w:pPr>
      <w:r w:rsidRPr="006A4D3B">
        <w:rPr>
          <w:rFonts w:ascii="Times New Roman" w:eastAsia="Times New Roman" w:hAnsi="Times New Roman"/>
          <w:b/>
          <w:sz w:val="24"/>
          <w:szCs w:val="24"/>
        </w:rPr>
        <w:t>New reporting standards which came into effect on 1 January 2013</w:t>
      </w:r>
    </w:p>
    <w:p w:rsidR="001E2EFE" w:rsidRDefault="001E2EFE" w:rsidP="001E2EFE"/>
    <w:tbl>
      <w:tblPr>
        <w:tblStyle w:val="TableGrid"/>
        <w:tblW w:w="0" w:type="auto"/>
        <w:tblInd w:w="100" w:type="dxa"/>
        <w:tblLook w:val="04A0" w:firstRow="1" w:lastRow="0" w:firstColumn="1" w:lastColumn="0" w:noHBand="0" w:noVBand="1"/>
      </w:tblPr>
      <w:tblGrid>
        <w:gridCol w:w="4584"/>
        <w:gridCol w:w="3838"/>
      </w:tblGrid>
      <w:tr w:rsidR="001E2EFE" w:rsidTr="00C37089">
        <w:trPr>
          <w:tblHeader/>
        </w:trPr>
        <w:tc>
          <w:tcPr>
            <w:tcW w:w="4690" w:type="dxa"/>
          </w:tcPr>
          <w:p w:rsidR="001E2EFE" w:rsidRDefault="001E2EFE" w:rsidP="00C37089">
            <w:pPr>
              <w:spacing w:line="264" w:lineRule="exact"/>
              <w:ind w:left="100" w:right="211"/>
              <w:rPr>
                <w:szCs w:val="24"/>
              </w:rPr>
            </w:pPr>
            <w:r>
              <w:rPr>
                <w:szCs w:val="24"/>
              </w:rPr>
              <w:t>Parts of reporting form covered by this determination</w:t>
            </w:r>
          </w:p>
        </w:tc>
        <w:tc>
          <w:tcPr>
            <w:tcW w:w="4690" w:type="dxa"/>
          </w:tcPr>
          <w:p w:rsidR="001E2EFE" w:rsidRDefault="001E2EFE" w:rsidP="00C37089">
            <w:pPr>
              <w:spacing w:line="264" w:lineRule="exact"/>
              <w:ind w:left="100" w:right="211"/>
              <w:rPr>
                <w:szCs w:val="24"/>
              </w:rPr>
            </w:pPr>
            <w:r>
              <w:rPr>
                <w:szCs w:val="24"/>
              </w:rPr>
              <w:t>Reporting standards</w:t>
            </w:r>
          </w:p>
        </w:tc>
      </w:tr>
      <w:tr w:rsidR="001E2EFE" w:rsidTr="00C37089">
        <w:tc>
          <w:tcPr>
            <w:tcW w:w="4690" w:type="dxa"/>
          </w:tcPr>
          <w:p w:rsidR="001E2EFE" w:rsidRPr="00917A3F" w:rsidRDefault="001E2EFE" w:rsidP="00C37089">
            <w:pPr>
              <w:spacing w:line="264" w:lineRule="exact"/>
              <w:ind w:right="211"/>
              <w:rPr>
                <w:szCs w:val="24"/>
              </w:rPr>
            </w:pPr>
            <w:r w:rsidRPr="00917A3F">
              <w:rPr>
                <w:szCs w:val="24"/>
              </w:rPr>
              <w:t>GRF 110.1: Prescribed Capital Amount</w:t>
            </w:r>
          </w:p>
          <w:p w:rsidR="001E2EFE" w:rsidRDefault="001E2EFE" w:rsidP="00C37089">
            <w:pPr>
              <w:spacing w:line="264" w:lineRule="exact"/>
              <w:ind w:right="211"/>
              <w:rPr>
                <w:szCs w:val="24"/>
              </w:rPr>
            </w:pPr>
          </w:p>
          <w:p w:rsidR="001E2EFE" w:rsidRPr="00917A3F" w:rsidRDefault="001E2EFE" w:rsidP="001E2EFE">
            <w:pPr>
              <w:pStyle w:val="ListParagraph"/>
              <w:widowControl w:val="0"/>
              <w:numPr>
                <w:ilvl w:val="0"/>
                <w:numId w:val="9"/>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Section 1</w:t>
            </w:r>
            <w:r w:rsidRPr="00917A3F">
              <w:rPr>
                <w:rFonts w:ascii="Times New Roman" w:eastAsia="Times New Roman" w:hAnsi="Times New Roman"/>
                <w:sz w:val="24"/>
                <w:szCs w:val="24"/>
              </w:rPr>
              <w:t xml:space="preserve"> </w:t>
            </w:r>
            <w:r w:rsidRPr="006A4D3B">
              <w:rPr>
                <w:rFonts w:ascii="Times New Roman" w:eastAsia="Times New Roman" w:hAnsi="Times New Roman"/>
                <w:sz w:val="24"/>
                <w:szCs w:val="24"/>
              </w:rPr>
              <w:t>Summary of prescribed capital amount</w:t>
            </w:r>
            <w:r w:rsidRPr="00917A3F">
              <w:rPr>
                <w:rFonts w:ascii="Times New Roman" w:eastAsia="Times New Roman" w:hAnsi="Times New Roman"/>
                <w:sz w:val="24"/>
                <w:szCs w:val="24"/>
              </w:rPr>
              <w:t>:</w:t>
            </w:r>
          </w:p>
          <w:p w:rsidR="001E2EFE" w:rsidRPr="006A4D3B" w:rsidRDefault="001E2EFE" w:rsidP="00C37089">
            <w:pPr>
              <w:pStyle w:val="ListParagraph"/>
              <w:spacing w:line="264" w:lineRule="exact"/>
              <w:ind w:left="360" w:right="211"/>
              <w:rPr>
                <w:rFonts w:ascii="Times New Roman" w:eastAsia="Times New Roman" w:hAnsi="Times New Roman"/>
                <w:sz w:val="24"/>
                <w:szCs w:val="24"/>
              </w:rPr>
            </w:pPr>
          </w:p>
          <w:p w:rsidR="001E2EFE" w:rsidRPr="00917A3F" w:rsidRDefault="001E2EFE" w:rsidP="001E2EFE">
            <w:pPr>
              <w:pStyle w:val="ListParagraph"/>
              <w:widowControl w:val="0"/>
              <w:numPr>
                <w:ilvl w:val="0"/>
                <w:numId w:val="10"/>
              </w:numPr>
              <w:spacing w:line="264" w:lineRule="exact"/>
              <w:ind w:right="211"/>
              <w:rPr>
                <w:rFonts w:ascii="Times New Roman" w:eastAsia="Times New Roman" w:hAnsi="Times New Roman"/>
                <w:sz w:val="24"/>
                <w:szCs w:val="24"/>
              </w:rPr>
            </w:pPr>
            <w:r w:rsidRPr="00917A3F">
              <w:rPr>
                <w:rFonts w:ascii="Times New Roman" w:eastAsia="Times New Roman" w:hAnsi="Times New Roman"/>
                <w:sz w:val="24"/>
                <w:szCs w:val="24"/>
              </w:rPr>
              <w:t>Insurance Risk Charge</w:t>
            </w:r>
          </w:p>
          <w:p w:rsidR="001E2EFE" w:rsidRPr="00917A3F" w:rsidRDefault="001E2EFE" w:rsidP="001E2EFE">
            <w:pPr>
              <w:pStyle w:val="ListParagraph"/>
              <w:widowControl w:val="0"/>
              <w:numPr>
                <w:ilvl w:val="1"/>
                <w:numId w:val="10"/>
              </w:numPr>
              <w:spacing w:line="264" w:lineRule="exact"/>
              <w:ind w:right="211"/>
              <w:contextualSpacing/>
              <w:rPr>
                <w:rFonts w:ascii="Times New Roman" w:eastAsia="Times New Roman" w:hAnsi="Times New Roman"/>
                <w:sz w:val="24"/>
                <w:szCs w:val="24"/>
              </w:rPr>
            </w:pPr>
            <w:r w:rsidRPr="00917A3F">
              <w:rPr>
                <w:rFonts w:ascii="Times New Roman" w:eastAsia="Times New Roman" w:hAnsi="Times New Roman"/>
                <w:sz w:val="24"/>
                <w:szCs w:val="24"/>
              </w:rPr>
              <w:t>GRF_115.0: OCL Insurance Risk Charge</w:t>
            </w:r>
          </w:p>
          <w:p w:rsidR="001E2EFE" w:rsidRPr="006A4D3B" w:rsidRDefault="001E2EFE" w:rsidP="001E2EFE">
            <w:pPr>
              <w:pStyle w:val="ListParagraph"/>
              <w:widowControl w:val="0"/>
              <w:numPr>
                <w:ilvl w:val="1"/>
                <w:numId w:val="10"/>
              </w:numPr>
              <w:spacing w:line="264" w:lineRule="exact"/>
              <w:ind w:right="211"/>
              <w:contextualSpacing/>
              <w:rPr>
                <w:rFonts w:ascii="Times New Roman" w:hAnsi="Times New Roman"/>
                <w:sz w:val="24"/>
                <w:szCs w:val="24"/>
              </w:rPr>
            </w:pPr>
            <w:r w:rsidRPr="006A4D3B">
              <w:rPr>
                <w:rFonts w:ascii="Times New Roman" w:eastAsia="Times New Roman" w:hAnsi="Times New Roman"/>
                <w:sz w:val="24"/>
                <w:szCs w:val="24"/>
              </w:rPr>
              <w:t>GRF_115.1: PL Insurance Risk Charge</w:t>
            </w:r>
            <w:r>
              <w:rPr>
                <w:rFonts w:ascii="Times New Roman" w:eastAsia="Times New Roman" w:hAnsi="Times New Roman"/>
                <w:sz w:val="24"/>
                <w:szCs w:val="24"/>
              </w:rPr>
              <w:t>.</w:t>
            </w:r>
            <w:r w:rsidRPr="006A4D3B">
              <w:rPr>
                <w:rFonts w:ascii="Times New Roman" w:eastAsia="Times New Roman" w:hAnsi="Times New Roman"/>
                <w:sz w:val="24"/>
                <w:szCs w:val="24"/>
              </w:rPr>
              <w:tab/>
            </w:r>
          </w:p>
          <w:p w:rsidR="001E2EFE" w:rsidRPr="006A4D3B" w:rsidRDefault="001E2EFE" w:rsidP="00C37089">
            <w:pPr>
              <w:spacing w:line="264" w:lineRule="exact"/>
              <w:ind w:right="211"/>
              <w:rPr>
                <w:szCs w:val="24"/>
              </w:rPr>
            </w:pPr>
          </w:p>
          <w:p w:rsidR="001E2EFE" w:rsidRPr="00917A3F" w:rsidRDefault="001E2EFE" w:rsidP="001E2EFE">
            <w:pPr>
              <w:pStyle w:val="ListParagraph"/>
              <w:widowControl w:val="0"/>
              <w:numPr>
                <w:ilvl w:val="0"/>
                <w:numId w:val="10"/>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GRF_116_0: Insurance Concentration Risk Charge</w:t>
            </w:r>
            <w:r>
              <w:rPr>
                <w:rFonts w:ascii="Times New Roman" w:eastAsia="Times New Roman" w:hAnsi="Times New Roman"/>
                <w:sz w:val="24"/>
                <w:szCs w:val="24"/>
              </w:rPr>
              <w:t>.</w:t>
            </w:r>
          </w:p>
          <w:p w:rsidR="001E2EFE" w:rsidRPr="00917A3F" w:rsidRDefault="001E2EFE" w:rsidP="00C37089">
            <w:pPr>
              <w:pStyle w:val="ListParagraph"/>
              <w:spacing w:line="264" w:lineRule="exact"/>
              <w:ind w:left="827" w:right="211"/>
              <w:rPr>
                <w:rFonts w:ascii="Times New Roman" w:eastAsia="Times New Roman" w:hAnsi="Times New Roman"/>
                <w:sz w:val="24"/>
                <w:szCs w:val="24"/>
              </w:rPr>
            </w:pPr>
          </w:p>
          <w:p w:rsidR="001E2EFE" w:rsidRPr="00917A3F" w:rsidRDefault="001E2EFE" w:rsidP="001E2EFE">
            <w:pPr>
              <w:pStyle w:val="ListParagraph"/>
              <w:widowControl w:val="0"/>
              <w:numPr>
                <w:ilvl w:val="0"/>
                <w:numId w:val="10"/>
              </w:numPr>
              <w:spacing w:after="200" w:line="276" w:lineRule="auto"/>
              <w:contextualSpacing/>
              <w:rPr>
                <w:rFonts w:ascii="Times New Roman" w:hAnsi="Times New Roman"/>
                <w:sz w:val="24"/>
                <w:szCs w:val="24"/>
              </w:rPr>
            </w:pPr>
            <w:r>
              <w:rPr>
                <w:rFonts w:ascii="Times New Roman" w:hAnsi="Times New Roman"/>
                <w:sz w:val="24"/>
                <w:szCs w:val="24"/>
              </w:rPr>
              <w:t xml:space="preserve"> </w:t>
            </w:r>
            <w:r w:rsidRPr="006A4D3B">
              <w:rPr>
                <w:rFonts w:ascii="Times New Roman" w:hAnsi="Times New Roman"/>
                <w:sz w:val="24"/>
                <w:szCs w:val="24"/>
              </w:rPr>
              <w:t>GRF_114. 0: Asset Risk Charge</w:t>
            </w:r>
            <w:r>
              <w:rPr>
                <w:rFonts w:ascii="Times New Roman" w:hAnsi="Times New Roman"/>
                <w:sz w:val="24"/>
                <w:szCs w:val="24"/>
              </w:rPr>
              <w:t>.</w:t>
            </w:r>
          </w:p>
          <w:p w:rsidR="001E2EFE" w:rsidRPr="00917A3F" w:rsidRDefault="001E2EFE" w:rsidP="00C37089">
            <w:pPr>
              <w:pStyle w:val="ListParagraph"/>
              <w:ind w:left="827"/>
              <w:rPr>
                <w:rFonts w:ascii="Times New Roman" w:hAnsi="Times New Roman"/>
                <w:sz w:val="24"/>
                <w:szCs w:val="24"/>
              </w:rPr>
            </w:pPr>
          </w:p>
          <w:p w:rsidR="001E2EFE" w:rsidRPr="006A4D3B" w:rsidRDefault="001E2EFE" w:rsidP="001E2EFE">
            <w:pPr>
              <w:pStyle w:val="ListParagraph"/>
              <w:widowControl w:val="0"/>
              <w:numPr>
                <w:ilvl w:val="0"/>
                <w:numId w:val="10"/>
              </w:numPr>
              <w:spacing w:after="200" w:line="276" w:lineRule="auto"/>
              <w:contextualSpacing/>
              <w:rPr>
                <w:rFonts w:ascii="Times New Roman" w:hAnsi="Times New Roman"/>
                <w:sz w:val="24"/>
                <w:szCs w:val="24"/>
              </w:rPr>
            </w:pPr>
            <w:r w:rsidRPr="006A4D3B">
              <w:rPr>
                <w:rFonts w:ascii="Times New Roman" w:eastAsia="Times New Roman" w:hAnsi="Times New Roman"/>
                <w:sz w:val="24"/>
                <w:szCs w:val="24"/>
              </w:rPr>
              <w:t>GRF_117</w:t>
            </w:r>
            <w:r w:rsidRPr="00917A3F">
              <w:rPr>
                <w:rFonts w:ascii="Times New Roman" w:eastAsia="Times New Roman" w:hAnsi="Times New Roman"/>
                <w:sz w:val="24"/>
                <w:szCs w:val="24"/>
              </w:rPr>
              <w:t>.</w:t>
            </w:r>
            <w:r w:rsidRPr="006A4D3B">
              <w:rPr>
                <w:rFonts w:ascii="Times New Roman" w:eastAsia="Times New Roman" w:hAnsi="Times New Roman"/>
                <w:sz w:val="24"/>
                <w:szCs w:val="24"/>
              </w:rPr>
              <w:t>0: Asset Concentration Risk Charge</w:t>
            </w:r>
            <w:r>
              <w:rPr>
                <w:rFonts w:ascii="Times New Roman" w:eastAsia="Times New Roman" w:hAnsi="Times New Roman"/>
                <w:sz w:val="24"/>
                <w:szCs w:val="24"/>
              </w:rPr>
              <w:t>.</w:t>
            </w:r>
          </w:p>
          <w:p w:rsidR="001E2EFE" w:rsidRPr="006A4D3B" w:rsidRDefault="001E2EFE" w:rsidP="00C37089">
            <w:pPr>
              <w:pStyle w:val="ListParagraph"/>
              <w:ind w:left="827"/>
              <w:rPr>
                <w:rFonts w:ascii="Times New Roman" w:hAnsi="Times New Roman"/>
                <w:sz w:val="24"/>
                <w:szCs w:val="24"/>
              </w:rPr>
            </w:pPr>
          </w:p>
          <w:p w:rsidR="001E2EFE" w:rsidRPr="006A4D3B" w:rsidRDefault="001E2EFE" w:rsidP="001E2EFE">
            <w:pPr>
              <w:pStyle w:val="ListParagraph"/>
              <w:widowControl w:val="0"/>
              <w:numPr>
                <w:ilvl w:val="0"/>
                <w:numId w:val="10"/>
              </w:numPr>
              <w:spacing w:after="200" w:line="276" w:lineRule="auto"/>
              <w:contextualSpacing/>
              <w:rPr>
                <w:rFonts w:ascii="Times New Roman" w:hAnsi="Times New Roman"/>
                <w:sz w:val="24"/>
                <w:szCs w:val="24"/>
              </w:rPr>
            </w:pPr>
            <w:r w:rsidRPr="006A4D3B">
              <w:rPr>
                <w:rFonts w:ascii="Times New Roman" w:hAnsi="Times New Roman"/>
                <w:sz w:val="24"/>
                <w:szCs w:val="24"/>
              </w:rPr>
              <w:t>GRF_118.0: Operational Risk Charge</w:t>
            </w:r>
            <w:r>
              <w:rPr>
                <w:rFonts w:ascii="Times New Roman" w:hAnsi="Times New Roman"/>
                <w:sz w:val="24"/>
                <w:szCs w:val="24"/>
              </w:rPr>
              <w:t>.</w:t>
            </w:r>
          </w:p>
          <w:p w:rsidR="001E2EFE" w:rsidRPr="006A4D3B" w:rsidRDefault="001E2EFE" w:rsidP="00C37089">
            <w:pPr>
              <w:pStyle w:val="ListParagraph"/>
              <w:spacing w:line="264" w:lineRule="exact"/>
              <w:ind w:left="1547" w:right="211"/>
              <w:rPr>
                <w:rFonts w:ascii="Times New Roman" w:eastAsia="Times New Roman" w:hAnsi="Times New Roman"/>
                <w:sz w:val="24"/>
                <w:szCs w:val="24"/>
              </w:rPr>
            </w:pPr>
          </w:p>
          <w:p w:rsidR="001E2EFE" w:rsidRPr="00917A3F" w:rsidRDefault="001E2EFE" w:rsidP="001E2EFE">
            <w:pPr>
              <w:pStyle w:val="ListParagraph"/>
              <w:widowControl w:val="0"/>
              <w:numPr>
                <w:ilvl w:val="0"/>
                <w:numId w:val="10"/>
              </w:numPr>
              <w:spacing w:line="264" w:lineRule="exact"/>
              <w:ind w:right="211"/>
              <w:rPr>
                <w:rFonts w:ascii="Times New Roman" w:eastAsia="Times New Roman" w:hAnsi="Times New Roman"/>
                <w:sz w:val="24"/>
                <w:szCs w:val="24"/>
              </w:rPr>
            </w:pPr>
            <w:r w:rsidRPr="00917A3F">
              <w:rPr>
                <w:rFonts w:ascii="Times New Roman" w:eastAsia="Times New Roman" w:hAnsi="Times New Roman"/>
                <w:sz w:val="24"/>
                <w:szCs w:val="24"/>
              </w:rPr>
              <w:t xml:space="preserve"> Aggregation benefit</w:t>
            </w:r>
            <w:r w:rsidRPr="00917A3F">
              <w:rPr>
                <w:rFonts w:ascii="Times New Roman" w:eastAsia="Times New Roman" w:hAnsi="Times New Roman"/>
                <w:sz w:val="24"/>
                <w:szCs w:val="24"/>
              </w:rPr>
              <w:tab/>
            </w:r>
            <w:r>
              <w:rPr>
                <w:rFonts w:ascii="Times New Roman" w:eastAsia="Times New Roman" w:hAnsi="Times New Roman"/>
                <w:sz w:val="24"/>
                <w:szCs w:val="24"/>
              </w:rPr>
              <w:t>.</w:t>
            </w:r>
          </w:p>
          <w:p w:rsidR="001E2EFE" w:rsidRPr="00917A3F" w:rsidRDefault="001E2EFE" w:rsidP="00C37089">
            <w:pPr>
              <w:pStyle w:val="ListParagraph"/>
              <w:spacing w:line="264" w:lineRule="exact"/>
              <w:ind w:left="827" w:right="211"/>
              <w:rPr>
                <w:rFonts w:ascii="Times New Roman" w:eastAsia="Times New Roman" w:hAnsi="Times New Roman"/>
                <w:sz w:val="24"/>
                <w:szCs w:val="24"/>
              </w:rPr>
            </w:pPr>
          </w:p>
          <w:p w:rsidR="001E2EFE" w:rsidRPr="00992C05" w:rsidRDefault="001E2EFE" w:rsidP="001E2EFE">
            <w:pPr>
              <w:pStyle w:val="ListParagraph"/>
              <w:widowControl w:val="0"/>
              <w:numPr>
                <w:ilvl w:val="0"/>
                <w:numId w:val="10"/>
              </w:numPr>
              <w:spacing w:line="264" w:lineRule="exact"/>
              <w:ind w:right="211"/>
              <w:rPr>
                <w:rFonts w:ascii="Times New Roman" w:eastAsia="Times New Roman" w:hAnsi="Times New Roman"/>
                <w:sz w:val="24"/>
                <w:szCs w:val="24"/>
              </w:rPr>
            </w:pPr>
            <w:r w:rsidRPr="00992C05">
              <w:rPr>
                <w:rFonts w:ascii="Times New Roman" w:eastAsia="Times New Roman" w:hAnsi="Times New Roman"/>
                <w:sz w:val="24"/>
                <w:szCs w:val="24"/>
              </w:rPr>
              <w:t>Adjustments to prescribed capital amount as approved by APRA – Total amount.</w:t>
            </w:r>
            <w:r w:rsidRPr="00992C05">
              <w:rPr>
                <w:rFonts w:ascii="Times New Roman" w:eastAsia="Times New Roman" w:hAnsi="Times New Roman"/>
                <w:sz w:val="24"/>
                <w:szCs w:val="24"/>
              </w:rPr>
              <w:tab/>
            </w:r>
          </w:p>
          <w:p w:rsidR="001E2EFE" w:rsidRPr="006A4D3B" w:rsidRDefault="001E2EFE" w:rsidP="00C37089">
            <w:pPr>
              <w:pStyle w:val="ListParagraph"/>
              <w:spacing w:line="264" w:lineRule="exact"/>
              <w:ind w:left="827" w:right="211"/>
              <w:rPr>
                <w:rFonts w:ascii="Times New Roman" w:eastAsia="Times New Roman" w:hAnsi="Times New Roman"/>
                <w:sz w:val="24"/>
                <w:szCs w:val="24"/>
              </w:rPr>
            </w:pPr>
          </w:p>
          <w:p w:rsidR="001E2EFE" w:rsidRPr="00917A3F" w:rsidRDefault="001E2EFE" w:rsidP="001E2EFE">
            <w:pPr>
              <w:pStyle w:val="ListParagraph"/>
              <w:widowControl w:val="0"/>
              <w:numPr>
                <w:ilvl w:val="0"/>
                <w:numId w:val="10"/>
              </w:numPr>
              <w:spacing w:line="264" w:lineRule="exact"/>
              <w:ind w:right="211"/>
              <w:rPr>
                <w:rFonts w:ascii="Times New Roman" w:eastAsia="Times New Roman" w:hAnsi="Times New Roman"/>
                <w:sz w:val="24"/>
                <w:szCs w:val="24"/>
              </w:rPr>
            </w:pPr>
            <w:r w:rsidRPr="00917A3F">
              <w:rPr>
                <w:rFonts w:ascii="Times New Roman" w:eastAsia="Times New Roman" w:hAnsi="Times New Roman"/>
                <w:sz w:val="24"/>
                <w:szCs w:val="24"/>
              </w:rPr>
              <w:t>Prescribed capital amount.</w:t>
            </w:r>
          </w:p>
          <w:p w:rsidR="001E2EFE" w:rsidRPr="00917A3F" w:rsidRDefault="001E2EFE" w:rsidP="00C37089">
            <w:pPr>
              <w:pStyle w:val="ListParagraph"/>
              <w:spacing w:line="264" w:lineRule="exact"/>
              <w:ind w:left="460" w:right="211"/>
              <w:rPr>
                <w:rFonts w:ascii="Times New Roman" w:eastAsia="Times New Roman" w:hAnsi="Times New Roman"/>
                <w:sz w:val="24"/>
                <w:szCs w:val="24"/>
              </w:rPr>
            </w:pPr>
          </w:p>
          <w:p w:rsidR="001E2EFE" w:rsidRPr="006A4D3B" w:rsidRDefault="001E2EFE" w:rsidP="001E2EFE">
            <w:pPr>
              <w:pStyle w:val="ListParagraph"/>
              <w:widowControl w:val="0"/>
              <w:numPr>
                <w:ilvl w:val="0"/>
                <w:numId w:val="9"/>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Section 2 Capital Adequacy Assessment</w:t>
            </w:r>
            <w:r w:rsidRPr="00917A3F">
              <w:rPr>
                <w:rFonts w:ascii="Times New Roman" w:eastAsia="Times New Roman" w:hAnsi="Times New Roman"/>
                <w:sz w:val="24"/>
                <w:szCs w:val="24"/>
              </w:rPr>
              <w:t xml:space="preserve"> - </w:t>
            </w:r>
            <w:r w:rsidRPr="006A4D3B">
              <w:rPr>
                <w:rFonts w:ascii="Times New Roman" w:eastAsia="Times New Roman" w:hAnsi="Times New Roman"/>
                <w:sz w:val="24"/>
                <w:szCs w:val="24"/>
              </w:rPr>
              <w:t>All data items</w:t>
            </w:r>
            <w:r>
              <w:rPr>
                <w:rFonts w:ascii="Times New Roman" w:eastAsia="Times New Roman" w:hAnsi="Times New Roman"/>
                <w:sz w:val="24"/>
                <w:szCs w:val="24"/>
              </w:rPr>
              <w:t>.</w:t>
            </w:r>
          </w:p>
          <w:p w:rsidR="001E2EFE" w:rsidRPr="00917A3F" w:rsidRDefault="001E2EFE" w:rsidP="00C37089">
            <w:pPr>
              <w:spacing w:line="264" w:lineRule="exact"/>
              <w:ind w:right="211"/>
              <w:rPr>
                <w:szCs w:val="24"/>
              </w:rPr>
            </w:pPr>
          </w:p>
          <w:p w:rsidR="001E2EFE" w:rsidRPr="006A4D3B" w:rsidRDefault="001E2EFE" w:rsidP="001E2EFE">
            <w:pPr>
              <w:pStyle w:val="ListParagraph"/>
              <w:widowControl w:val="0"/>
              <w:numPr>
                <w:ilvl w:val="0"/>
                <w:numId w:val="9"/>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Section 3</w:t>
            </w:r>
            <w:r w:rsidRPr="00917A3F">
              <w:rPr>
                <w:rFonts w:ascii="Times New Roman" w:eastAsia="Times New Roman" w:hAnsi="Times New Roman"/>
                <w:sz w:val="24"/>
                <w:szCs w:val="24"/>
              </w:rPr>
              <w:t xml:space="preserve"> </w:t>
            </w:r>
            <w:r w:rsidRPr="006A4D3B">
              <w:rPr>
                <w:rFonts w:ascii="Times New Roman" w:eastAsia="Times New Roman" w:hAnsi="Times New Roman"/>
                <w:sz w:val="24"/>
                <w:szCs w:val="24"/>
              </w:rPr>
              <w:t>Adjusted net assets in Australia</w:t>
            </w:r>
            <w:r w:rsidRPr="00917A3F">
              <w:rPr>
                <w:rFonts w:ascii="Times New Roman" w:eastAsia="Times New Roman" w:hAnsi="Times New Roman"/>
                <w:sz w:val="24"/>
                <w:szCs w:val="24"/>
              </w:rPr>
              <w:t xml:space="preserve"> - </w:t>
            </w:r>
            <w:r w:rsidRPr="006A4D3B">
              <w:rPr>
                <w:rFonts w:ascii="Times New Roman" w:eastAsia="Times New Roman" w:hAnsi="Times New Roman"/>
                <w:sz w:val="24"/>
                <w:szCs w:val="24"/>
              </w:rPr>
              <w:t>All data items</w:t>
            </w:r>
            <w:r>
              <w:rPr>
                <w:rFonts w:ascii="Times New Roman" w:eastAsia="Times New Roman" w:hAnsi="Times New Roman"/>
                <w:sz w:val="24"/>
                <w:szCs w:val="24"/>
              </w:rPr>
              <w:t xml:space="preserve">. </w:t>
            </w:r>
          </w:p>
          <w:p w:rsidR="001E2EFE" w:rsidRPr="00D46660" w:rsidRDefault="001E2EFE" w:rsidP="00C37089">
            <w:pPr>
              <w:spacing w:line="264" w:lineRule="exact"/>
              <w:ind w:left="100" w:right="211"/>
              <w:rPr>
                <w:szCs w:val="24"/>
              </w:rPr>
            </w:pPr>
          </w:p>
        </w:tc>
        <w:tc>
          <w:tcPr>
            <w:tcW w:w="4690" w:type="dxa"/>
          </w:tcPr>
          <w:p w:rsidR="001E2EFE" w:rsidRDefault="001E2EFE" w:rsidP="00C37089">
            <w:pPr>
              <w:spacing w:line="264" w:lineRule="exact"/>
              <w:ind w:left="100" w:right="211"/>
              <w:rPr>
                <w:szCs w:val="24"/>
              </w:rPr>
            </w:pPr>
            <w:r>
              <w:rPr>
                <w:szCs w:val="24"/>
              </w:rPr>
              <w:lastRenderedPageBreak/>
              <w:t>Reporting Standard GRS 110.1</w:t>
            </w:r>
            <w:r w:rsidRPr="00F752F3">
              <w:rPr>
                <w:szCs w:val="24"/>
              </w:rPr>
              <w:t xml:space="preserve"> </w:t>
            </w:r>
            <w:r>
              <w:rPr>
                <w:szCs w:val="24"/>
              </w:rPr>
              <w:t xml:space="preserve">Prescribed Capital Amount </w:t>
            </w:r>
            <w:r w:rsidRPr="00584D0D">
              <w:rPr>
                <w:szCs w:val="24"/>
              </w:rPr>
              <w:t xml:space="preserve">(which came into effect on 1 </w:t>
            </w:r>
            <w:r>
              <w:rPr>
                <w:szCs w:val="24"/>
              </w:rPr>
              <w:t>January 2013</w:t>
            </w:r>
            <w:r w:rsidRPr="00584D0D">
              <w:rPr>
                <w:szCs w:val="24"/>
              </w:rPr>
              <w:t>)</w:t>
            </w:r>
          </w:p>
          <w:p w:rsidR="001E2EFE" w:rsidRPr="00C9339D" w:rsidRDefault="001E2EFE" w:rsidP="00C37089">
            <w:pPr>
              <w:spacing w:line="264" w:lineRule="exact"/>
              <w:ind w:left="100" w:right="211"/>
              <w:rPr>
                <w:szCs w:val="24"/>
              </w:rPr>
            </w:pPr>
          </w:p>
        </w:tc>
      </w:tr>
      <w:tr w:rsidR="001E2EFE" w:rsidTr="00C37089">
        <w:tc>
          <w:tcPr>
            <w:tcW w:w="4690" w:type="dxa"/>
          </w:tcPr>
          <w:p w:rsidR="001E2EFE" w:rsidRDefault="001E2EFE" w:rsidP="00C37089">
            <w:pPr>
              <w:spacing w:line="264" w:lineRule="exact"/>
              <w:ind w:right="211"/>
              <w:rPr>
                <w:szCs w:val="24"/>
              </w:rPr>
            </w:pPr>
            <w:r>
              <w:rPr>
                <w:szCs w:val="24"/>
              </w:rPr>
              <w:lastRenderedPageBreak/>
              <w:t>GRF_114.</w:t>
            </w:r>
            <w:r w:rsidRPr="0023485B">
              <w:rPr>
                <w:szCs w:val="24"/>
              </w:rPr>
              <w:t>4: Details of Investment Assets</w:t>
            </w:r>
          </w:p>
          <w:p w:rsidR="001E2EFE" w:rsidRPr="00E11B03" w:rsidRDefault="001E2EFE" w:rsidP="00C37089">
            <w:pPr>
              <w:spacing w:line="264" w:lineRule="exact"/>
              <w:ind w:right="211"/>
              <w:rPr>
                <w:szCs w:val="24"/>
              </w:rPr>
            </w:pPr>
          </w:p>
          <w:p w:rsidR="001E2EFE" w:rsidRPr="00170443" w:rsidRDefault="001E2EFE" w:rsidP="001E2EFE">
            <w:pPr>
              <w:pStyle w:val="ListParagraph"/>
              <w:widowControl w:val="0"/>
              <w:numPr>
                <w:ilvl w:val="0"/>
                <w:numId w:val="12"/>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Section 1</w:t>
            </w:r>
            <w:r>
              <w:rPr>
                <w:rFonts w:ascii="Times New Roman" w:eastAsia="Times New Roman" w:hAnsi="Times New Roman"/>
                <w:sz w:val="24"/>
                <w:szCs w:val="24"/>
              </w:rPr>
              <w:t>:</w:t>
            </w:r>
            <w:r w:rsidRPr="006A4D3B">
              <w:rPr>
                <w:rFonts w:ascii="Times New Roman" w:eastAsia="Times New Roman" w:hAnsi="Times New Roman"/>
                <w:sz w:val="24"/>
                <w:szCs w:val="24"/>
              </w:rPr>
              <w:t xml:space="preserve"> Direct interest rate holdings</w:t>
            </w:r>
            <w:r w:rsidRPr="00170443">
              <w:rPr>
                <w:rFonts w:ascii="Times New Roman" w:eastAsia="Times New Roman" w:hAnsi="Times New Roman"/>
                <w:sz w:val="24"/>
                <w:szCs w:val="24"/>
              </w:rPr>
              <w:t xml:space="preserve"> </w:t>
            </w:r>
          </w:p>
          <w:p w:rsidR="001E2EFE" w:rsidRPr="006A4D3B" w:rsidRDefault="001E2EFE" w:rsidP="001E2EFE">
            <w:pPr>
              <w:pStyle w:val="ListParagraph"/>
              <w:widowControl w:val="0"/>
              <w:numPr>
                <w:ilvl w:val="0"/>
                <w:numId w:val="19"/>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All data items</w:t>
            </w:r>
            <w:r>
              <w:rPr>
                <w:rFonts w:ascii="Times New Roman" w:eastAsia="Times New Roman" w:hAnsi="Times New Roman"/>
                <w:sz w:val="24"/>
                <w:szCs w:val="24"/>
              </w:rPr>
              <w:t>.</w:t>
            </w:r>
          </w:p>
          <w:p w:rsidR="001E2EFE" w:rsidRPr="00170443" w:rsidRDefault="001E2EFE" w:rsidP="00C37089">
            <w:pPr>
              <w:spacing w:line="264" w:lineRule="exact"/>
              <w:ind w:left="100" w:right="211"/>
              <w:rPr>
                <w:szCs w:val="24"/>
              </w:rPr>
            </w:pPr>
          </w:p>
          <w:p w:rsidR="001E2EFE" w:rsidRPr="006A4D3B" w:rsidRDefault="001E2EFE" w:rsidP="001E2EFE">
            <w:pPr>
              <w:pStyle w:val="ListParagraph"/>
              <w:widowControl w:val="0"/>
              <w:numPr>
                <w:ilvl w:val="0"/>
                <w:numId w:val="12"/>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Section 2</w:t>
            </w:r>
            <w:r>
              <w:rPr>
                <w:rFonts w:ascii="Times New Roman" w:eastAsia="Times New Roman" w:hAnsi="Times New Roman"/>
                <w:sz w:val="24"/>
                <w:szCs w:val="24"/>
              </w:rPr>
              <w:t>:</w:t>
            </w:r>
            <w:r w:rsidRPr="00170443">
              <w:rPr>
                <w:rFonts w:ascii="Times New Roman" w:eastAsia="Times New Roman" w:hAnsi="Times New Roman"/>
                <w:sz w:val="24"/>
                <w:szCs w:val="24"/>
              </w:rPr>
              <w:t xml:space="preserve"> </w:t>
            </w:r>
            <w:r w:rsidRPr="006A4D3B">
              <w:rPr>
                <w:rFonts w:ascii="Times New Roman" w:eastAsia="Times New Roman" w:hAnsi="Times New Roman"/>
                <w:sz w:val="24"/>
                <w:szCs w:val="24"/>
              </w:rPr>
              <w:t>Direct equity holdings</w:t>
            </w:r>
            <w:r>
              <w:rPr>
                <w:rFonts w:ascii="Times New Roman" w:eastAsia="Times New Roman" w:hAnsi="Times New Roman"/>
                <w:sz w:val="24"/>
                <w:szCs w:val="24"/>
              </w:rPr>
              <w:t xml:space="preserve">  </w:t>
            </w:r>
            <w:r w:rsidRPr="00170443">
              <w:rPr>
                <w:rFonts w:ascii="Times New Roman" w:eastAsia="Times New Roman" w:hAnsi="Times New Roman"/>
                <w:sz w:val="24"/>
                <w:szCs w:val="24"/>
              </w:rPr>
              <w:t xml:space="preserve"> </w:t>
            </w:r>
          </w:p>
          <w:p w:rsidR="001E2EFE" w:rsidRDefault="001E2EFE" w:rsidP="001E2EFE">
            <w:pPr>
              <w:pStyle w:val="ListParagraph"/>
              <w:widowControl w:val="0"/>
              <w:numPr>
                <w:ilvl w:val="0"/>
                <w:numId w:val="19"/>
              </w:numPr>
              <w:spacing w:after="200" w:line="276" w:lineRule="auto"/>
              <w:contextualSpacing/>
              <w:rPr>
                <w:rFonts w:ascii="Times New Roman" w:hAnsi="Times New Roman"/>
                <w:sz w:val="24"/>
                <w:szCs w:val="24"/>
              </w:rPr>
            </w:pPr>
            <w:r w:rsidRPr="006A4D3B">
              <w:rPr>
                <w:rFonts w:ascii="Times New Roman" w:hAnsi="Times New Roman"/>
                <w:sz w:val="24"/>
                <w:szCs w:val="24"/>
              </w:rPr>
              <w:t>All data items</w:t>
            </w:r>
            <w:r>
              <w:rPr>
                <w:rFonts w:ascii="Times New Roman" w:hAnsi="Times New Roman"/>
                <w:sz w:val="24"/>
                <w:szCs w:val="24"/>
              </w:rPr>
              <w:t>.</w:t>
            </w:r>
          </w:p>
          <w:p w:rsidR="001E2EFE" w:rsidRPr="00E11B03" w:rsidRDefault="001E2EFE" w:rsidP="00C37089">
            <w:pPr>
              <w:pStyle w:val="ListParagraph"/>
            </w:pPr>
          </w:p>
          <w:p w:rsidR="001E2EFE" w:rsidRPr="006A4D3B" w:rsidRDefault="001E2EFE" w:rsidP="001E2EFE">
            <w:pPr>
              <w:pStyle w:val="ListParagraph"/>
              <w:widowControl w:val="0"/>
              <w:numPr>
                <w:ilvl w:val="0"/>
                <w:numId w:val="12"/>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Section 3</w:t>
            </w:r>
            <w:r>
              <w:rPr>
                <w:rFonts w:ascii="Times New Roman" w:eastAsia="Times New Roman" w:hAnsi="Times New Roman"/>
                <w:sz w:val="24"/>
                <w:szCs w:val="24"/>
              </w:rPr>
              <w:t>:</w:t>
            </w:r>
            <w:r w:rsidRPr="006A4D3B">
              <w:rPr>
                <w:rFonts w:ascii="Times New Roman" w:eastAsia="Times New Roman" w:hAnsi="Times New Roman"/>
                <w:sz w:val="24"/>
                <w:szCs w:val="24"/>
              </w:rPr>
              <w:t xml:space="preserve"> Direct property holdings</w:t>
            </w:r>
          </w:p>
          <w:p w:rsidR="001E2EFE" w:rsidRPr="006A4D3B" w:rsidRDefault="001E2EFE" w:rsidP="001E2EFE">
            <w:pPr>
              <w:pStyle w:val="ListParagraph"/>
              <w:widowControl w:val="0"/>
              <w:numPr>
                <w:ilvl w:val="0"/>
                <w:numId w:val="19"/>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All data items</w:t>
            </w:r>
            <w:r>
              <w:rPr>
                <w:rFonts w:ascii="Times New Roman" w:eastAsia="Times New Roman" w:hAnsi="Times New Roman"/>
                <w:sz w:val="24"/>
                <w:szCs w:val="24"/>
              </w:rPr>
              <w:t>.</w:t>
            </w:r>
          </w:p>
          <w:p w:rsidR="001E2EFE" w:rsidRPr="00E11B03" w:rsidRDefault="001E2EFE" w:rsidP="00C37089">
            <w:pPr>
              <w:spacing w:line="264" w:lineRule="exact"/>
              <w:ind w:left="100" w:right="211"/>
              <w:rPr>
                <w:szCs w:val="24"/>
              </w:rPr>
            </w:pPr>
          </w:p>
          <w:p w:rsidR="001E2EFE" w:rsidRDefault="001E2EFE" w:rsidP="001E2EFE">
            <w:pPr>
              <w:pStyle w:val="ListParagraph"/>
              <w:widowControl w:val="0"/>
              <w:numPr>
                <w:ilvl w:val="0"/>
                <w:numId w:val="12"/>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Section 4</w:t>
            </w:r>
            <w:r>
              <w:rPr>
                <w:rFonts w:ascii="Times New Roman" w:eastAsia="Times New Roman" w:hAnsi="Times New Roman"/>
                <w:sz w:val="24"/>
                <w:szCs w:val="24"/>
              </w:rPr>
              <w:t>:</w:t>
            </w:r>
            <w:r w:rsidRPr="00E11B03">
              <w:rPr>
                <w:rFonts w:ascii="Times New Roman" w:eastAsia="Times New Roman" w:hAnsi="Times New Roman"/>
                <w:sz w:val="24"/>
                <w:szCs w:val="24"/>
              </w:rPr>
              <w:t xml:space="preserve"> </w:t>
            </w:r>
            <w:r w:rsidRPr="006A4D3B">
              <w:rPr>
                <w:rFonts w:ascii="Times New Roman" w:eastAsia="Times New Roman" w:hAnsi="Times New Roman"/>
                <w:sz w:val="24"/>
                <w:szCs w:val="24"/>
              </w:rPr>
              <w:t>Loans and advances</w:t>
            </w:r>
            <w:r>
              <w:rPr>
                <w:rFonts w:ascii="Times New Roman" w:eastAsia="Times New Roman" w:hAnsi="Times New Roman"/>
                <w:sz w:val="24"/>
                <w:szCs w:val="24"/>
              </w:rPr>
              <w:t xml:space="preserve"> </w:t>
            </w:r>
          </w:p>
          <w:p w:rsidR="001E2EFE" w:rsidRPr="00E11B03" w:rsidRDefault="001E2EFE" w:rsidP="001E2EFE">
            <w:pPr>
              <w:pStyle w:val="ListParagraph"/>
              <w:widowControl w:val="0"/>
              <w:numPr>
                <w:ilvl w:val="0"/>
                <w:numId w:val="20"/>
              </w:numPr>
              <w:spacing w:line="264" w:lineRule="exact"/>
              <w:ind w:right="211"/>
              <w:contextualSpacing/>
              <w:rPr>
                <w:rFonts w:ascii="Times New Roman" w:eastAsia="Times New Roman" w:hAnsi="Times New Roman"/>
                <w:sz w:val="24"/>
                <w:szCs w:val="24"/>
              </w:rPr>
            </w:pPr>
            <w:r>
              <w:rPr>
                <w:rFonts w:ascii="Times New Roman" w:eastAsia="Times New Roman" w:hAnsi="Times New Roman"/>
                <w:sz w:val="24"/>
                <w:szCs w:val="24"/>
              </w:rPr>
              <w:t xml:space="preserve"> All data items. </w:t>
            </w:r>
            <w:r w:rsidRPr="00E11B03">
              <w:rPr>
                <w:rFonts w:ascii="Times New Roman" w:eastAsia="Times New Roman" w:hAnsi="Times New Roman"/>
                <w:sz w:val="24"/>
                <w:szCs w:val="24"/>
              </w:rPr>
              <w:t xml:space="preserve"> </w:t>
            </w:r>
          </w:p>
          <w:p w:rsidR="001E2EFE" w:rsidRPr="00F3797D" w:rsidRDefault="001E2EFE" w:rsidP="00C37089">
            <w:pPr>
              <w:spacing w:line="264" w:lineRule="exact"/>
              <w:ind w:left="100" w:right="211"/>
              <w:rPr>
                <w:szCs w:val="24"/>
              </w:rPr>
            </w:pPr>
          </w:p>
          <w:p w:rsidR="001E2EFE" w:rsidRPr="006A4D3B" w:rsidRDefault="001E2EFE" w:rsidP="001E2EFE">
            <w:pPr>
              <w:pStyle w:val="ListParagraph"/>
              <w:widowControl w:val="0"/>
              <w:numPr>
                <w:ilvl w:val="0"/>
                <w:numId w:val="12"/>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Section 5</w:t>
            </w:r>
            <w:r w:rsidRPr="00F3797D">
              <w:rPr>
                <w:rFonts w:ascii="Times New Roman" w:eastAsia="Times New Roman" w:hAnsi="Times New Roman"/>
                <w:sz w:val="24"/>
                <w:szCs w:val="24"/>
              </w:rPr>
              <w:t xml:space="preserve">: </w:t>
            </w:r>
            <w:r w:rsidRPr="006A4D3B">
              <w:rPr>
                <w:rFonts w:ascii="Times New Roman" w:eastAsia="Times New Roman" w:hAnsi="Times New Roman"/>
                <w:sz w:val="24"/>
                <w:szCs w:val="24"/>
              </w:rPr>
              <w:t>Holdings in indirect investment vehicles</w:t>
            </w:r>
            <w:r w:rsidRPr="00F3797D">
              <w:rPr>
                <w:rFonts w:ascii="Times New Roman" w:eastAsia="Times New Roman" w:hAnsi="Times New Roman"/>
                <w:sz w:val="24"/>
                <w:szCs w:val="24"/>
              </w:rPr>
              <w:t xml:space="preserve">: </w:t>
            </w:r>
          </w:p>
          <w:p w:rsidR="001E2EFE" w:rsidRPr="006A4D3B" w:rsidRDefault="001E2EFE" w:rsidP="00C37089">
            <w:pPr>
              <w:pStyle w:val="ListParagraph"/>
              <w:rPr>
                <w:rFonts w:ascii="Times New Roman" w:hAnsi="Times New Roman"/>
                <w:sz w:val="24"/>
                <w:szCs w:val="24"/>
              </w:rPr>
            </w:pPr>
            <w:r w:rsidRPr="006A4D3B">
              <w:rPr>
                <w:rFonts w:ascii="Times New Roman" w:hAnsi="Times New Roman"/>
                <w:sz w:val="24"/>
                <w:szCs w:val="24"/>
              </w:rPr>
              <w:t>Part 1. Total holdings in indirect investment vehicles - All data items.</w:t>
            </w:r>
          </w:p>
          <w:p w:rsidR="001E2EFE" w:rsidRPr="006A4D3B" w:rsidRDefault="001E2EFE" w:rsidP="00C37089">
            <w:pPr>
              <w:pStyle w:val="ListParagraph"/>
              <w:rPr>
                <w:rFonts w:ascii="Times New Roman" w:hAnsi="Times New Roman"/>
                <w:sz w:val="24"/>
                <w:szCs w:val="24"/>
              </w:rPr>
            </w:pPr>
          </w:p>
          <w:p w:rsidR="001E2EFE" w:rsidRPr="00F3797D" w:rsidRDefault="001E2EFE" w:rsidP="001E2EFE">
            <w:pPr>
              <w:pStyle w:val="ListParagraph"/>
              <w:widowControl w:val="0"/>
              <w:numPr>
                <w:ilvl w:val="0"/>
                <w:numId w:val="12"/>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Section 6</w:t>
            </w:r>
            <w:r w:rsidRPr="00F3797D">
              <w:rPr>
                <w:rFonts w:ascii="Times New Roman" w:eastAsia="Times New Roman" w:hAnsi="Times New Roman"/>
                <w:sz w:val="24"/>
                <w:szCs w:val="24"/>
              </w:rPr>
              <w:t>:</w:t>
            </w:r>
            <w:r w:rsidRPr="006A4D3B">
              <w:rPr>
                <w:rFonts w:ascii="Times New Roman" w:eastAsia="Times New Roman" w:hAnsi="Times New Roman"/>
                <w:sz w:val="24"/>
                <w:szCs w:val="24"/>
              </w:rPr>
              <w:t xml:space="preserve"> Policyholders' / Shareholders' funds</w:t>
            </w:r>
            <w:r w:rsidRPr="00F3797D">
              <w:rPr>
                <w:rFonts w:ascii="Times New Roman" w:eastAsia="Times New Roman" w:hAnsi="Times New Roman"/>
                <w:sz w:val="24"/>
                <w:szCs w:val="24"/>
              </w:rPr>
              <w:t xml:space="preserve"> – All data items. </w:t>
            </w:r>
            <w:r w:rsidRPr="006A4D3B">
              <w:rPr>
                <w:rFonts w:ascii="Times New Roman" w:eastAsia="Times New Roman" w:hAnsi="Times New Roman"/>
                <w:sz w:val="24"/>
                <w:szCs w:val="24"/>
              </w:rPr>
              <w:t xml:space="preserve"> </w:t>
            </w:r>
          </w:p>
          <w:p w:rsidR="001E2EFE" w:rsidRPr="00F3797D" w:rsidRDefault="001E2EFE" w:rsidP="00C37089">
            <w:pPr>
              <w:spacing w:line="264" w:lineRule="exact"/>
              <w:ind w:left="100" w:right="211"/>
              <w:rPr>
                <w:szCs w:val="24"/>
              </w:rPr>
            </w:pPr>
          </w:p>
          <w:p w:rsidR="001E2EFE" w:rsidRPr="00E11B03" w:rsidRDefault="001E2EFE" w:rsidP="001E2EFE">
            <w:pPr>
              <w:pStyle w:val="ListParagraph"/>
              <w:widowControl w:val="0"/>
              <w:numPr>
                <w:ilvl w:val="0"/>
                <w:numId w:val="12"/>
              </w:numPr>
              <w:spacing w:line="264" w:lineRule="exact"/>
              <w:ind w:right="211"/>
              <w:contextualSpacing/>
            </w:pPr>
            <w:r w:rsidRPr="006A4D3B">
              <w:rPr>
                <w:rFonts w:ascii="Times New Roman" w:eastAsia="Times New Roman" w:hAnsi="Times New Roman"/>
                <w:sz w:val="24"/>
                <w:szCs w:val="24"/>
              </w:rPr>
              <w:t>Section 7</w:t>
            </w:r>
            <w:r w:rsidRPr="00F3797D">
              <w:rPr>
                <w:rFonts w:ascii="Times New Roman" w:eastAsia="Times New Roman" w:hAnsi="Times New Roman"/>
                <w:sz w:val="24"/>
                <w:szCs w:val="24"/>
              </w:rPr>
              <w:t>:</w:t>
            </w:r>
            <w:r w:rsidRPr="006A4D3B">
              <w:rPr>
                <w:rFonts w:ascii="Times New Roman" w:eastAsia="Times New Roman" w:hAnsi="Times New Roman"/>
                <w:sz w:val="24"/>
                <w:szCs w:val="24"/>
              </w:rPr>
              <w:t xml:space="preserve"> Investments with related parties</w:t>
            </w:r>
            <w:r w:rsidRPr="00F3797D">
              <w:rPr>
                <w:rFonts w:ascii="Times New Roman" w:eastAsia="Times New Roman" w:hAnsi="Times New Roman"/>
                <w:sz w:val="24"/>
                <w:szCs w:val="24"/>
              </w:rPr>
              <w:t xml:space="preserve"> – All data items.</w:t>
            </w:r>
            <w:r>
              <w:rPr>
                <w:rFonts w:ascii="Times New Roman" w:eastAsia="Times New Roman" w:hAnsi="Times New Roman"/>
                <w:sz w:val="24"/>
                <w:szCs w:val="24"/>
              </w:rPr>
              <w:t xml:space="preserve"> </w:t>
            </w:r>
          </w:p>
          <w:p w:rsidR="001E2EFE" w:rsidRPr="00E11B03" w:rsidRDefault="001E2EFE" w:rsidP="00C37089">
            <w:pPr>
              <w:spacing w:line="264" w:lineRule="exact"/>
              <w:ind w:left="100" w:right="211"/>
              <w:rPr>
                <w:szCs w:val="24"/>
              </w:rPr>
            </w:pPr>
          </w:p>
        </w:tc>
        <w:tc>
          <w:tcPr>
            <w:tcW w:w="4690" w:type="dxa"/>
          </w:tcPr>
          <w:p w:rsidR="001E2EFE" w:rsidRDefault="001E2EFE" w:rsidP="00C37089">
            <w:pPr>
              <w:spacing w:line="264" w:lineRule="exact"/>
              <w:ind w:left="100" w:right="211"/>
              <w:rPr>
                <w:szCs w:val="24"/>
              </w:rPr>
            </w:pPr>
            <w:r>
              <w:rPr>
                <w:szCs w:val="24"/>
              </w:rPr>
              <w:t>Reporting Standard GRS 114.4</w:t>
            </w:r>
            <w:r w:rsidRPr="00F752F3">
              <w:rPr>
                <w:szCs w:val="24"/>
              </w:rPr>
              <w:t xml:space="preserve"> </w:t>
            </w:r>
            <w:r>
              <w:rPr>
                <w:szCs w:val="24"/>
              </w:rPr>
              <w:t xml:space="preserve">Details of Investment Assets </w:t>
            </w:r>
            <w:r w:rsidRPr="00584D0D">
              <w:rPr>
                <w:szCs w:val="24"/>
              </w:rPr>
              <w:t xml:space="preserve">(which came into effect on 1 </w:t>
            </w:r>
            <w:r>
              <w:rPr>
                <w:szCs w:val="24"/>
              </w:rPr>
              <w:t>January 2013</w:t>
            </w:r>
            <w:r w:rsidRPr="00584D0D">
              <w:rPr>
                <w:szCs w:val="24"/>
              </w:rPr>
              <w:t>)</w:t>
            </w:r>
          </w:p>
          <w:p w:rsidR="001E2EFE" w:rsidRDefault="001E2EFE" w:rsidP="00C37089">
            <w:pPr>
              <w:spacing w:line="264" w:lineRule="exact"/>
              <w:ind w:left="100" w:right="211"/>
              <w:rPr>
                <w:szCs w:val="24"/>
              </w:rPr>
            </w:pPr>
          </w:p>
        </w:tc>
      </w:tr>
      <w:tr w:rsidR="001E2EFE" w:rsidTr="00C37089">
        <w:trPr>
          <w:trHeight w:val="1350"/>
        </w:trPr>
        <w:tc>
          <w:tcPr>
            <w:tcW w:w="4690" w:type="dxa"/>
          </w:tcPr>
          <w:p w:rsidR="001E2EFE" w:rsidRPr="00F3797D" w:rsidRDefault="001E2EFE" w:rsidP="00C37089">
            <w:pPr>
              <w:spacing w:line="264" w:lineRule="exact"/>
              <w:ind w:right="211"/>
              <w:rPr>
                <w:szCs w:val="24"/>
              </w:rPr>
            </w:pPr>
            <w:r w:rsidRPr="00D46660">
              <w:rPr>
                <w:szCs w:val="24"/>
              </w:rPr>
              <w:t>GRF_310_</w:t>
            </w:r>
            <w:r>
              <w:rPr>
                <w:szCs w:val="24"/>
              </w:rPr>
              <w:t>1</w:t>
            </w:r>
            <w:r w:rsidRPr="00D46660">
              <w:rPr>
                <w:szCs w:val="24"/>
              </w:rPr>
              <w:t xml:space="preserve">_L: </w:t>
            </w:r>
            <w:r>
              <w:rPr>
                <w:szCs w:val="24"/>
              </w:rPr>
              <w:t xml:space="preserve">Premium Revenue and </w:t>
            </w:r>
            <w:r w:rsidRPr="00F3797D">
              <w:rPr>
                <w:szCs w:val="24"/>
              </w:rPr>
              <w:t xml:space="preserve">Reinsurance Expense </w:t>
            </w:r>
          </w:p>
          <w:p w:rsidR="001E2EFE" w:rsidRPr="00F3797D" w:rsidRDefault="001E2EFE" w:rsidP="00C37089">
            <w:pPr>
              <w:spacing w:line="264" w:lineRule="exact"/>
              <w:ind w:right="211"/>
              <w:rPr>
                <w:szCs w:val="24"/>
              </w:rPr>
            </w:pPr>
          </w:p>
          <w:p w:rsidR="001E2EFE" w:rsidRPr="006A4D3B" w:rsidRDefault="001E2EFE" w:rsidP="001E2EFE">
            <w:pPr>
              <w:pStyle w:val="ListParagraph"/>
              <w:widowControl w:val="0"/>
              <w:numPr>
                <w:ilvl w:val="2"/>
                <w:numId w:val="10"/>
              </w:numPr>
              <w:spacing w:after="200" w:line="276" w:lineRule="auto"/>
              <w:contextualSpacing/>
              <w:rPr>
                <w:rFonts w:eastAsia="Times New Roman"/>
              </w:rPr>
            </w:pPr>
            <w:r w:rsidRPr="006A4D3B">
              <w:rPr>
                <w:rFonts w:ascii="Times New Roman" w:hAnsi="Times New Roman"/>
                <w:sz w:val="24"/>
                <w:szCs w:val="24"/>
              </w:rPr>
              <w:t>Section 3: Total</w:t>
            </w:r>
            <w:r w:rsidRPr="00F3797D">
              <w:rPr>
                <w:rFonts w:ascii="Times New Roman" w:eastAsia="Times New Roman" w:hAnsi="Times New Roman"/>
                <w:sz w:val="24"/>
                <w:szCs w:val="24"/>
              </w:rPr>
              <w:t xml:space="preserve"> - </w:t>
            </w:r>
            <w:r w:rsidRPr="006A4D3B">
              <w:rPr>
                <w:rFonts w:ascii="Times New Roman" w:eastAsia="Times New Roman" w:hAnsi="Times New Roman"/>
                <w:sz w:val="24"/>
                <w:szCs w:val="24"/>
              </w:rPr>
              <w:t>All data items.</w:t>
            </w:r>
          </w:p>
        </w:tc>
        <w:tc>
          <w:tcPr>
            <w:tcW w:w="4690" w:type="dxa"/>
          </w:tcPr>
          <w:p w:rsidR="001E2EFE" w:rsidRDefault="001E2EFE" w:rsidP="00C37089">
            <w:pPr>
              <w:spacing w:line="264" w:lineRule="exact"/>
              <w:ind w:left="100" w:right="211"/>
              <w:rPr>
                <w:szCs w:val="24"/>
              </w:rPr>
            </w:pPr>
            <w:r>
              <w:rPr>
                <w:szCs w:val="24"/>
              </w:rPr>
              <w:t>Reporting Standard GRS 310.1</w:t>
            </w:r>
            <w:r w:rsidRPr="00F752F3">
              <w:rPr>
                <w:szCs w:val="24"/>
              </w:rPr>
              <w:t xml:space="preserve"> </w:t>
            </w:r>
            <w:r>
              <w:rPr>
                <w:szCs w:val="24"/>
              </w:rPr>
              <w:t>Premium Revenue and Reinsurance Expense</w:t>
            </w:r>
            <w:r w:rsidRPr="00584D0D">
              <w:rPr>
                <w:szCs w:val="24"/>
              </w:rPr>
              <w:t xml:space="preserve">(which came into effect on 1 </w:t>
            </w:r>
            <w:r>
              <w:rPr>
                <w:szCs w:val="24"/>
              </w:rPr>
              <w:t>January 2013</w:t>
            </w:r>
            <w:r w:rsidRPr="00584D0D">
              <w:rPr>
                <w:szCs w:val="24"/>
              </w:rPr>
              <w:t>)</w:t>
            </w:r>
          </w:p>
          <w:p w:rsidR="001E2EFE" w:rsidRDefault="001E2EFE" w:rsidP="00C37089">
            <w:pPr>
              <w:spacing w:line="264" w:lineRule="exact"/>
              <w:ind w:left="100" w:right="211"/>
              <w:rPr>
                <w:szCs w:val="24"/>
              </w:rPr>
            </w:pPr>
          </w:p>
        </w:tc>
      </w:tr>
    </w:tbl>
    <w:p w:rsidR="001E2EFE" w:rsidRDefault="001E2EFE" w:rsidP="001E2EFE">
      <w:pPr>
        <w:spacing w:before="19" w:line="240" w:lineRule="exact"/>
        <w:rPr>
          <w:szCs w:val="24"/>
        </w:rPr>
      </w:pPr>
    </w:p>
    <w:p w:rsidR="001E2EFE" w:rsidRPr="006C6743" w:rsidRDefault="001E2EFE" w:rsidP="001E2EFE">
      <w:pPr>
        <w:spacing w:line="264" w:lineRule="exact"/>
        <w:ind w:left="100" w:right="211"/>
        <w:rPr>
          <w:szCs w:val="24"/>
        </w:rPr>
      </w:pPr>
      <w:r w:rsidRPr="006C6743">
        <w:rPr>
          <w:szCs w:val="24"/>
        </w:rPr>
        <w:t>AND</w:t>
      </w:r>
    </w:p>
    <w:p w:rsidR="001E2EFE" w:rsidRDefault="001E2EFE" w:rsidP="001E2EFE">
      <w:pPr>
        <w:spacing w:before="19" w:line="240" w:lineRule="exact"/>
        <w:rPr>
          <w:szCs w:val="24"/>
        </w:rPr>
      </w:pPr>
    </w:p>
    <w:p w:rsidR="001E2EFE" w:rsidRDefault="001E2EFE" w:rsidP="001E2EFE">
      <w:pPr>
        <w:spacing w:line="264" w:lineRule="exact"/>
        <w:ind w:left="100" w:right="211"/>
        <w:rPr>
          <w:szCs w:val="24"/>
        </w:rPr>
      </w:pPr>
      <w:r w:rsidRPr="00DF3F06">
        <w:rPr>
          <w:szCs w:val="24"/>
        </w:rPr>
        <w:t xml:space="preserve">This determination applies to </w:t>
      </w:r>
      <w:r>
        <w:rPr>
          <w:szCs w:val="24"/>
        </w:rPr>
        <w:t xml:space="preserve">annual information in </w:t>
      </w:r>
      <w:r w:rsidRPr="00DF3F06">
        <w:rPr>
          <w:szCs w:val="24"/>
        </w:rPr>
        <w:t xml:space="preserve">the following parts of reporting forms </w:t>
      </w:r>
      <w:r w:rsidRPr="00584D0D">
        <w:rPr>
          <w:szCs w:val="24"/>
        </w:rPr>
        <w:t>given to APRA by a parent entity of a Level 2 insurance group</w:t>
      </w:r>
      <w:r>
        <w:rPr>
          <w:szCs w:val="24"/>
        </w:rPr>
        <w:t xml:space="preserve"> </w:t>
      </w:r>
      <w:r w:rsidRPr="00DF3F06">
        <w:rPr>
          <w:szCs w:val="24"/>
        </w:rPr>
        <w:t xml:space="preserve">under the following reporting standards, where a period of </w:t>
      </w:r>
      <w:r w:rsidRPr="00882707">
        <w:rPr>
          <w:szCs w:val="24"/>
        </w:rPr>
        <w:t>at least 14 days</w:t>
      </w:r>
      <w:r w:rsidRPr="00DF3F06">
        <w:rPr>
          <w:szCs w:val="24"/>
        </w:rPr>
        <w:t xml:space="preserve"> has elapsed from the date the general insurer was required to provide the information required under the reporting standard</w:t>
      </w:r>
      <w:r>
        <w:rPr>
          <w:szCs w:val="24"/>
        </w:rPr>
        <w:t>s in accordance with paragraph 7</w:t>
      </w:r>
      <w:r w:rsidRPr="00DF3F06">
        <w:rPr>
          <w:szCs w:val="24"/>
        </w:rPr>
        <w:t xml:space="preserve"> of Reporting Standard GRS 001 Reporting Requirements:</w:t>
      </w:r>
    </w:p>
    <w:p w:rsidR="001E2EFE" w:rsidRDefault="001E2EFE" w:rsidP="001E2EFE">
      <w:pPr>
        <w:spacing w:line="264" w:lineRule="exact"/>
        <w:ind w:left="100" w:right="211"/>
        <w:rPr>
          <w:szCs w:val="24"/>
        </w:rPr>
      </w:pPr>
    </w:p>
    <w:p w:rsidR="001E2EFE" w:rsidRPr="006A4D3B" w:rsidRDefault="001E2EFE" w:rsidP="001E2EFE">
      <w:pPr>
        <w:pStyle w:val="ListParagraph"/>
        <w:widowControl w:val="0"/>
        <w:numPr>
          <w:ilvl w:val="0"/>
          <w:numId w:val="11"/>
        </w:numPr>
        <w:spacing w:line="264" w:lineRule="exact"/>
        <w:ind w:right="211"/>
        <w:contextualSpacing/>
        <w:rPr>
          <w:rFonts w:ascii="Times New Roman" w:eastAsia="Times New Roman" w:hAnsi="Times New Roman"/>
          <w:b/>
          <w:sz w:val="24"/>
          <w:szCs w:val="24"/>
        </w:rPr>
      </w:pPr>
      <w:r w:rsidRPr="006A4D3B">
        <w:rPr>
          <w:rFonts w:ascii="Times New Roman" w:eastAsia="Times New Roman" w:hAnsi="Times New Roman"/>
          <w:b/>
          <w:sz w:val="24"/>
          <w:szCs w:val="24"/>
        </w:rPr>
        <w:t xml:space="preserve">New reporting standards </w:t>
      </w:r>
      <w:r>
        <w:rPr>
          <w:rFonts w:ascii="Times New Roman" w:eastAsia="Times New Roman" w:hAnsi="Times New Roman"/>
          <w:b/>
          <w:sz w:val="24"/>
          <w:szCs w:val="24"/>
        </w:rPr>
        <w:t xml:space="preserve">for </w:t>
      </w:r>
      <w:r w:rsidR="009B7D33">
        <w:rPr>
          <w:rFonts w:ascii="Times New Roman" w:eastAsia="Times New Roman" w:hAnsi="Times New Roman"/>
          <w:b/>
          <w:sz w:val="24"/>
          <w:szCs w:val="24"/>
        </w:rPr>
        <w:t xml:space="preserve">level 2 insurance groups </w:t>
      </w:r>
      <w:r w:rsidRPr="006A4D3B">
        <w:rPr>
          <w:rFonts w:ascii="Times New Roman" w:eastAsia="Times New Roman" w:hAnsi="Times New Roman"/>
          <w:b/>
          <w:sz w:val="24"/>
          <w:szCs w:val="24"/>
        </w:rPr>
        <w:t>which came into effect on 1 January 2013</w:t>
      </w:r>
    </w:p>
    <w:p w:rsidR="001E2EFE" w:rsidRDefault="001E2EFE" w:rsidP="001E2EFE">
      <w:pPr>
        <w:spacing w:line="264" w:lineRule="exact"/>
        <w:ind w:left="100" w:right="211"/>
        <w:rPr>
          <w:szCs w:val="24"/>
        </w:rPr>
      </w:pPr>
    </w:p>
    <w:tbl>
      <w:tblPr>
        <w:tblStyle w:val="TableGrid"/>
        <w:tblW w:w="0" w:type="auto"/>
        <w:tblInd w:w="100" w:type="dxa"/>
        <w:tblLook w:val="04A0" w:firstRow="1" w:lastRow="0" w:firstColumn="1" w:lastColumn="0" w:noHBand="0" w:noVBand="1"/>
      </w:tblPr>
      <w:tblGrid>
        <w:gridCol w:w="4770"/>
        <w:gridCol w:w="3652"/>
      </w:tblGrid>
      <w:tr w:rsidR="001E2EFE" w:rsidTr="00C37089">
        <w:trPr>
          <w:tblHeader/>
        </w:trPr>
        <w:tc>
          <w:tcPr>
            <w:tcW w:w="4828" w:type="dxa"/>
          </w:tcPr>
          <w:p w:rsidR="001E2EFE" w:rsidRDefault="001E2EFE" w:rsidP="00C37089">
            <w:pPr>
              <w:spacing w:line="264" w:lineRule="exact"/>
              <w:ind w:left="100" w:right="211"/>
              <w:rPr>
                <w:szCs w:val="24"/>
              </w:rPr>
            </w:pPr>
            <w:r>
              <w:rPr>
                <w:szCs w:val="24"/>
              </w:rPr>
              <w:t>Parts of reporting form covered by this determination</w:t>
            </w:r>
          </w:p>
        </w:tc>
        <w:tc>
          <w:tcPr>
            <w:tcW w:w="4552" w:type="dxa"/>
          </w:tcPr>
          <w:p w:rsidR="001E2EFE" w:rsidRDefault="001E2EFE" w:rsidP="00C37089">
            <w:pPr>
              <w:spacing w:line="264" w:lineRule="exact"/>
              <w:ind w:left="100" w:right="211"/>
              <w:rPr>
                <w:szCs w:val="24"/>
              </w:rPr>
            </w:pPr>
            <w:r>
              <w:rPr>
                <w:szCs w:val="24"/>
              </w:rPr>
              <w:t>Reporting standards</w:t>
            </w:r>
          </w:p>
        </w:tc>
      </w:tr>
      <w:tr w:rsidR="001E2EFE" w:rsidRPr="001456E1" w:rsidTr="00C37089">
        <w:tc>
          <w:tcPr>
            <w:tcW w:w="4828" w:type="dxa"/>
          </w:tcPr>
          <w:p w:rsidR="001E2EFE" w:rsidRDefault="001E2EFE" w:rsidP="00C37089">
            <w:pPr>
              <w:spacing w:line="264" w:lineRule="exact"/>
              <w:ind w:right="211"/>
              <w:rPr>
                <w:szCs w:val="24"/>
              </w:rPr>
            </w:pPr>
            <w:r>
              <w:rPr>
                <w:szCs w:val="24"/>
              </w:rPr>
              <w:t>GRF_110.</w:t>
            </w:r>
            <w:r w:rsidRPr="00641A7B">
              <w:rPr>
                <w:szCs w:val="24"/>
              </w:rPr>
              <w:t xml:space="preserve">1_G: Prescribed Capital Amount </w:t>
            </w:r>
            <w:r w:rsidRPr="00641A7B">
              <w:rPr>
                <w:szCs w:val="24"/>
              </w:rPr>
              <w:lastRenderedPageBreak/>
              <w:t>(G)</w:t>
            </w:r>
          </w:p>
          <w:p w:rsidR="001E2EFE" w:rsidRDefault="001E2EFE" w:rsidP="00C37089">
            <w:pPr>
              <w:spacing w:line="264" w:lineRule="exact"/>
              <w:ind w:right="211"/>
              <w:rPr>
                <w:szCs w:val="24"/>
              </w:rPr>
            </w:pPr>
          </w:p>
          <w:p w:rsidR="001E2EFE" w:rsidRDefault="001E2EFE" w:rsidP="001E2EFE">
            <w:pPr>
              <w:pStyle w:val="ListParagraph"/>
              <w:widowControl w:val="0"/>
              <w:numPr>
                <w:ilvl w:val="0"/>
                <w:numId w:val="23"/>
              </w:numPr>
              <w:spacing w:after="200" w:line="276" w:lineRule="auto"/>
              <w:contextualSpacing/>
              <w:rPr>
                <w:rFonts w:ascii="Times New Roman" w:hAnsi="Times New Roman"/>
                <w:sz w:val="24"/>
                <w:szCs w:val="24"/>
              </w:rPr>
            </w:pPr>
            <w:r w:rsidRPr="006A4D3B">
              <w:rPr>
                <w:rFonts w:ascii="Times New Roman" w:hAnsi="Times New Roman"/>
                <w:sz w:val="24"/>
                <w:szCs w:val="24"/>
              </w:rPr>
              <w:t xml:space="preserve">Section 1 Summary of prescribed capital amount: </w:t>
            </w:r>
          </w:p>
          <w:p w:rsidR="001E2EFE" w:rsidRPr="006A4D3B" w:rsidRDefault="001E2EFE" w:rsidP="00C37089">
            <w:pPr>
              <w:pStyle w:val="ListParagraph"/>
              <w:ind w:left="402"/>
              <w:rPr>
                <w:rFonts w:ascii="Times New Roman" w:hAnsi="Times New Roman"/>
                <w:sz w:val="24"/>
                <w:szCs w:val="24"/>
              </w:rPr>
            </w:pPr>
          </w:p>
          <w:p w:rsidR="001E2EFE" w:rsidRPr="009D21FE" w:rsidRDefault="001E2EFE" w:rsidP="001E2EFE">
            <w:pPr>
              <w:pStyle w:val="ListParagraph"/>
              <w:widowControl w:val="0"/>
              <w:numPr>
                <w:ilvl w:val="0"/>
                <w:numId w:val="22"/>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 xml:space="preserve">Insurance Risk Charge: </w:t>
            </w:r>
          </w:p>
          <w:p w:rsidR="001E2EFE" w:rsidRPr="009D21FE" w:rsidRDefault="001E2EFE" w:rsidP="001E2EFE">
            <w:pPr>
              <w:pStyle w:val="ListParagraph"/>
              <w:widowControl w:val="0"/>
              <w:numPr>
                <w:ilvl w:val="1"/>
                <w:numId w:val="22"/>
              </w:numPr>
              <w:spacing w:line="264" w:lineRule="exact"/>
              <w:ind w:right="211"/>
              <w:contextualSpacing/>
              <w:rPr>
                <w:rFonts w:ascii="Times New Roman" w:eastAsia="Times New Roman" w:hAnsi="Times New Roman"/>
                <w:sz w:val="24"/>
                <w:szCs w:val="24"/>
              </w:rPr>
            </w:pPr>
            <w:r w:rsidRPr="009D21FE">
              <w:rPr>
                <w:rFonts w:ascii="Times New Roman" w:eastAsia="Times New Roman" w:hAnsi="Times New Roman"/>
                <w:sz w:val="24"/>
                <w:szCs w:val="24"/>
              </w:rPr>
              <w:t>GRF_115.0_G: OCL Insurance Risk Charge</w:t>
            </w:r>
            <w:r w:rsidRPr="009D21FE">
              <w:rPr>
                <w:rFonts w:ascii="Times New Roman" w:eastAsia="Times New Roman" w:hAnsi="Times New Roman"/>
                <w:sz w:val="24"/>
                <w:szCs w:val="24"/>
              </w:rPr>
              <w:tab/>
            </w:r>
          </w:p>
          <w:p w:rsidR="001E2EFE" w:rsidRPr="009D21FE" w:rsidRDefault="001E2EFE" w:rsidP="001E2EFE">
            <w:pPr>
              <w:pStyle w:val="ListParagraph"/>
              <w:widowControl w:val="0"/>
              <w:numPr>
                <w:ilvl w:val="1"/>
                <w:numId w:val="22"/>
              </w:numPr>
              <w:spacing w:line="264" w:lineRule="exact"/>
              <w:ind w:right="211"/>
              <w:contextualSpacing/>
              <w:rPr>
                <w:rFonts w:ascii="Times New Roman" w:eastAsia="Times New Roman" w:hAnsi="Times New Roman"/>
                <w:sz w:val="24"/>
                <w:szCs w:val="24"/>
              </w:rPr>
            </w:pPr>
            <w:r w:rsidRPr="009D21FE">
              <w:rPr>
                <w:rFonts w:ascii="Times New Roman" w:eastAsia="Times New Roman" w:hAnsi="Times New Roman"/>
                <w:sz w:val="24"/>
                <w:szCs w:val="24"/>
              </w:rPr>
              <w:t>GRF_115.1_G: PL Insurance Risk Charge</w:t>
            </w:r>
            <w:r>
              <w:rPr>
                <w:rFonts w:ascii="Times New Roman" w:eastAsia="Times New Roman" w:hAnsi="Times New Roman"/>
                <w:sz w:val="24"/>
                <w:szCs w:val="24"/>
              </w:rPr>
              <w:t>.</w:t>
            </w:r>
            <w:r w:rsidRPr="009D21FE">
              <w:rPr>
                <w:rFonts w:ascii="Times New Roman" w:eastAsia="Times New Roman" w:hAnsi="Times New Roman"/>
                <w:sz w:val="24"/>
                <w:szCs w:val="24"/>
              </w:rPr>
              <w:tab/>
            </w:r>
          </w:p>
          <w:p w:rsidR="001E2EFE" w:rsidRPr="009D21FE" w:rsidRDefault="001E2EFE" w:rsidP="00C37089">
            <w:pPr>
              <w:pStyle w:val="ListParagraph"/>
              <w:spacing w:line="264" w:lineRule="exact"/>
              <w:ind w:left="820" w:right="211"/>
              <w:rPr>
                <w:rFonts w:ascii="Times New Roman" w:eastAsia="Times New Roman" w:hAnsi="Times New Roman"/>
                <w:sz w:val="24"/>
                <w:szCs w:val="24"/>
              </w:rPr>
            </w:pPr>
          </w:p>
          <w:p w:rsidR="001E2EFE" w:rsidRPr="006A4D3B" w:rsidRDefault="001E2EFE" w:rsidP="001E2EFE">
            <w:pPr>
              <w:pStyle w:val="ListParagraph"/>
              <w:widowControl w:val="0"/>
              <w:numPr>
                <w:ilvl w:val="0"/>
                <w:numId w:val="22"/>
              </w:numPr>
              <w:spacing w:line="264" w:lineRule="exact"/>
              <w:ind w:right="211"/>
              <w:contextualSpacing/>
              <w:rPr>
                <w:rFonts w:ascii="Times New Roman" w:eastAsia="Times New Roman" w:hAnsi="Times New Roman"/>
                <w:sz w:val="24"/>
                <w:szCs w:val="24"/>
              </w:rPr>
            </w:pPr>
            <w:r w:rsidRPr="006A4D3B">
              <w:rPr>
                <w:rFonts w:ascii="Times New Roman" w:hAnsi="Times New Roman"/>
                <w:sz w:val="24"/>
                <w:szCs w:val="24"/>
              </w:rPr>
              <w:t>GRF_116.0_G: Insurance - Concentration Risk Charge</w:t>
            </w:r>
            <w:r>
              <w:rPr>
                <w:rFonts w:ascii="Times New Roman" w:hAnsi="Times New Roman"/>
                <w:sz w:val="24"/>
                <w:szCs w:val="24"/>
              </w:rPr>
              <w:t>.</w:t>
            </w:r>
            <w:r w:rsidRPr="006A4D3B">
              <w:rPr>
                <w:rFonts w:ascii="Times New Roman" w:hAnsi="Times New Roman"/>
                <w:sz w:val="24"/>
                <w:szCs w:val="24"/>
              </w:rPr>
              <w:tab/>
            </w:r>
          </w:p>
          <w:p w:rsidR="001E2EFE" w:rsidRPr="006A4D3B" w:rsidRDefault="001E2EFE" w:rsidP="00C37089">
            <w:pPr>
              <w:pStyle w:val="ListParagraph"/>
              <w:spacing w:line="264" w:lineRule="exact"/>
              <w:ind w:left="820" w:right="211"/>
              <w:rPr>
                <w:rFonts w:ascii="Times New Roman" w:eastAsia="Times New Roman" w:hAnsi="Times New Roman"/>
                <w:sz w:val="24"/>
                <w:szCs w:val="24"/>
              </w:rPr>
            </w:pPr>
          </w:p>
          <w:p w:rsidR="001E2EFE" w:rsidRPr="009D21FE" w:rsidRDefault="001E2EFE" w:rsidP="001E2EFE">
            <w:pPr>
              <w:pStyle w:val="ListParagraph"/>
              <w:widowControl w:val="0"/>
              <w:numPr>
                <w:ilvl w:val="0"/>
                <w:numId w:val="22"/>
              </w:numPr>
              <w:spacing w:line="264" w:lineRule="exact"/>
              <w:ind w:right="211"/>
              <w:contextualSpacing/>
              <w:rPr>
                <w:rFonts w:ascii="Times New Roman" w:eastAsia="Times New Roman" w:hAnsi="Times New Roman"/>
                <w:sz w:val="24"/>
                <w:szCs w:val="24"/>
              </w:rPr>
            </w:pPr>
            <w:r w:rsidRPr="009D21FE">
              <w:rPr>
                <w:rFonts w:ascii="Times New Roman" w:eastAsia="Times New Roman" w:hAnsi="Times New Roman"/>
                <w:sz w:val="24"/>
                <w:szCs w:val="24"/>
              </w:rPr>
              <w:t xml:space="preserve"> GRF_</w:t>
            </w:r>
            <w:r w:rsidRPr="006A4D3B">
              <w:rPr>
                <w:rFonts w:ascii="Times New Roman" w:hAnsi="Times New Roman"/>
                <w:sz w:val="24"/>
                <w:szCs w:val="24"/>
              </w:rPr>
              <w:t>114.0_G: Asset Risk Charge</w:t>
            </w:r>
            <w:r>
              <w:rPr>
                <w:rFonts w:ascii="Times New Roman" w:hAnsi="Times New Roman"/>
                <w:sz w:val="24"/>
                <w:szCs w:val="24"/>
              </w:rPr>
              <w:t>.</w:t>
            </w:r>
            <w:r w:rsidRPr="009D21FE">
              <w:rPr>
                <w:rFonts w:ascii="Times New Roman" w:eastAsia="Times New Roman" w:hAnsi="Times New Roman"/>
                <w:sz w:val="24"/>
                <w:szCs w:val="24"/>
              </w:rPr>
              <w:t xml:space="preserve"> </w:t>
            </w:r>
          </w:p>
          <w:p w:rsidR="001E2EFE" w:rsidRPr="006A4D3B" w:rsidRDefault="001E2EFE" w:rsidP="00C37089">
            <w:pPr>
              <w:pStyle w:val="ListParagraph"/>
              <w:rPr>
                <w:rFonts w:ascii="Times New Roman" w:eastAsia="Times New Roman" w:hAnsi="Times New Roman"/>
                <w:sz w:val="24"/>
                <w:szCs w:val="24"/>
              </w:rPr>
            </w:pPr>
          </w:p>
          <w:p w:rsidR="001E2EFE" w:rsidRPr="006A4D3B" w:rsidRDefault="001E2EFE" w:rsidP="001E2EFE">
            <w:pPr>
              <w:pStyle w:val="ListParagraph"/>
              <w:widowControl w:val="0"/>
              <w:numPr>
                <w:ilvl w:val="0"/>
                <w:numId w:val="22"/>
              </w:numPr>
              <w:spacing w:line="264" w:lineRule="exact"/>
              <w:ind w:right="211"/>
              <w:contextualSpacing/>
              <w:rPr>
                <w:rFonts w:ascii="Times New Roman" w:eastAsia="Times New Roman" w:hAnsi="Times New Roman"/>
                <w:sz w:val="24"/>
                <w:szCs w:val="24"/>
              </w:rPr>
            </w:pPr>
            <w:r w:rsidRPr="00B802F8">
              <w:rPr>
                <w:rFonts w:ascii="Times New Roman" w:eastAsia="Times New Roman" w:hAnsi="Times New Roman"/>
                <w:sz w:val="24"/>
                <w:szCs w:val="24"/>
              </w:rPr>
              <w:t xml:space="preserve"> GRF_117.0_G: Asset Concentration Risk</w:t>
            </w:r>
            <w:r>
              <w:rPr>
                <w:rFonts w:ascii="Times New Roman" w:eastAsia="Times New Roman" w:hAnsi="Times New Roman"/>
                <w:sz w:val="24"/>
                <w:szCs w:val="24"/>
              </w:rPr>
              <w:t xml:space="preserve"> Charge.</w:t>
            </w:r>
          </w:p>
          <w:p w:rsidR="001E2EFE" w:rsidRPr="006A4D3B" w:rsidRDefault="001E2EFE" w:rsidP="00C37089">
            <w:pPr>
              <w:pStyle w:val="ListParagraph"/>
              <w:spacing w:line="264" w:lineRule="exact"/>
              <w:ind w:left="820" w:right="211"/>
              <w:rPr>
                <w:rFonts w:ascii="Times New Roman" w:eastAsia="Times New Roman" w:hAnsi="Times New Roman"/>
                <w:sz w:val="24"/>
                <w:szCs w:val="24"/>
              </w:rPr>
            </w:pPr>
            <w:r w:rsidRPr="006A4D3B">
              <w:rPr>
                <w:rFonts w:ascii="Times New Roman" w:eastAsia="Times New Roman" w:hAnsi="Times New Roman"/>
                <w:sz w:val="24"/>
                <w:szCs w:val="24"/>
              </w:rPr>
              <w:tab/>
            </w:r>
          </w:p>
          <w:p w:rsidR="001E2EFE" w:rsidRPr="00B802F8" w:rsidRDefault="001E2EFE" w:rsidP="001E2EFE">
            <w:pPr>
              <w:pStyle w:val="ListParagraph"/>
              <w:widowControl w:val="0"/>
              <w:numPr>
                <w:ilvl w:val="0"/>
                <w:numId w:val="22"/>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GRF_118_0_G: Operational Risk Charge</w:t>
            </w:r>
            <w:r>
              <w:rPr>
                <w:rFonts w:ascii="Times New Roman" w:eastAsia="Times New Roman" w:hAnsi="Times New Roman"/>
                <w:sz w:val="24"/>
                <w:szCs w:val="24"/>
              </w:rPr>
              <w:t>.</w:t>
            </w:r>
          </w:p>
          <w:p w:rsidR="001E2EFE" w:rsidRPr="006A4D3B" w:rsidRDefault="001E2EFE" w:rsidP="00C37089">
            <w:pPr>
              <w:pStyle w:val="ListParagraph"/>
              <w:spacing w:line="264" w:lineRule="exact"/>
              <w:ind w:left="969" w:right="211"/>
              <w:rPr>
                <w:rFonts w:ascii="Times New Roman" w:eastAsia="Times New Roman" w:hAnsi="Times New Roman"/>
                <w:sz w:val="24"/>
                <w:szCs w:val="24"/>
              </w:rPr>
            </w:pPr>
          </w:p>
          <w:p w:rsidR="001E2EFE" w:rsidRPr="00B802F8" w:rsidRDefault="001E2EFE" w:rsidP="001E2EFE">
            <w:pPr>
              <w:pStyle w:val="ListParagraph"/>
              <w:widowControl w:val="0"/>
              <w:numPr>
                <w:ilvl w:val="0"/>
                <w:numId w:val="22"/>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Aggregation benefit</w:t>
            </w:r>
            <w:r>
              <w:rPr>
                <w:rFonts w:ascii="Times New Roman" w:eastAsia="Times New Roman" w:hAnsi="Times New Roman"/>
                <w:sz w:val="24"/>
                <w:szCs w:val="24"/>
              </w:rPr>
              <w:t>.</w:t>
            </w:r>
            <w:r w:rsidRPr="006A4D3B">
              <w:rPr>
                <w:rFonts w:ascii="Times New Roman" w:eastAsia="Times New Roman" w:hAnsi="Times New Roman"/>
                <w:sz w:val="24"/>
                <w:szCs w:val="24"/>
              </w:rPr>
              <w:tab/>
            </w:r>
          </w:p>
          <w:p w:rsidR="001E2EFE" w:rsidRPr="006A4D3B" w:rsidRDefault="001E2EFE" w:rsidP="00C37089">
            <w:pPr>
              <w:pStyle w:val="ListParagraph"/>
              <w:rPr>
                <w:rFonts w:ascii="Times New Roman" w:eastAsia="Times New Roman" w:hAnsi="Times New Roman"/>
                <w:sz w:val="24"/>
                <w:szCs w:val="24"/>
              </w:rPr>
            </w:pPr>
          </w:p>
          <w:p w:rsidR="001E2EFE" w:rsidRDefault="001E2EFE" w:rsidP="001E2EFE">
            <w:pPr>
              <w:pStyle w:val="ListParagraph"/>
              <w:widowControl w:val="0"/>
              <w:numPr>
                <w:ilvl w:val="0"/>
                <w:numId w:val="22"/>
              </w:numPr>
              <w:spacing w:after="200" w:line="276" w:lineRule="auto"/>
              <w:contextualSpacing/>
              <w:rPr>
                <w:rFonts w:ascii="Times New Roman" w:hAnsi="Times New Roman"/>
                <w:sz w:val="24"/>
                <w:szCs w:val="24"/>
              </w:rPr>
            </w:pPr>
            <w:r w:rsidRPr="006A4D3B">
              <w:rPr>
                <w:rFonts w:ascii="Times New Roman" w:hAnsi="Times New Roman"/>
                <w:sz w:val="24"/>
                <w:szCs w:val="24"/>
              </w:rPr>
              <w:t>Adjustments to prescribed capital amount as approved by APRA – Total amount</w:t>
            </w:r>
            <w:r>
              <w:rPr>
                <w:rFonts w:ascii="Times New Roman" w:hAnsi="Times New Roman"/>
                <w:sz w:val="24"/>
                <w:szCs w:val="24"/>
              </w:rPr>
              <w:t>.</w:t>
            </w:r>
          </w:p>
          <w:p w:rsidR="001E2EFE" w:rsidRPr="006A4D3B" w:rsidRDefault="001E2EFE" w:rsidP="00C37089">
            <w:pPr>
              <w:pStyle w:val="ListParagraph"/>
              <w:ind w:left="820"/>
              <w:rPr>
                <w:rFonts w:ascii="Times New Roman" w:hAnsi="Times New Roman"/>
                <w:sz w:val="24"/>
                <w:szCs w:val="24"/>
              </w:rPr>
            </w:pPr>
          </w:p>
          <w:p w:rsidR="001E2EFE" w:rsidRPr="006A4D3B" w:rsidRDefault="001E2EFE" w:rsidP="001E2EFE">
            <w:pPr>
              <w:pStyle w:val="ListParagraph"/>
              <w:widowControl w:val="0"/>
              <w:numPr>
                <w:ilvl w:val="0"/>
                <w:numId w:val="22"/>
              </w:numPr>
              <w:spacing w:after="200" w:line="276" w:lineRule="auto"/>
              <w:contextualSpacing/>
              <w:rPr>
                <w:rFonts w:ascii="Times New Roman" w:hAnsi="Times New Roman"/>
                <w:sz w:val="24"/>
                <w:szCs w:val="24"/>
              </w:rPr>
            </w:pPr>
            <w:r w:rsidRPr="006A4D3B">
              <w:rPr>
                <w:rFonts w:ascii="Times New Roman" w:hAnsi="Times New Roman"/>
                <w:sz w:val="24"/>
                <w:szCs w:val="24"/>
              </w:rPr>
              <w:t>Prescribed capital amount</w:t>
            </w:r>
            <w:r>
              <w:rPr>
                <w:rFonts w:ascii="Times New Roman" w:hAnsi="Times New Roman"/>
                <w:sz w:val="24"/>
                <w:szCs w:val="24"/>
              </w:rPr>
              <w:t>.</w:t>
            </w:r>
          </w:p>
          <w:p w:rsidR="001E2EFE" w:rsidRPr="006A4D3B" w:rsidRDefault="001E2EFE" w:rsidP="00C37089">
            <w:pPr>
              <w:pStyle w:val="ListParagraph"/>
              <w:ind w:left="820"/>
              <w:rPr>
                <w:rFonts w:ascii="Times New Roman" w:hAnsi="Times New Roman"/>
                <w:sz w:val="24"/>
                <w:szCs w:val="24"/>
              </w:rPr>
            </w:pPr>
          </w:p>
          <w:p w:rsidR="001E2EFE" w:rsidRDefault="001E2EFE" w:rsidP="001E2EFE">
            <w:pPr>
              <w:pStyle w:val="ListParagraph"/>
              <w:widowControl w:val="0"/>
              <w:numPr>
                <w:ilvl w:val="0"/>
                <w:numId w:val="23"/>
              </w:numPr>
              <w:spacing w:after="200" w:line="276" w:lineRule="auto"/>
              <w:contextualSpacing/>
            </w:pPr>
            <w:r w:rsidRPr="006A4D3B">
              <w:rPr>
                <w:rFonts w:ascii="Times New Roman" w:hAnsi="Times New Roman"/>
                <w:sz w:val="24"/>
                <w:szCs w:val="24"/>
              </w:rPr>
              <w:t xml:space="preserve">Section </w:t>
            </w:r>
            <w:r w:rsidRPr="006A4D3B">
              <w:rPr>
                <w:rFonts w:ascii="Times New Roman" w:eastAsia="Times New Roman" w:hAnsi="Times New Roman"/>
                <w:sz w:val="24"/>
                <w:szCs w:val="24"/>
              </w:rPr>
              <w:t xml:space="preserve">2: Capital Adequacy Assessment – All data items. </w:t>
            </w:r>
          </w:p>
        </w:tc>
        <w:tc>
          <w:tcPr>
            <w:tcW w:w="4552" w:type="dxa"/>
          </w:tcPr>
          <w:p w:rsidR="001E2EFE" w:rsidRDefault="001E2EFE" w:rsidP="00C37089">
            <w:pPr>
              <w:spacing w:line="264" w:lineRule="exact"/>
              <w:ind w:left="100" w:right="211"/>
              <w:rPr>
                <w:szCs w:val="24"/>
              </w:rPr>
            </w:pPr>
            <w:r>
              <w:rPr>
                <w:szCs w:val="24"/>
              </w:rPr>
              <w:lastRenderedPageBreak/>
              <w:t xml:space="preserve">Reporting Standard GRS </w:t>
            </w:r>
            <w:r>
              <w:rPr>
                <w:szCs w:val="24"/>
              </w:rPr>
              <w:lastRenderedPageBreak/>
              <w:t>110.1</w:t>
            </w:r>
            <w:r w:rsidRPr="00D4137E">
              <w:rPr>
                <w:szCs w:val="24"/>
              </w:rPr>
              <w:t>_</w:t>
            </w:r>
            <w:r>
              <w:rPr>
                <w:szCs w:val="24"/>
              </w:rPr>
              <w:t>G</w:t>
            </w:r>
            <w:r w:rsidRPr="00F752F3">
              <w:rPr>
                <w:szCs w:val="24"/>
              </w:rPr>
              <w:t xml:space="preserve"> </w:t>
            </w:r>
            <w:r>
              <w:rPr>
                <w:szCs w:val="24"/>
              </w:rPr>
              <w:t xml:space="preserve">Prescribed Capital Amount </w:t>
            </w:r>
            <w:r w:rsidRPr="00584D0D">
              <w:rPr>
                <w:szCs w:val="24"/>
              </w:rPr>
              <w:t xml:space="preserve">(which came into effect on 1 </w:t>
            </w:r>
            <w:r>
              <w:rPr>
                <w:szCs w:val="24"/>
              </w:rPr>
              <w:t>January 2013</w:t>
            </w:r>
            <w:r w:rsidRPr="00584D0D">
              <w:rPr>
                <w:szCs w:val="24"/>
              </w:rPr>
              <w:t>)</w:t>
            </w:r>
          </w:p>
          <w:p w:rsidR="001E2EFE" w:rsidRPr="001456E1" w:rsidRDefault="001E2EFE" w:rsidP="00C37089">
            <w:pPr>
              <w:spacing w:line="264" w:lineRule="exact"/>
              <w:ind w:left="100" w:right="211"/>
              <w:rPr>
                <w:szCs w:val="24"/>
              </w:rPr>
            </w:pPr>
          </w:p>
        </w:tc>
      </w:tr>
      <w:tr w:rsidR="001E2EFE" w:rsidRPr="001456E1" w:rsidTr="00C37089">
        <w:tc>
          <w:tcPr>
            <w:tcW w:w="4828" w:type="dxa"/>
          </w:tcPr>
          <w:p w:rsidR="001E2EFE" w:rsidRDefault="001E2EFE" w:rsidP="00C37089">
            <w:pPr>
              <w:spacing w:line="264" w:lineRule="exact"/>
              <w:ind w:right="211"/>
              <w:rPr>
                <w:szCs w:val="24"/>
              </w:rPr>
            </w:pPr>
            <w:r w:rsidRPr="00B641DD">
              <w:rPr>
                <w:szCs w:val="24"/>
              </w:rPr>
              <w:lastRenderedPageBreak/>
              <w:t>GRF_310_0_G Income Statement (G)</w:t>
            </w:r>
            <w:r>
              <w:rPr>
                <w:szCs w:val="24"/>
              </w:rPr>
              <w:t xml:space="preserve">  </w:t>
            </w:r>
          </w:p>
          <w:p w:rsidR="001E2EFE" w:rsidRDefault="001E2EFE" w:rsidP="00C37089">
            <w:pPr>
              <w:spacing w:line="264" w:lineRule="exact"/>
              <w:ind w:right="211"/>
              <w:rPr>
                <w:szCs w:val="24"/>
              </w:rPr>
            </w:pPr>
          </w:p>
          <w:p w:rsidR="001E2EFE" w:rsidRDefault="001E2EFE" w:rsidP="00C37089">
            <w:pPr>
              <w:spacing w:line="264" w:lineRule="exact"/>
              <w:ind w:right="211"/>
              <w:rPr>
                <w:szCs w:val="24"/>
              </w:rPr>
            </w:pPr>
            <w:r>
              <w:rPr>
                <w:szCs w:val="24"/>
              </w:rPr>
              <w:t>All data items in the Total business column.</w:t>
            </w:r>
          </w:p>
          <w:p w:rsidR="001E2EFE" w:rsidRDefault="001E2EFE" w:rsidP="00C37089">
            <w:pPr>
              <w:spacing w:line="264" w:lineRule="exact"/>
              <w:ind w:left="100" w:right="211"/>
              <w:rPr>
                <w:szCs w:val="24"/>
              </w:rPr>
            </w:pPr>
          </w:p>
          <w:p w:rsidR="001E2EFE" w:rsidRDefault="001E2EFE" w:rsidP="00C37089">
            <w:pPr>
              <w:spacing w:line="264" w:lineRule="exact"/>
              <w:ind w:left="100" w:right="211"/>
              <w:rPr>
                <w:szCs w:val="24"/>
              </w:rPr>
            </w:pPr>
          </w:p>
        </w:tc>
        <w:tc>
          <w:tcPr>
            <w:tcW w:w="4552" w:type="dxa"/>
          </w:tcPr>
          <w:p w:rsidR="001E2EFE" w:rsidRDefault="001E2EFE" w:rsidP="00C37089">
            <w:pPr>
              <w:spacing w:line="264" w:lineRule="exact"/>
              <w:ind w:left="100" w:right="211"/>
              <w:rPr>
                <w:szCs w:val="24"/>
              </w:rPr>
            </w:pPr>
            <w:r>
              <w:rPr>
                <w:szCs w:val="24"/>
              </w:rPr>
              <w:t>Reporting Standard GRS 310.0_G</w:t>
            </w:r>
            <w:r w:rsidRPr="00F752F3">
              <w:rPr>
                <w:szCs w:val="24"/>
              </w:rPr>
              <w:t xml:space="preserve"> </w:t>
            </w:r>
            <w:r>
              <w:rPr>
                <w:szCs w:val="24"/>
              </w:rPr>
              <w:t xml:space="preserve">Income Statement </w:t>
            </w:r>
            <w:r w:rsidRPr="00584D0D">
              <w:rPr>
                <w:szCs w:val="24"/>
              </w:rPr>
              <w:t xml:space="preserve">(which came into effect on 1 </w:t>
            </w:r>
            <w:r>
              <w:rPr>
                <w:szCs w:val="24"/>
              </w:rPr>
              <w:t>January 2013</w:t>
            </w:r>
            <w:r w:rsidRPr="00584D0D">
              <w:rPr>
                <w:szCs w:val="24"/>
              </w:rPr>
              <w:t>)</w:t>
            </w:r>
          </w:p>
          <w:p w:rsidR="001E2EFE" w:rsidRPr="001456E1" w:rsidRDefault="001E2EFE" w:rsidP="00C37089">
            <w:pPr>
              <w:spacing w:line="264" w:lineRule="exact"/>
              <w:ind w:left="100" w:right="211"/>
              <w:rPr>
                <w:szCs w:val="24"/>
              </w:rPr>
            </w:pPr>
          </w:p>
        </w:tc>
      </w:tr>
    </w:tbl>
    <w:p w:rsidR="001E2EFE" w:rsidRDefault="001E2EFE" w:rsidP="001E2EFE">
      <w:pPr>
        <w:spacing w:before="19" w:line="240" w:lineRule="exact"/>
        <w:rPr>
          <w:szCs w:val="24"/>
        </w:rPr>
      </w:pPr>
    </w:p>
    <w:p w:rsidR="001E2EFE" w:rsidRPr="006C6743" w:rsidRDefault="001E2EFE" w:rsidP="001E2EFE">
      <w:pPr>
        <w:spacing w:line="264" w:lineRule="exact"/>
        <w:ind w:left="100" w:right="211"/>
        <w:rPr>
          <w:szCs w:val="24"/>
        </w:rPr>
      </w:pPr>
      <w:r w:rsidRPr="006C6743">
        <w:rPr>
          <w:szCs w:val="24"/>
        </w:rPr>
        <w:t>AND</w:t>
      </w:r>
    </w:p>
    <w:p w:rsidR="001E2EFE" w:rsidRDefault="001E2EFE" w:rsidP="001E2EFE">
      <w:pPr>
        <w:spacing w:line="264" w:lineRule="exact"/>
        <w:ind w:left="100" w:right="211"/>
        <w:rPr>
          <w:szCs w:val="24"/>
        </w:rPr>
      </w:pPr>
    </w:p>
    <w:p w:rsidR="001E2EFE" w:rsidRDefault="001E2EFE" w:rsidP="001E2EFE">
      <w:pPr>
        <w:spacing w:before="37" w:line="230" w:lineRule="auto"/>
        <w:ind w:left="100" w:right="71"/>
        <w:rPr>
          <w:szCs w:val="24"/>
        </w:rPr>
      </w:pPr>
      <w:r w:rsidRPr="00DF3F06">
        <w:rPr>
          <w:szCs w:val="24"/>
        </w:rPr>
        <w:t xml:space="preserve">This determination applies to </w:t>
      </w:r>
      <w:r>
        <w:rPr>
          <w:szCs w:val="24"/>
        </w:rPr>
        <w:t xml:space="preserve">annual information in </w:t>
      </w:r>
      <w:r w:rsidRPr="00DF3F06">
        <w:rPr>
          <w:szCs w:val="24"/>
        </w:rPr>
        <w:t>the following parts of reporting forms given to APRA by a general insurer under the following reporting standards:</w:t>
      </w:r>
    </w:p>
    <w:p w:rsidR="001E2EFE" w:rsidRDefault="001E2EFE" w:rsidP="001E2EFE">
      <w:pPr>
        <w:spacing w:before="37" w:line="230" w:lineRule="auto"/>
        <w:ind w:left="100" w:right="71"/>
        <w:rPr>
          <w:szCs w:val="24"/>
        </w:rPr>
      </w:pPr>
    </w:p>
    <w:p w:rsidR="001E2EFE" w:rsidRPr="006A4D3B" w:rsidRDefault="001E2EFE" w:rsidP="001E2EFE">
      <w:pPr>
        <w:pStyle w:val="ListParagraph"/>
        <w:widowControl w:val="0"/>
        <w:numPr>
          <w:ilvl w:val="0"/>
          <w:numId w:val="11"/>
        </w:numPr>
        <w:spacing w:line="264" w:lineRule="exact"/>
        <w:ind w:right="211"/>
        <w:contextualSpacing/>
        <w:rPr>
          <w:rFonts w:ascii="Times New Roman" w:eastAsia="Times New Roman" w:hAnsi="Times New Roman"/>
          <w:b/>
          <w:sz w:val="24"/>
          <w:szCs w:val="24"/>
        </w:rPr>
      </w:pPr>
      <w:r w:rsidRPr="006A4D3B">
        <w:rPr>
          <w:rFonts w:ascii="Times New Roman" w:eastAsia="Times New Roman" w:hAnsi="Times New Roman"/>
          <w:b/>
          <w:sz w:val="24"/>
          <w:szCs w:val="24"/>
        </w:rPr>
        <w:t>Old reporting standards which ceased to have effect prior to 1 January 2013</w:t>
      </w:r>
    </w:p>
    <w:p w:rsidR="001E2EFE" w:rsidRDefault="001E2EFE" w:rsidP="001E2EFE">
      <w:pPr>
        <w:spacing w:before="37" w:line="230" w:lineRule="auto"/>
        <w:ind w:left="100" w:right="71"/>
        <w:rPr>
          <w:szCs w:val="24"/>
        </w:rPr>
      </w:pPr>
    </w:p>
    <w:tbl>
      <w:tblPr>
        <w:tblStyle w:val="TableGrid"/>
        <w:tblW w:w="0" w:type="auto"/>
        <w:tblInd w:w="100" w:type="dxa"/>
        <w:tblLook w:val="04A0" w:firstRow="1" w:lastRow="0" w:firstColumn="1" w:lastColumn="0" w:noHBand="0" w:noVBand="1"/>
      </w:tblPr>
      <w:tblGrid>
        <w:gridCol w:w="4256"/>
        <w:gridCol w:w="4166"/>
      </w:tblGrid>
      <w:tr w:rsidR="001E2EFE" w:rsidTr="00C37089">
        <w:trPr>
          <w:tblHeader/>
        </w:trPr>
        <w:tc>
          <w:tcPr>
            <w:tcW w:w="4690" w:type="dxa"/>
          </w:tcPr>
          <w:p w:rsidR="001E2EFE" w:rsidRDefault="001E2EFE" w:rsidP="00C37089">
            <w:pPr>
              <w:spacing w:line="264" w:lineRule="exact"/>
              <w:ind w:left="100" w:right="211"/>
              <w:rPr>
                <w:szCs w:val="24"/>
              </w:rPr>
            </w:pPr>
            <w:r>
              <w:rPr>
                <w:szCs w:val="24"/>
              </w:rPr>
              <w:lastRenderedPageBreak/>
              <w:t>Parts of reporting form covered by this determination</w:t>
            </w:r>
          </w:p>
        </w:tc>
        <w:tc>
          <w:tcPr>
            <w:tcW w:w="4690" w:type="dxa"/>
          </w:tcPr>
          <w:p w:rsidR="001E2EFE" w:rsidRDefault="001E2EFE" w:rsidP="00C37089">
            <w:pPr>
              <w:spacing w:line="264" w:lineRule="exact"/>
              <w:ind w:left="100" w:right="211"/>
              <w:rPr>
                <w:szCs w:val="24"/>
              </w:rPr>
            </w:pPr>
            <w:r>
              <w:rPr>
                <w:szCs w:val="24"/>
              </w:rPr>
              <w:t>Reporting standards</w:t>
            </w:r>
          </w:p>
        </w:tc>
      </w:tr>
      <w:tr w:rsidR="001E2EFE" w:rsidTr="00C37089">
        <w:tc>
          <w:tcPr>
            <w:tcW w:w="4690" w:type="dxa"/>
          </w:tcPr>
          <w:p w:rsidR="001E2EFE" w:rsidRDefault="001E2EFE" w:rsidP="001E2EFE">
            <w:pPr>
              <w:pStyle w:val="ListParagraph"/>
              <w:widowControl w:val="0"/>
              <w:numPr>
                <w:ilvl w:val="0"/>
                <w:numId w:val="13"/>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GRF 140.0 Investments</w:t>
            </w:r>
            <w:r>
              <w:rPr>
                <w:rFonts w:ascii="Times New Roman" w:eastAsia="Times New Roman" w:hAnsi="Times New Roman"/>
                <w:sz w:val="24"/>
                <w:szCs w:val="24"/>
              </w:rPr>
              <w:t>:</w:t>
            </w:r>
            <w:r w:rsidRPr="006A4D3B">
              <w:rPr>
                <w:rFonts w:ascii="Times New Roman" w:eastAsia="Times New Roman" w:hAnsi="Times New Roman"/>
                <w:sz w:val="24"/>
                <w:szCs w:val="24"/>
              </w:rPr>
              <w:t xml:space="preserve"> Direct Interest Rate Holdings and Risk Charge</w:t>
            </w:r>
            <w:r>
              <w:rPr>
                <w:rFonts w:ascii="Times New Roman" w:eastAsia="Times New Roman" w:hAnsi="Times New Roman"/>
                <w:sz w:val="24"/>
                <w:szCs w:val="24"/>
              </w:rPr>
              <w:t xml:space="preserve"> – All data items. </w:t>
            </w:r>
          </w:p>
          <w:p w:rsidR="001E2EFE" w:rsidRDefault="001E2EFE" w:rsidP="00C37089">
            <w:pPr>
              <w:spacing w:line="264" w:lineRule="exact"/>
              <w:ind w:right="211"/>
              <w:rPr>
                <w:szCs w:val="24"/>
              </w:rPr>
            </w:pPr>
          </w:p>
          <w:p w:rsidR="001E2EFE" w:rsidRDefault="001E2EFE" w:rsidP="001E2EFE">
            <w:pPr>
              <w:pStyle w:val="ListParagraph"/>
              <w:widowControl w:val="0"/>
              <w:numPr>
                <w:ilvl w:val="0"/>
                <w:numId w:val="13"/>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GRF 140.1 Investments</w:t>
            </w:r>
            <w:r>
              <w:rPr>
                <w:rFonts w:ascii="Times New Roman" w:eastAsia="Times New Roman" w:hAnsi="Times New Roman"/>
                <w:sz w:val="24"/>
                <w:szCs w:val="24"/>
              </w:rPr>
              <w:t>:</w:t>
            </w:r>
            <w:r w:rsidRPr="006A4D3B">
              <w:rPr>
                <w:rFonts w:ascii="Times New Roman" w:eastAsia="Times New Roman" w:hAnsi="Times New Roman"/>
                <w:sz w:val="24"/>
                <w:szCs w:val="24"/>
              </w:rPr>
              <w:t xml:space="preserve"> Direct Equity Holdings and Risk Charge</w:t>
            </w:r>
            <w:r>
              <w:rPr>
                <w:rFonts w:ascii="Times New Roman" w:eastAsia="Times New Roman" w:hAnsi="Times New Roman"/>
                <w:sz w:val="24"/>
                <w:szCs w:val="24"/>
              </w:rPr>
              <w:t xml:space="preserve"> – All data items. </w:t>
            </w:r>
          </w:p>
          <w:p w:rsidR="001E2EFE" w:rsidRDefault="001E2EFE" w:rsidP="00C37089">
            <w:pPr>
              <w:spacing w:line="264" w:lineRule="exact"/>
              <w:ind w:right="211"/>
              <w:rPr>
                <w:szCs w:val="24"/>
              </w:rPr>
            </w:pPr>
          </w:p>
          <w:p w:rsidR="001E2EFE" w:rsidRPr="006A4D3B" w:rsidRDefault="001E2EFE" w:rsidP="001E2EFE">
            <w:pPr>
              <w:pStyle w:val="ListParagraph"/>
              <w:widowControl w:val="0"/>
              <w:numPr>
                <w:ilvl w:val="0"/>
                <w:numId w:val="13"/>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GRF 140.2 Investments</w:t>
            </w:r>
            <w:r>
              <w:rPr>
                <w:rFonts w:ascii="Times New Roman" w:eastAsia="Times New Roman" w:hAnsi="Times New Roman"/>
                <w:sz w:val="24"/>
                <w:szCs w:val="24"/>
              </w:rPr>
              <w:t>:</w:t>
            </w:r>
            <w:r w:rsidRPr="006A4D3B">
              <w:rPr>
                <w:rFonts w:ascii="Times New Roman" w:eastAsia="Times New Roman" w:hAnsi="Times New Roman"/>
                <w:sz w:val="24"/>
                <w:szCs w:val="24"/>
              </w:rPr>
              <w:t xml:space="preserve"> Direct Property Holdings and Risk Charge</w:t>
            </w:r>
            <w:r>
              <w:rPr>
                <w:rFonts w:ascii="Times New Roman" w:eastAsia="Times New Roman" w:hAnsi="Times New Roman"/>
                <w:sz w:val="24"/>
                <w:szCs w:val="24"/>
              </w:rPr>
              <w:t xml:space="preserve"> – All data items.</w:t>
            </w:r>
          </w:p>
          <w:p w:rsidR="001E2EFE" w:rsidRDefault="001E2EFE" w:rsidP="00C37089">
            <w:pPr>
              <w:spacing w:line="264" w:lineRule="exact"/>
              <w:ind w:right="211"/>
              <w:rPr>
                <w:szCs w:val="24"/>
              </w:rPr>
            </w:pPr>
          </w:p>
          <w:p w:rsidR="001E2EFE" w:rsidRPr="006A4D3B" w:rsidRDefault="001E2EFE" w:rsidP="001E2EFE">
            <w:pPr>
              <w:pStyle w:val="ListParagraph"/>
              <w:widowControl w:val="0"/>
              <w:numPr>
                <w:ilvl w:val="0"/>
                <w:numId w:val="13"/>
              </w:numPr>
              <w:spacing w:line="264" w:lineRule="exact"/>
              <w:ind w:right="211"/>
              <w:contextualSpacing/>
              <w:rPr>
                <w:rFonts w:ascii="Times New Roman" w:eastAsia="Times New Roman" w:hAnsi="Times New Roman"/>
                <w:sz w:val="24"/>
                <w:szCs w:val="24"/>
              </w:rPr>
            </w:pPr>
            <w:r>
              <w:rPr>
                <w:rFonts w:ascii="Times New Roman" w:eastAsia="Times New Roman" w:hAnsi="Times New Roman"/>
                <w:sz w:val="24"/>
                <w:szCs w:val="24"/>
              </w:rPr>
              <w:t>G</w:t>
            </w:r>
            <w:r w:rsidRPr="006A4D3B">
              <w:rPr>
                <w:rFonts w:ascii="Times New Roman" w:eastAsia="Times New Roman" w:hAnsi="Times New Roman"/>
                <w:sz w:val="24"/>
                <w:szCs w:val="24"/>
              </w:rPr>
              <w:t>RF 140.3 Investments - Loans and Advances and Risk Charge</w:t>
            </w:r>
            <w:r>
              <w:rPr>
                <w:rFonts w:ascii="Times New Roman" w:eastAsia="Times New Roman" w:hAnsi="Times New Roman"/>
                <w:sz w:val="24"/>
                <w:szCs w:val="24"/>
              </w:rPr>
              <w:t xml:space="preserve"> – All data items. </w:t>
            </w:r>
          </w:p>
          <w:p w:rsidR="001E2EFE" w:rsidRDefault="001E2EFE" w:rsidP="00C37089">
            <w:pPr>
              <w:spacing w:line="264" w:lineRule="exact"/>
              <w:ind w:right="211"/>
              <w:rPr>
                <w:szCs w:val="24"/>
              </w:rPr>
            </w:pPr>
          </w:p>
          <w:p w:rsidR="001E2EFE" w:rsidRDefault="001E2EFE" w:rsidP="001E2EFE">
            <w:pPr>
              <w:pStyle w:val="ListParagraph"/>
              <w:widowControl w:val="0"/>
              <w:numPr>
                <w:ilvl w:val="0"/>
                <w:numId w:val="13"/>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GRF_140.4_L: Investments - Indirectly Held by Insurer and Risk Charge (L)</w:t>
            </w:r>
            <w:r>
              <w:rPr>
                <w:rFonts w:ascii="Times New Roman" w:eastAsia="Times New Roman" w:hAnsi="Times New Roman"/>
                <w:sz w:val="24"/>
                <w:szCs w:val="24"/>
              </w:rPr>
              <w:t xml:space="preserve">: </w:t>
            </w:r>
          </w:p>
          <w:p w:rsidR="001E2EFE" w:rsidRDefault="001E2EFE" w:rsidP="00C37089">
            <w:pPr>
              <w:pStyle w:val="ListParagraph"/>
              <w:spacing w:line="264" w:lineRule="exact"/>
              <w:ind w:left="360" w:right="211"/>
              <w:rPr>
                <w:rFonts w:ascii="Times New Roman" w:eastAsia="Times New Roman" w:hAnsi="Times New Roman"/>
                <w:sz w:val="24"/>
                <w:szCs w:val="24"/>
              </w:rPr>
            </w:pPr>
          </w:p>
          <w:p w:rsidR="001E2EFE" w:rsidRDefault="001E2EFE" w:rsidP="00C37089">
            <w:pPr>
              <w:pStyle w:val="ListParagraph"/>
              <w:ind w:left="360"/>
            </w:pPr>
          </w:p>
          <w:p w:rsidR="001E2EFE" w:rsidRPr="006A4D3B" w:rsidRDefault="001E2EFE" w:rsidP="001E2EFE">
            <w:pPr>
              <w:pStyle w:val="ListParagraph"/>
              <w:widowControl w:val="0"/>
              <w:numPr>
                <w:ilvl w:val="0"/>
                <w:numId w:val="14"/>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Part 1</w:t>
            </w:r>
            <w:r w:rsidRPr="00696A78">
              <w:rPr>
                <w:rFonts w:ascii="Times New Roman" w:eastAsia="Times New Roman" w:hAnsi="Times New Roman"/>
                <w:sz w:val="24"/>
                <w:szCs w:val="24"/>
              </w:rPr>
              <w:t>. Total Holdings</w:t>
            </w:r>
            <w:r>
              <w:rPr>
                <w:rFonts w:ascii="Times New Roman" w:eastAsia="Times New Roman" w:hAnsi="Times New Roman"/>
                <w:sz w:val="24"/>
                <w:szCs w:val="24"/>
              </w:rPr>
              <w:t xml:space="preserve"> – </w:t>
            </w:r>
            <w:r w:rsidRPr="006A4D3B">
              <w:rPr>
                <w:rFonts w:ascii="Times New Roman" w:eastAsia="Times New Roman" w:hAnsi="Times New Roman"/>
                <w:sz w:val="24"/>
                <w:szCs w:val="24"/>
              </w:rPr>
              <w:t xml:space="preserve">Total amount. </w:t>
            </w:r>
          </w:p>
          <w:p w:rsidR="001E2EFE" w:rsidRPr="006A4D3B" w:rsidRDefault="001E2EFE" w:rsidP="00C37089">
            <w:pPr>
              <w:pStyle w:val="ListParagraph"/>
              <w:spacing w:line="264" w:lineRule="exact"/>
              <w:ind w:left="1080" w:right="211"/>
              <w:rPr>
                <w:rFonts w:ascii="Times New Roman" w:eastAsia="Times New Roman" w:hAnsi="Times New Roman"/>
                <w:sz w:val="24"/>
                <w:szCs w:val="24"/>
              </w:rPr>
            </w:pPr>
          </w:p>
          <w:p w:rsidR="001E2EFE" w:rsidRPr="004229E5" w:rsidRDefault="001E2EFE" w:rsidP="001E2EFE">
            <w:pPr>
              <w:pStyle w:val="ListParagraph"/>
              <w:widowControl w:val="0"/>
              <w:numPr>
                <w:ilvl w:val="0"/>
                <w:numId w:val="14"/>
              </w:numPr>
              <w:spacing w:after="200" w:line="276" w:lineRule="auto"/>
              <w:contextualSpacing/>
              <w:rPr>
                <w:rFonts w:ascii="Times New Roman" w:hAnsi="Times New Roman"/>
                <w:sz w:val="24"/>
                <w:szCs w:val="24"/>
              </w:rPr>
            </w:pPr>
            <w:r w:rsidRPr="006A4D3B">
              <w:rPr>
                <w:rFonts w:ascii="Times New Roman" w:hAnsi="Times New Roman"/>
                <w:sz w:val="24"/>
                <w:szCs w:val="24"/>
              </w:rPr>
              <w:t>Part 2.  Aggregate holdings in indirect investment vehicles</w:t>
            </w:r>
            <w:r w:rsidRPr="004229E5">
              <w:rPr>
                <w:rFonts w:ascii="Times New Roman" w:hAnsi="Times New Roman"/>
                <w:sz w:val="24"/>
                <w:szCs w:val="24"/>
              </w:rPr>
              <w:t xml:space="preserve"> – </w:t>
            </w:r>
          </w:p>
          <w:p w:rsidR="001E2EFE" w:rsidRPr="006A4D3B" w:rsidRDefault="001E2EFE" w:rsidP="00C37089">
            <w:pPr>
              <w:pStyle w:val="ListParagraph"/>
              <w:ind w:left="1080"/>
              <w:rPr>
                <w:rFonts w:ascii="Times New Roman" w:hAnsi="Times New Roman"/>
                <w:sz w:val="24"/>
                <w:szCs w:val="24"/>
              </w:rPr>
            </w:pPr>
            <w:r w:rsidRPr="006A4D3B">
              <w:rPr>
                <w:rFonts w:ascii="Times New Roman" w:hAnsi="Times New Roman"/>
                <w:sz w:val="24"/>
                <w:szCs w:val="24"/>
              </w:rPr>
              <w:t xml:space="preserve"> All data items.</w:t>
            </w:r>
          </w:p>
          <w:p w:rsidR="001E2EFE" w:rsidRDefault="001E2EFE" w:rsidP="00C37089">
            <w:pPr>
              <w:spacing w:line="264" w:lineRule="exact"/>
              <w:ind w:right="211"/>
              <w:rPr>
                <w:szCs w:val="24"/>
              </w:rPr>
            </w:pPr>
          </w:p>
        </w:tc>
        <w:tc>
          <w:tcPr>
            <w:tcW w:w="4690" w:type="dxa"/>
          </w:tcPr>
          <w:p w:rsidR="001E2EFE" w:rsidRDefault="001E2EFE" w:rsidP="00C37089">
            <w:pPr>
              <w:spacing w:line="264" w:lineRule="exact"/>
              <w:ind w:left="100" w:right="211"/>
              <w:rPr>
                <w:szCs w:val="24"/>
              </w:rPr>
            </w:pPr>
            <w:r>
              <w:rPr>
                <w:szCs w:val="24"/>
              </w:rPr>
              <w:t>Reporting Standard GRS 14</w:t>
            </w:r>
            <w:r w:rsidRPr="007E3D0C">
              <w:rPr>
                <w:szCs w:val="24"/>
              </w:rPr>
              <w:t xml:space="preserve">0 (2010) </w:t>
            </w:r>
            <w:r>
              <w:rPr>
                <w:szCs w:val="24"/>
              </w:rPr>
              <w:t>Investments</w:t>
            </w:r>
            <w:r w:rsidRPr="007E3D0C">
              <w:rPr>
                <w:szCs w:val="24"/>
              </w:rPr>
              <w:t xml:space="preserve"> (which came into effect on 23 August 2010)</w:t>
            </w:r>
          </w:p>
          <w:p w:rsidR="001E2EFE" w:rsidRDefault="001E2EFE" w:rsidP="00C37089">
            <w:pPr>
              <w:spacing w:line="264" w:lineRule="exact"/>
              <w:ind w:left="100" w:right="211"/>
              <w:rPr>
                <w:szCs w:val="24"/>
              </w:rPr>
            </w:pPr>
          </w:p>
        </w:tc>
      </w:tr>
      <w:tr w:rsidR="001E2EFE" w:rsidTr="00C37089">
        <w:tc>
          <w:tcPr>
            <w:tcW w:w="4690" w:type="dxa"/>
          </w:tcPr>
          <w:p w:rsidR="001E2EFE" w:rsidRPr="00B8060F" w:rsidRDefault="001E2EFE" w:rsidP="00C37089">
            <w:pPr>
              <w:spacing w:line="264" w:lineRule="exact"/>
              <w:ind w:right="211"/>
              <w:rPr>
                <w:szCs w:val="24"/>
              </w:rPr>
            </w:pPr>
            <w:r>
              <w:rPr>
                <w:szCs w:val="24"/>
              </w:rPr>
              <w:t xml:space="preserve">GRF_140.4 </w:t>
            </w:r>
            <w:r w:rsidRPr="00F96407">
              <w:rPr>
                <w:szCs w:val="24"/>
              </w:rPr>
              <w:t xml:space="preserve">Investments - Indirectly Held </w:t>
            </w:r>
            <w:r w:rsidRPr="00B8060F">
              <w:rPr>
                <w:szCs w:val="24"/>
              </w:rPr>
              <w:t>by Insurer and Risk Charge</w:t>
            </w:r>
          </w:p>
          <w:p w:rsidR="001E2EFE" w:rsidRPr="00B8060F" w:rsidRDefault="001E2EFE" w:rsidP="00C37089">
            <w:pPr>
              <w:rPr>
                <w:szCs w:val="24"/>
              </w:rPr>
            </w:pPr>
          </w:p>
          <w:p w:rsidR="001E2EFE" w:rsidRPr="00B8060F" w:rsidRDefault="001E2EFE" w:rsidP="001E2EFE">
            <w:pPr>
              <w:pStyle w:val="ListParagraph"/>
              <w:widowControl w:val="0"/>
              <w:numPr>
                <w:ilvl w:val="0"/>
                <w:numId w:val="25"/>
              </w:numPr>
              <w:spacing w:after="200" w:line="276" w:lineRule="auto"/>
              <w:contextualSpacing/>
              <w:rPr>
                <w:rFonts w:ascii="Times New Roman" w:eastAsia="Times New Roman" w:hAnsi="Times New Roman"/>
                <w:sz w:val="24"/>
                <w:szCs w:val="24"/>
              </w:rPr>
            </w:pPr>
            <w:r w:rsidRPr="00B8060F">
              <w:rPr>
                <w:rFonts w:ascii="Times New Roman" w:eastAsia="Times New Roman" w:hAnsi="Times New Roman"/>
                <w:sz w:val="24"/>
                <w:szCs w:val="24"/>
              </w:rPr>
              <w:t xml:space="preserve">Table 1. Total holdings – Total amount. </w:t>
            </w:r>
          </w:p>
          <w:p w:rsidR="001E2EFE" w:rsidRPr="006A4D3B" w:rsidRDefault="001E2EFE" w:rsidP="00C37089">
            <w:pPr>
              <w:pStyle w:val="ListParagraph"/>
              <w:ind w:left="402"/>
              <w:rPr>
                <w:rFonts w:ascii="Times New Roman" w:eastAsia="Times New Roman" w:hAnsi="Times New Roman"/>
                <w:sz w:val="24"/>
                <w:szCs w:val="24"/>
              </w:rPr>
            </w:pPr>
          </w:p>
          <w:p w:rsidR="001E2EFE" w:rsidRPr="006A4D3B" w:rsidRDefault="001E2EFE" w:rsidP="001E2EFE">
            <w:pPr>
              <w:pStyle w:val="ListParagraph"/>
              <w:widowControl w:val="0"/>
              <w:numPr>
                <w:ilvl w:val="0"/>
                <w:numId w:val="25"/>
              </w:numPr>
              <w:spacing w:after="200" w:line="276" w:lineRule="auto"/>
              <w:contextualSpacing/>
              <w:rPr>
                <w:rFonts w:ascii="Times New Roman" w:hAnsi="Times New Roman"/>
                <w:sz w:val="24"/>
                <w:szCs w:val="24"/>
              </w:rPr>
            </w:pPr>
            <w:r w:rsidRPr="006A4D3B">
              <w:rPr>
                <w:rFonts w:ascii="Times New Roman" w:hAnsi="Times New Roman"/>
                <w:sz w:val="24"/>
                <w:szCs w:val="24"/>
              </w:rPr>
              <w:t xml:space="preserve">Table 2.  Aggregate holdings in indirect investment vehicles – All data items. </w:t>
            </w:r>
          </w:p>
          <w:p w:rsidR="001E2EFE" w:rsidRPr="00DE166B" w:rsidRDefault="001E2EFE" w:rsidP="00C37089">
            <w:pPr>
              <w:pStyle w:val="ListParagraph"/>
              <w:ind w:left="360"/>
              <w:rPr>
                <w:rFonts w:ascii="Times New Roman" w:eastAsia="Times New Roman" w:hAnsi="Times New Roman"/>
                <w:sz w:val="24"/>
                <w:szCs w:val="24"/>
              </w:rPr>
            </w:pPr>
          </w:p>
        </w:tc>
        <w:tc>
          <w:tcPr>
            <w:tcW w:w="4690" w:type="dxa"/>
          </w:tcPr>
          <w:p w:rsidR="001E2EFE" w:rsidRPr="007E3D0C" w:rsidRDefault="001E2EFE" w:rsidP="00C37089">
            <w:pPr>
              <w:spacing w:line="264" w:lineRule="exact"/>
              <w:ind w:left="100" w:right="211"/>
              <w:rPr>
                <w:szCs w:val="24"/>
              </w:rPr>
            </w:pPr>
            <w:r w:rsidRPr="007E3D0C">
              <w:rPr>
                <w:szCs w:val="24"/>
              </w:rPr>
              <w:t xml:space="preserve">Reporting Standard </w:t>
            </w:r>
            <w:r w:rsidRPr="00565625">
              <w:rPr>
                <w:szCs w:val="24"/>
              </w:rPr>
              <w:t>GRS 140.4 Investments - Indirectly Held by Insurer and Risk Charge</w:t>
            </w:r>
            <w:r>
              <w:rPr>
                <w:szCs w:val="24"/>
              </w:rPr>
              <w:t xml:space="preserve"> </w:t>
            </w:r>
            <w:r w:rsidRPr="007E3D0C">
              <w:rPr>
                <w:szCs w:val="24"/>
              </w:rPr>
              <w:t>(which came into effect on 23 October 2008)</w:t>
            </w:r>
          </w:p>
          <w:p w:rsidR="001E2EFE" w:rsidRDefault="001E2EFE" w:rsidP="00C37089">
            <w:pPr>
              <w:spacing w:line="264" w:lineRule="exact"/>
              <w:ind w:left="100" w:right="211"/>
              <w:rPr>
                <w:szCs w:val="24"/>
              </w:rPr>
            </w:pPr>
          </w:p>
          <w:p w:rsidR="001E2EFE" w:rsidRDefault="001E2EFE" w:rsidP="00C37089">
            <w:pPr>
              <w:spacing w:line="264" w:lineRule="exact"/>
              <w:ind w:left="100" w:right="211"/>
              <w:rPr>
                <w:szCs w:val="24"/>
              </w:rPr>
            </w:pPr>
            <w:r>
              <w:rPr>
                <w:szCs w:val="24"/>
              </w:rPr>
              <w:t>AND</w:t>
            </w:r>
          </w:p>
          <w:p w:rsidR="001E2EFE" w:rsidRDefault="001E2EFE" w:rsidP="00C37089">
            <w:pPr>
              <w:spacing w:line="264" w:lineRule="exact"/>
              <w:ind w:left="100" w:right="211"/>
              <w:rPr>
                <w:szCs w:val="24"/>
              </w:rPr>
            </w:pPr>
          </w:p>
          <w:p w:rsidR="001E2EFE" w:rsidRPr="007E3D0C" w:rsidRDefault="001E2EFE" w:rsidP="00C37089">
            <w:pPr>
              <w:spacing w:line="264" w:lineRule="exact"/>
              <w:ind w:left="100" w:right="211"/>
              <w:rPr>
                <w:szCs w:val="24"/>
              </w:rPr>
            </w:pPr>
            <w:r w:rsidRPr="007E3D0C">
              <w:rPr>
                <w:szCs w:val="24"/>
              </w:rPr>
              <w:t xml:space="preserve">Reporting Standard </w:t>
            </w:r>
            <w:r w:rsidRPr="00721D7E">
              <w:rPr>
                <w:szCs w:val="24"/>
              </w:rPr>
              <w:t>GRS 140.4 Investments - Assets Indirectly Held by Insurer and Risk Charge</w:t>
            </w:r>
            <w:r>
              <w:rPr>
                <w:szCs w:val="24"/>
              </w:rPr>
              <w:t xml:space="preserve"> </w:t>
            </w:r>
            <w:r w:rsidRPr="007E3D0C">
              <w:rPr>
                <w:szCs w:val="24"/>
              </w:rPr>
              <w:t>(which came into effect on 1 January 2007)</w:t>
            </w:r>
          </w:p>
          <w:p w:rsidR="001E2EFE" w:rsidRDefault="001E2EFE" w:rsidP="00C37089">
            <w:pPr>
              <w:spacing w:line="264" w:lineRule="exact"/>
              <w:ind w:left="100" w:right="211"/>
              <w:rPr>
                <w:szCs w:val="24"/>
              </w:rPr>
            </w:pPr>
          </w:p>
          <w:p w:rsidR="001E2EFE" w:rsidRDefault="001E2EFE" w:rsidP="00C37089">
            <w:pPr>
              <w:spacing w:line="264" w:lineRule="exact"/>
              <w:ind w:left="100" w:right="211"/>
              <w:rPr>
                <w:szCs w:val="24"/>
              </w:rPr>
            </w:pPr>
            <w:r>
              <w:rPr>
                <w:szCs w:val="24"/>
              </w:rPr>
              <w:t>AND</w:t>
            </w:r>
          </w:p>
          <w:p w:rsidR="001E2EFE" w:rsidRDefault="001E2EFE" w:rsidP="00C37089">
            <w:pPr>
              <w:spacing w:line="264" w:lineRule="exact"/>
              <w:ind w:left="100" w:right="211"/>
              <w:rPr>
                <w:szCs w:val="24"/>
              </w:rPr>
            </w:pPr>
          </w:p>
          <w:p w:rsidR="001E2EFE" w:rsidRPr="007E3D0C" w:rsidRDefault="001E2EFE" w:rsidP="00C37089">
            <w:pPr>
              <w:spacing w:line="264" w:lineRule="exact"/>
              <w:ind w:left="100" w:right="211"/>
              <w:rPr>
                <w:szCs w:val="24"/>
              </w:rPr>
            </w:pPr>
            <w:r>
              <w:rPr>
                <w:szCs w:val="24"/>
              </w:rPr>
              <w:t>R</w:t>
            </w:r>
            <w:r w:rsidRPr="007E3D0C">
              <w:rPr>
                <w:szCs w:val="24"/>
              </w:rPr>
              <w:t xml:space="preserve">eporting Standard </w:t>
            </w:r>
            <w:r w:rsidRPr="003B01DC">
              <w:rPr>
                <w:szCs w:val="24"/>
              </w:rPr>
              <w:t>GRS 140.4 Investments - Assets Indirectly Held by Insurer and Risk Charges</w:t>
            </w:r>
            <w:r>
              <w:rPr>
                <w:szCs w:val="24"/>
              </w:rPr>
              <w:t xml:space="preserve"> </w:t>
            </w:r>
            <w:r w:rsidRPr="007E3D0C">
              <w:rPr>
                <w:szCs w:val="24"/>
              </w:rPr>
              <w:t>(which c</w:t>
            </w:r>
            <w:r>
              <w:rPr>
                <w:szCs w:val="24"/>
              </w:rPr>
              <w:t>ame into effect on 1 July 2005)</w:t>
            </w:r>
          </w:p>
          <w:p w:rsidR="001E2EFE" w:rsidRDefault="001E2EFE" w:rsidP="00C37089">
            <w:pPr>
              <w:spacing w:line="264" w:lineRule="exact"/>
              <w:ind w:left="100" w:right="211"/>
              <w:rPr>
                <w:szCs w:val="24"/>
              </w:rPr>
            </w:pPr>
          </w:p>
          <w:p w:rsidR="001E2EFE" w:rsidRDefault="001E2EFE" w:rsidP="00C37089">
            <w:pPr>
              <w:spacing w:line="264" w:lineRule="exact"/>
              <w:ind w:left="100" w:right="211"/>
              <w:rPr>
                <w:szCs w:val="24"/>
              </w:rPr>
            </w:pPr>
            <w:r>
              <w:rPr>
                <w:szCs w:val="24"/>
              </w:rPr>
              <w:t>AND</w:t>
            </w:r>
          </w:p>
          <w:p w:rsidR="001E2EFE" w:rsidRDefault="001E2EFE" w:rsidP="00C37089">
            <w:pPr>
              <w:spacing w:line="264" w:lineRule="exact"/>
              <w:ind w:left="100" w:right="211"/>
              <w:rPr>
                <w:szCs w:val="24"/>
              </w:rPr>
            </w:pPr>
          </w:p>
          <w:p w:rsidR="001E2EFE" w:rsidRPr="007E3D0C" w:rsidRDefault="001E2EFE" w:rsidP="00C37089">
            <w:pPr>
              <w:spacing w:line="264" w:lineRule="exact"/>
              <w:ind w:left="100" w:right="211"/>
              <w:rPr>
                <w:szCs w:val="24"/>
              </w:rPr>
            </w:pPr>
            <w:r>
              <w:rPr>
                <w:szCs w:val="24"/>
              </w:rPr>
              <w:t>R</w:t>
            </w:r>
            <w:r w:rsidRPr="007E3D0C">
              <w:rPr>
                <w:szCs w:val="24"/>
              </w:rPr>
              <w:t xml:space="preserve">eporting Standard </w:t>
            </w:r>
            <w:r w:rsidRPr="003B01DC">
              <w:rPr>
                <w:szCs w:val="24"/>
              </w:rPr>
              <w:t xml:space="preserve">GRS 140.4 </w:t>
            </w:r>
            <w:r w:rsidRPr="003B01DC">
              <w:rPr>
                <w:szCs w:val="24"/>
              </w:rPr>
              <w:lastRenderedPageBreak/>
              <w:t>Investments - Assets Indirectly Held by Insurer and Risk Charges</w:t>
            </w:r>
            <w:r>
              <w:rPr>
                <w:szCs w:val="24"/>
              </w:rPr>
              <w:t xml:space="preserve"> </w:t>
            </w:r>
            <w:r w:rsidRPr="007E3D0C">
              <w:rPr>
                <w:szCs w:val="24"/>
              </w:rPr>
              <w:t>made on</w:t>
            </w:r>
            <w:r>
              <w:rPr>
                <w:szCs w:val="24"/>
              </w:rPr>
              <w:t xml:space="preserve"> </w:t>
            </w:r>
            <w:r w:rsidRPr="007E3D0C">
              <w:rPr>
                <w:szCs w:val="24"/>
              </w:rPr>
              <w:t>28 June 2002 (which came into effect on</w:t>
            </w:r>
            <w:r>
              <w:rPr>
                <w:szCs w:val="24"/>
              </w:rPr>
              <w:t xml:space="preserve"> </w:t>
            </w:r>
            <w:r w:rsidRPr="007E3D0C">
              <w:rPr>
                <w:szCs w:val="24"/>
              </w:rPr>
              <w:t xml:space="preserve">1 July 2002 and ceased </w:t>
            </w:r>
            <w:r>
              <w:rPr>
                <w:szCs w:val="24"/>
              </w:rPr>
              <w:t xml:space="preserve">to have effect on </w:t>
            </w:r>
            <w:r w:rsidRPr="007E3D0C">
              <w:rPr>
                <w:szCs w:val="24"/>
              </w:rPr>
              <w:t>1 July 2005)</w:t>
            </w:r>
          </w:p>
          <w:p w:rsidR="001E2EFE" w:rsidRDefault="001E2EFE" w:rsidP="00C37089">
            <w:pPr>
              <w:spacing w:line="264" w:lineRule="exact"/>
              <w:ind w:left="100" w:right="211"/>
              <w:rPr>
                <w:szCs w:val="24"/>
              </w:rPr>
            </w:pPr>
          </w:p>
        </w:tc>
      </w:tr>
      <w:tr w:rsidR="001E2EFE" w:rsidTr="00C37089">
        <w:tc>
          <w:tcPr>
            <w:tcW w:w="4690" w:type="dxa"/>
          </w:tcPr>
          <w:p w:rsidR="001E2EFE" w:rsidRDefault="001E2EFE" w:rsidP="001E2EFE">
            <w:pPr>
              <w:pStyle w:val="ListParagraph"/>
              <w:widowControl w:val="0"/>
              <w:numPr>
                <w:ilvl w:val="0"/>
                <w:numId w:val="15"/>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lastRenderedPageBreak/>
              <w:t>GRF_310.0_L: Income Statement</w:t>
            </w:r>
            <w:r>
              <w:rPr>
                <w:rFonts w:ascii="Times New Roman" w:eastAsia="Times New Roman" w:hAnsi="Times New Roman"/>
                <w:sz w:val="24"/>
                <w:szCs w:val="24"/>
              </w:rPr>
              <w:t xml:space="preserve">: </w:t>
            </w:r>
          </w:p>
          <w:p w:rsidR="001E2EFE" w:rsidRPr="006A4D3B" w:rsidRDefault="001E2EFE" w:rsidP="00C37089">
            <w:pPr>
              <w:pStyle w:val="ListParagraph"/>
              <w:spacing w:line="264" w:lineRule="exact"/>
              <w:ind w:left="360" w:right="211"/>
              <w:rPr>
                <w:rFonts w:ascii="Times New Roman" w:eastAsia="Times New Roman" w:hAnsi="Times New Roman"/>
                <w:sz w:val="24"/>
                <w:szCs w:val="24"/>
              </w:rPr>
            </w:pPr>
          </w:p>
          <w:p w:rsidR="001E2EFE" w:rsidRPr="00D46660" w:rsidRDefault="001E2EFE" w:rsidP="00C37089">
            <w:pPr>
              <w:spacing w:line="264" w:lineRule="exact"/>
              <w:ind w:left="100" w:right="211"/>
              <w:rPr>
                <w:szCs w:val="24"/>
              </w:rPr>
            </w:pPr>
            <w:r>
              <w:rPr>
                <w:szCs w:val="24"/>
              </w:rPr>
              <w:t xml:space="preserve">    All data items.</w:t>
            </w:r>
          </w:p>
        </w:tc>
        <w:tc>
          <w:tcPr>
            <w:tcW w:w="4690" w:type="dxa"/>
          </w:tcPr>
          <w:p w:rsidR="001E2EFE" w:rsidRDefault="001E2EFE" w:rsidP="00C37089">
            <w:pPr>
              <w:spacing w:line="264" w:lineRule="exact"/>
              <w:ind w:left="100" w:right="211"/>
              <w:rPr>
                <w:szCs w:val="24"/>
              </w:rPr>
            </w:pPr>
            <w:r w:rsidRPr="00C9339D">
              <w:rPr>
                <w:szCs w:val="24"/>
              </w:rPr>
              <w:t>Reporting Standard GRS 310 (2010) Statement of Financial Performance (which came into effect on 30 August 2010)</w:t>
            </w:r>
          </w:p>
          <w:p w:rsidR="001E2EFE" w:rsidRDefault="001E2EFE" w:rsidP="00C37089">
            <w:pPr>
              <w:spacing w:line="264" w:lineRule="exact"/>
              <w:ind w:left="100" w:right="211"/>
              <w:rPr>
                <w:szCs w:val="24"/>
              </w:rPr>
            </w:pPr>
          </w:p>
        </w:tc>
      </w:tr>
      <w:tr w:rsidR="001E2EFE" w:rsidTr="00C37089">
        <w:trPr>
          <w:trHeight w:val="1680"/>
        </w:trPr>
        <w:tc>
          <w:tcPr>
            <w:tcW w:w="4690" w:type="dxa"/>
          </w:tcPr>
          <w:p w:rsidR="001E2EFE" w:rsidRPr="006A4D3B" w:rsidRDefault="001E2EFE" w:rsidP="001E2EFE">
            <w:pPr>
              <w:pStyle w:val="ListParagraph"/>
              <w:widowControl w:val="0"/>
              <w:numPr>
                <w:ilvl w:val="0"/>
                <w:numId w:val="24"/>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GRF_310.1_L: Premium Revenue and Reinsurance Expense</w:t>
            </w:r>
            <w:r>
              <w:rPr>
                <w:rFonts w:ascii="Times New Roman" w:eastAsia="Times New Roman" w:hAnsi="Times New Roman"/>
                <w:sz w:val="24"/>
                <w:szCs w:val="24"/>
              </w:rPr>
              <w:t xml:space="preserve">: </w:t>
            </w:r>
            <w:r w:rsidRPr="006A4D3B">
              <w:rPr>
                <w:rFonts w:ascii="Times New Roman" w:eastAsia="Times New Roman" w:hAnsi="Times New Roman"/>
                <w:sz w:val="24"/>
                <w:szCs w:val="24"/>
              </w:rPr>
              <w:t xml:space="preserve"> </w:t>
            </w:r>
          </w:p>
          <w:p w:rsidR="001E2EFE" w:rsidRDefault="001E2EFE" w:rsidP="00C37089">
            <w:pPr>
              <w:spacing w:line="264" w:lineRule="exact"/>
              <w:ind w:left="100" w:right="211"/>
              <w:rPr>
                <w:szCs w:val="24"/>
              </w:rPr>
            </w:pPr>
          </w:p>
          <w:p w:rsidR="001E2EFE" w:rsidRPr="006A4D3B" w:rsidRDefault="001E2EFE" w:rsidP="001E2EFE">
            <w:pPr>
              <w:pStyle w:val="ListParagraph"/>
              <w:widowControl w:val="0"/>
              <w:numPr>
                <w:ilvl w:val="0"/>
                <w:numId w:val="16"/>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Section 3 Total</w:t>
            </w:r>
            <w:r>
              <w:rPr>
                <w:rFonts w:ascii="Times New Roman" w:eastAsia="Times New Roman" w:hAnsi="Times New Roman"/>
                <w:sz w:val="24"/>
                <w:szCs w:val="24"/>
              </w:rPr>
              <w:t xml:space="preserve"> - </w:t>
            </w:r>
            <w:r w:rsidRPr="006A4D3B">
              <w:rPr>
                <w:rFonts w:ascii="Times New Roman" w:eastAsia="Times New Roman" w:hAnsi="Times New Roman"/>
                <w:sz w:val="24"/>
                <w:szCs w:val="24"/>
              </w:rPr>
              <w:t>All data items.</w:t>
            </w:r>
          </w:p>
        </w:tc>
        <w:tc>
          <w:tcPr>
            <w:tcW w:w="4690" w:type="dxa"/>
          </w:tcPr>
          <w:p w:rsidR="001E2EFE" w:rsidRDefault="001E2EFE" w:rsidP="00C37089">
            <w:pPr>
              <w:spacing w:line="264" w:lineRule="exact"/>
              <w:ind w:left="100" w:right="211"/>
              <w:rPr>
                <w:szCs w:val="24"/>
              </w:rPr>
            </w:pPr>
            <w:r w:rsidRPr="00C9339D">
              <w:rPr>
                <w:szCs w:val="24"/>
              </w:rPr>
              <w:t>Reporting Standard GRS 310 (2010) Statement of Financial Performance (which came into effect on 30 August 2010)</w:t>
            </w:r>
          </w:p>
          <w:p w:rsidR="001E2EFE" w:rsidRDefault="001E2EFE" w:rsidP="00C37089">
            <w:pPr>
              <w:spacing w:before="37" w:line="230" w:lineRule="auto"/>
              <w:ind w:right="71"/>
              <w:rPr>
                <w:szCs w:val="24"/>
              </w:rPr>
            </w:pPr>
          </w:p>
        </w:tc>
      </w:tr>
    </w:tbl>
    <w:p w:rsidR="001E2EFE" w:rsidRDefault="001E2EFE" w:rsidP="001E2EFE">
      <w:pPr>
        <w:spacing w:before="37" w:line="230" w:lineRule="auto"/>
        <w:ind w:left="100" w:right="71"/>
        <w:rPr>
          <w:szCs w:val="24"/>
        </w:rPr>
      </w:pPr>
    </w:p>
    <w:p w:rsidR="001E2EFE" w:rsidRPr="006C6743" w:rsidRDefault="001E2EFE" w:rsidP="001E2EFE">
      <w:pPr>
        <w:spacing w:line="264" w:lineRule="exact"/>
        <w:ind w:left="100" w:right="211"/>
        <w:rPr>
          <w:szCs w:val="24"/>
        </w:rPr>
      </w:pPr>
      <w:r w:rsidRPr="006C6743">
        <w:rPr>
          <w:szCs w:val="24"/>
        </w:rPr>
        <w:t>AND</w:t>
      </w:r>
    </w:p>
    <w:p w:rsidR="001E2EFE" w:rsidRDefault="001E2EFE" w:rsidP="001E2EFE">
      <w:pPr>
        <w:spacing w:before="19" w:line="240" w:lineRule="exact"/>
        <w:rPr>
          <w:szCs w:val="24"/>
        </w:rPr>
      </w:pPr>
    </w:p>
    <w:p w:rsidR="001E2EFE" w:rsidRDefault="001E2EFE" w:rsidP="001E2EFE">
      <w:pPr>
        <w:spacing w:line="264" w:lineRule="exact"/>
        <w:ind w:left="100" w:right="211"/>
        <w:rPr>
          <w:szCs w:val="24"/>
        </w:rPr>
      </w:pPr>
      <w:r w:rsidRPr="00DF3F06">
        <w:rPr>
          <w:szCs w:val="24"/>
        </w:rPr>
        <w:t xml:space="preserve">This determination applies to </w:t>
      </w:r>
      <w:r>
        <w:rPr>
          <w:szCs w:val="24"/>
        </w:rPr>
        <w:t xml:space="preserve">annual information in </w:t>
      </w:r>
      <w:r w:rsidRPr="00DF3F06">
        <w:rPr>
          <w:szCs w:val="24"/>
        </w:rPr>
        <w:t xml:space="preserve">the following parts of reporting forms </w:t>
      </w:r>
      <w:r w:rsidRPr="00584D0D">
        <w:rPr>
          <w:szCs w:val="24"/>
        </w:rPr>
        <w:t>given to APRA by a parent entity of a Level 2 insurance group</w:t>
      </w:r>
      <w:r>
        <w:rPr>
          <w:szCs w:val="24"/>
        </w:rPr>
        <w:t xml:space="preserve"> </w:t>
      </w:r>
      <w:r w:rsidRPr="00DF3F06">
        <w:rPr>
          <w:szCs w:val="24"/>
        </w:rPr>
        <w:t>under the following reporting standards:</w:t>
      </w:r>
    </w:p>
    <w:p w:rsidR="001E2EFE" w:rsidRDefault="001E2EFE" w:rsidP="001E2EFE">
      <w:pPr>
        <w:spacing w:line="264" w:lineRule="exact"/>
        <w:ind w:left="100" w:right="211"/>
        <w:rPr>
          <w:szCs w:val="24"/>
        </w:rPr>
      </w:pPr>
    </w:p>
    <w:p w:rsidR="001E2EFE" w:rsidRPr="006A4D3B" w:rsidRDefault="001E2EFE" w:rsidP="001E2EFE">
      <w:pPr>
        <w:pStyle w:val="ListParagraph"/>
        <w:widowControl w:val="0"/>
        <w:numPr>
          <w:ilvl w:val="0"/>
          <w:numId w:val="11"/>
        </w:numPr>
        <w:spacing w:line="264" w:lineRule="exact"/>
        <w:ind w:right="211"/>
        <w:contextualSpacing/>
        <w:rPr>
          <w:rFonts w:ascii="Times New Roman" w:eastAsia="Times New Roman" w:hAnsi="Times New Roman"/>
          <w:b/>
          <w:sz w:val="24"/>
          <w:szCs w:val="24"/>
        </w:rPr>
      </w:pPr>
      <w:r w:rsidRPr="006A4D3B">
        <w:rPr>
          <w:rFonts w:ascii="Times New Roman" w:eastAsia="Times New Roman" w:hAnsi="Times New Roman"/>
          <w:b/>
          <w:sz w:val="24"/>
          <w:szCs w:val="24"/>
        </w:rPr>
        <w:t xml:space="preserve">Old reporting standards </w:t>
      </w:r>
      <w:r>
        <w:rPr>
          <w:rFonts w:ascii="Times New Roman" w:eastAsia="Times New Roman" w:hAnsi="Times New Roman"/>
          <w:b/>
          <w:sz w:val="24"/>
          <w:szCs w:val="24"/>
        </w:rPr>
        <w:t xml:space="preserve">for </w:t>
      </w:r>
      <w:r w:rsidR="009B7D33">
        <w:rPr>
          <w:rFonts w:ascii="Times New Roman" w:eastAsia="Times New Roman" w:hAnsi="Times New Roman"/>
          <w:b/>
          <w:sz w:val="24"/>
          <w:szCs w:val="24"/>
        </w:rPr>
        <w:t xml:space="preserve">level 2 insurance groups </w:t>
      </w:r>
      <w:r w:rsidRPr="006A4D3B">
        <w:rPr>
          <w:rFonts w:ascii="Times New Roman" w:eastAsia="Times New Roman" w:hAnsi="Times New Roman"/>
          <w:b/>
          <w:sz w:val="24"/>
          <w:szCs w:val="24"/>
        </w:rPr>
        <w:t>which ceased to have effect prior to 1 January 2013</w:t>
      </w:r>
    </w:p>
    <w:p w:rsidR="001E2EFE" w:rsidRDefault="001E2EFE" w:rsidP="001E2EFE">
      <w:pPr>
        <w:spacing w:line="264" w:lineRule="exact"/>
        <w:ind w:left="100" w:right="211"/>
        <w:rPr>
          <w:szCs w:val="24"/>
        </w:rPr>
      </w:pPr>
    </w:p>
    <w:tbl>
      <w:tblPr>
        <w:tblStyle w:val="TableGrid"/>
        <w:tblW w:w="0" w:type="auto"/>
        <w:tblInd w:w="100" w:type="dxa"/>
        <w:tblLook w:val="04A0" w:firstRow="1" w:lastRow="0" w:firstColumn="1" w:lastColumn="0" w:noHBand="0" w:noVBand="1"/>
      </w:tblPr>
      <w:tblGrid>
        <w:gridCol w:w="4378"/>
        <w:gridCol w:w="4044"/>
      </w:tblGrid>
      <w:tr w:rsidR="001E2EFE" w:rsidTr="00C37089">
        <w:trPr>
          <w:tblHeader/>
        </w:trPr>
        <w:tc>
          <w:tcPr>
            <w:tcW w:w="4828" w:type="dxa"/>
          </w:tcPr>
          <w:p w:rsidR="001E2EFE" w:rsidRDefault="001E2EFE" w:rsidP="00C37089">
            <w:pPr>
              <w:spacing w:line="264" w:lineRule="exact"/>
              <w:ind w:left="100" w:right="211"/>
              <w:rPr>
                <w:szCs w:val="24"/>
              </w:rPr>
            </w:pPr>
            <w:r>
              <w:rPr>
                <w:szCs w:val="24"/>
              </w:rPr>
              <w:t>Parts of reporting form covered by this determination</w:t>
            </w:r>
          </w:p>
        </w:tc>
        <w:tc>
          <w:tcPr>
            <w:tcW w:w="4552" w:type="dxa"/>
          </w:tcPr>
          <w:p w:rsidR="001E2EFE" w:rsidRDefault="001E2EFE" w:rsidP="00C37089">
            <w:pPr>
              <w:spacing w:line="264" w:lineRule="exact"/>
              <w:ind w:left="100" w:right="211"/>
              <w:rPr>
                <w:szCs w:val="24"/>
              </w:rPr>
            </w:pPr>
            <w:r>
              <w:rPr>
                <w:szCs w:val="24"/>
              </w:rPr>
              <w:t>Reporting standards</w:t>
            </w:r>
          </w:p>
        </w:tc>
      </w:tr>
      <w:tr w:rsidR="001E2EFE" w:rsidRPr="001456E1" w:rsidTr="00C37089">
        <w:tc>
          <w:tcPr>
            <w:tcW w:w="4828" w:type="dxa"/>
          </w:tcPr>
          <w:p w:rsidR="001E2EFE" w:rsidRPr="001C277A" w:rsidRDefault="001E2EFE" w:rsidP="00C37089">
            <w:pPr>
              <w:spacing w:line="264" w:lineRule="exact"/>
              <w:ind w:right="211"/>
              <w:rPr>
                <w:szCs w:val="24"/>
              </w:rPr>
            </w:pPr>
            <w:r w:rsidRPr="001C277A">
              <w:rPr>
                <w:szCs w:val="24"/>
              </w:rPr>
              <w:t>GRF_110.0_G Minimum Capital Requirement (G)</w:t>
            </w:r>
          </w:p>
          <w:p w:rsidR="001E2EFE" w:rsidRPr="001C277A" w:rsidRDefault="001E2EFE" w:rsidP="00C37089">
            <w:pPr>
              <w:pStyle w:val="ListParagraph"/>
              <w:spacing w:line="264" w:lineRule="exact"/>
              <w:ind w:left="402" w:right="211"/>
              <w:rPr>
                <w:rFonts w:ascii="Times New Roman" w:eastAsia="Times New Roman" w:hAnsi="Times New Roman"/>
                <w:sz w:val="24"/>
                <w:szCs w:val="24"/>
              </w:rPr>
            </w:pPr>
          </w:p>
          <w:p w:rsidR="001E2EFE" w:rsidRPr="001C277A" w:rsidRDefault="001E2EFE" w:rsidP="001E2EFE">
            <w:pPr>
              <w:pStyle w:val="ListParagraph"/>
              <w:widowControl w:val="0"/>
              <w:numPr>
                <w:ilvl w:val="0"/>
                <w:numId w:val="17"/>
              </w:numPr>
              <w:spacing w:line="264" w:lineRule="exact"/>
              <w:ind w:right="211"/>
              <w:rPr>
                <w:rFonts w:ascii="Times New Roman" w:eastAsia="Times New Roman" w:hAnsi="Times New Roman"/>
                <w:sz w:val="24"/>
                <w:szCs w:val="24"/>
              </w:rPr>
            </w:pPr>
            <w:r w:rsidRPr="001C277A">
              <w:rPr>
                <w:rFonts w:ascii="Times New Roman" w:eastAsia="Times New Roman" w:hAnsi="Times New Roman"/>
                <w:sz w:val="24"/>
                <w:szCs w:val="24"/>
              </w:rPr>
              <w:t>GRF_131.0_G: Total off-balance sheet exposure risk charge</w:t>
            </w:r>
            <w:r w:rsidRPr="001C277A">
              <w:rPr>
                <w:rFonts w:ascii="Times New Roman" w:eastAsia="Times New Roman" w:hAnsi="Times New Roman"/>
                <w:sz w:val="24"/>
                <w:szCs w:val="24"/>
              </w:rPr>
              <w:tab/>
            </w:r>
          </w:p>
          <w:p w:rsidR="001E2EFE" w:rsidRPr="001C277A" w:rsidRDefault="001E2EFE" w:rsidP="00C37089">
            <w:pPr>
              <w:pStyle w:val="ListParagraph"/>
              <w:spacing w:line="264" w:lineRule="exact"/>
              <w:ind w:left="402" w:right="211"/>
              <w:rPr>
                <w:rFonts w:ascii="Times New Roman" w:eastAsia="Times New Roman" w:hAnsi="Times New Roman"/>
                <w:sz w:val="24"/>
                <w:szCs w:val="24"/>
              </w:rPr>
            </w:pPr>
          </w:p>
          <w:p w:rsidR="001E2EFE" w:rsidRPr="001C277A" w:rsidRDefault="001E2EFE" w:rsidP="001E2EFE">
            <w:pPr>
              <w:pStyle w:val="ListParagraph"/>
              <w:widowControl w:val="0"/>
              <w:numPr>
                <w:ilvl w:val="0"/>
                <w:numId w:val="17"/>
              </w:numPr>
              <w:spacing w:line="264" w:lineRule="exact"/>
              <w:ind w:right="211"/>
              <w:rPr>
                <w:rFonts w:ascii="Times New Roman" w:eastAsia="Times New Roman" w:hAnsi="Times New Roman"/>
                <w:sz w:val="24"/>
                <w:szCs w:val="24"/>
              </w:rPr>
            </w:pPr>
            <w:r w:rsidRPr="001C277A">
              <w:rPr>
                <w:rFonts w:ascii="Times New Roman" w:eastAsia="Times New Roman" w:hAnsi="Times New Roman"/>
                <w:sz w:val="24"/>
                <w:szCs w:val="24"/>
              </w:rPr>
              <w:t>GRF_141.0_G: Listed equity holdings risk charge</w:t>
            </w:r>
            <w:r w:rsidRPr="001C277A">
              <w:rPr>
                <w:rFonts w:ascii="Times New Roman" w:eastAsia="Times New Roman" w:hAnsi="Times New Roman"/>
                <w:sz w:val="24"/>
                <w:szCs w:val="24"/>
              </w:rPr>
              <w:tab/>
            </w:r>
          </w:p>
          <w:p w:rsidR="001E2EFE" w:rsidRPr="006A4D3B" w:rsidRDefault="001E2EFE" w:rsidP="00C37089">
            <w:pPr>
              <w:spacing w:line="264" w:lineRule="exact"/>
              <w:ind w:right="211"/>
              <w:rPr>
                <w:szCs w:val="24"/>
              </w:rPr>
            </w:pPr>
          </w:p>
          <w:p w:rsidR="001E2EFE" w:rsidRPr="001C277A" w:rsidRDefault="001E2EFE" w:rsidP="001E2EFE">
            <w:pPr>
              <w:pStyle w:val="ListParagraph"/>
              <w:widowControl w:val="0"/>
              <w:numPr>
                <w:ilvl w:val="0"/>
                <w:numId w:val="17"/>
              </w:numPr>
              <w:spacing w:line="264" w:lineRule="exact"/>
              <w:ind w:right="211"/>
              <w:rPr>
                <w:rFonts w:ascii="Times New Roman" w:eastAsia="Times New Roman" w:hAnsi="Times New Roman"/>
                <w:sz w:val="24"/>
                <w:szCs w:val="24"/>
              </w:rPr>
            </w:pPr>
            <w:r w:rsidRPr="001C277A">
              <w:rPr>
                <w:rFonts w:ascii="Times New Roman" w:eastAsia="Times New Roman" w:hAnsi="Times New Roman"/>
                <w:sz w:val="24"/>
                <w:szCs w:val="24"/>
              </w:rPr>
              <w:t>GRF_150.0_G: Asset exposure concentration risk charge</w:t>
            </w:r>
            <w:r w:rsidRPr="001C277A">
              <w:rPr>
                <w:rFonts w:ascii="Times New Roman" w:eastAsia="Times New Roman" w:hAnsi="Times New Roman"/>
                <w:sz w:val="24"/>
                <w:szCs w:val="24"/>
              </w:rPr>
              <w:tab/>
            </w:r>
          </w:p>
          <w:p w:rsidR="001E2EFE" w:rsidRPr="006A4D3B" w:rsidRDefault="001E2EFE" w:rsidP="00C37089">
            <w:pPr>
              <w:spacing w:line="264" w:lineRule="exact"/>
              <w:ind w:right="211"/>
              <w:rPr>
                <w:szCs w:val="24"/>
              </w:rPr>
            </w:pPr>
          </w:p>
          <w:p w:rsidR="001E2EFE" w:rsidRPr="001C277A" w:rsidRDefault="001E2EFE" w:rsidP="001E2EFE">
            <w:pPr>
              <w:pStyle w:val="ListParagraph"/>
              <w:widowControl w:val="0"/>
              <w:numPr>
                <w:ilvl w:val="0"/>
                <w:numId w:val="17"/>
              </w:numPr>
              <w:spacing w:line="264" w:lineRule="exact"/>
              <w:ind w:right="211"/>
              <w:rPr>
                <w:rFonts w:ascii="Times New Roman" w:eastAsia="Times New Roman" w:hAnsi="Times New Roman"/>
                <w:sz w:val="24"/>
                <w:szCs w:val="24"/>
              </w:rPr>
            </w:pPr>
            <w:r w:rsidRPr="001C277A">
              <w:rPr>
                <w:rFonts w:ascii="Times New Roman" w:eastAsia="Times New Roman" w:hAnsi="Times New Roman"/>
                <w:sz w:val="24"/>
                <w:szCs w:val="24"/>
              </w:rPr>
              <w:t>GRF_300.0_G: Statement of financial position - Investment risk charge</w:t>
            </w:r>
          </w:p>
          <w:p w:rsidR="001E2EFE" w:rsidRPr="006A4D3B" w:rsidRDefault="001E2EFE" w:rsidP="00C37089">
            <w:pPr>
              <w:spacing w:line="264" w:lineRule="exact"/>
              <w:ind w:right="211"/>
              <w:rPr>
                <w:szCs w:val="24"/>
              </w:rPr>
            </w:pPr>
          </w:p>
          <w:p w:rsidR="001E2EFE" w:rsidRPr="001C277A" w:rsidRDefault="001E2EFE" w:rsidP="001E2EFE">
            <w:pPr>
              <w:pStyle w:val="ListParagraph"/>
              <w:widowControl w:val="0"/>
              <w:numPr>
                <w:ilvl w:val="0"/>
                <w:numId w:val="17"/>
              </w:numPr>
              <w:spacing w:line="264" w:lineRule="exact"/>
              <w:ind w:right="211"/>
              <w:rPr>
                <w:rFonts w:ascii="Times New Roman" w:eastAsia="Times New Roman" w:hAnsi="Times New Roman"/>
                <w:sz w:val="24"/>
                <w:szCs w:val="24"/>
              </w:rPr>
            </w:pPr>
            <w:r w:rsidRPr="001C277A">
              <w:rPr>
                <w:rFonts w:ascii="Times New Roman" w:eastAsia="Times New Roman" w:hAnsi="Times New Roman"/>
                <w:sz w:val="24"/>
                <w:szCs w:val="24"/>
              </w:rPr>
              <w:t xml:space="preserve">GRF_301.0_G: Reinsurance assets and risk charge </w:t>
            </w:r>
            <w:r w:rsidRPr="001C277A">
              <w:rPr>
                <w:rFonts w:ascii="Times New Roman" w:eastAsia="Times New Roman" w:hAnsi="Times New Roman"/>
                <w:sz w:val="24"/>
                <w:szCs w:val="24"/>
              </w:rPr>
              <w:tab/>
            </w:r>
          </w:p>
          <w:p w:rsidR="001E2EFE" w:rsidRPr="006A4D3B" w:rsidRDefault="001E2EFE" w:rsidP="00C37089">
            <w:pPr>
              <w:pStyle w:val="ListParagraph"/>
              <w:spacing w:line="264" w:lineRule="exact"/>
              <w:ind w:left="360" w:right="211"/>
              <w:rPr>
                <w:rFonts w:ascii="Times New Roman" w:eastAsia="Times New Roman" w:hAnsi="Times New Roman"/>
                <w:sz w:val="24"/>
                <w:szCs w:val="24"/>
              </w:rPr>
            </w:pPr>
          </w:p>
          <w:p w:rsidR="001E2EFE" w:rsidRPr="006A4D3B" w:rsidRDefault="001E2EFE" w:rsidP="001E2EFE">
            <w:pPr>
              <w:pStyle w:val="ListParagraph"/>
              <w:widowControl w:val="0"/>
              <w:numPr>
                <w:ilvl w:val="0"/>
                <w:numId w:val="17"/>
              </w:numPr>
              <w:spacing w:line="264" w:lineRule="exact"/>
              <w:ind w:right="211"/>
              <w:contextualSpacing/>
              <w:rPr>
                <w:rFonts w:ascii="Times New Roman" w:hAnsi="Times New Roman"/>
                <w:sz w:val="24"/>
                <w:szCs w:val="24"/>
              </w:rPr>
            </w:pPr>
            <w:r w:rsidRPr="006A4D3B">
              <w:rPr>
                <w:rFonts w:ascii="Times New Roman" w:hAnsi="Times New Roman"/>
                <w:sz w:val="24"/>
                <w:szCs w:val="24"/>
              </w:rPr>
              <w:t>Derivatives activity and risk charge</w:t>
            </w:r>
            <w:r w:rsidRPr="001C277A">
              <w:rPr>
                <w:rFonts w:ascii="Times New Roman" w:hAnsi="Times New Roman"/>
                <w:sz w:val="24"/>
                <w:szCs w:val="24"/>
              </w:rPr>
              <w:t xml:space="preserve"> - </w:t>
            </w:r>
          </w:p>
          <w:p w:rsidR="001E2EFE" w:rsidRPr="001C277A" w:rsidRDefault="001E2EFE" w:rsidP="00C37089">
            <w:pPr>
              <w:pStyle w:val="ListParagraph"/>
              <w:rPr>
                <w:rFonts w:ascii="Times New Roman" w:hAnsi="Times New Roman"/>
                <w:sz w:val="24"/>
                <w:szCs w:val="24"/>
              </w:rPr>
            </w:pPr>
            <w:r w:rsidRPr="006A4D3B">
              <w:rPr>
                <w:rFonts w:ascii="Times New Roman" w:hAnsi="Times New Roman"/>
                <w:sz w:val="24"/>
                <w:szCs w:val="24"/>
              </w:rPr>
              <w:lastRenderedPageBreak/>
              <w:t>All data items</w:t>
            </w:r>
          </w:p>
          <w:p w:rsidR="001E2EFE" w:rsidRPr="006A4D3B" w:rsidRDefault="001E2EFE" w:rsidP="00C37089">
            <w:pPr>
              <w:pStyle w:val="ListParagraph"/>
              <w:rPr>
                <w:rFonts w:ascii="Times New Roman" w:hAnsi="Times New Roman"/>
                <w:sz w:val="24"/>
                <w:szCs w:val="24"/>
              </w:rPr>
            </w:pPr>
          </w:p>
          <w:p w:rsidR="001E2EFE" w:rsidRPr="006A4D3B" w:rsidRDefault="001E2EFE" w:rsidP="001E2EFE">
            <w:pPr>
              <w:pStyle w:val="ListParagraph"/>
              <w:widowControl w:val="0"/>
              <w:numPr>
                <w:ilvl w:val="0"/>
                <w:numId w:val="17"/>
              </w:numPr>
              <w:spacing w:after="200" w:line="276" w:lineRule="auto"/>
              <w:contextualSpacing/>
              <w:rPr>
                <w:rFonts w:ascii="Times New Roman" w:eastAsia="Times New Roman" w:hAnsi="Times New Roman"/>
                <w:sz w:val="24"/>
                <w:szCs w:val="24"/>
              </w:rPr>
            </w:pPr>
            <w:r w:rsidRPr="006A4D3B">
              <w:rPr>
                <w:rFonts w:ascii="Times New Roman" w:eastAsia="Times New Roman" w:hAnsi="Times New Roman"/>
                <w:sz w:val="24"/>
                <w:szCs w:val="24"/>
              </w:rPr>
              <w:t>Concentration risk charge</w:t>
            </w:r>
            <w:r w:rsidRPr="001C277A">
              <w:rPr>
                <w:rFonts w:ascii="Times New Roman" w:eastAsia="Times New Roman" w:hAnsi="Times New Roman"/>
                <w:sz w:val="24"/>
                <w:szCs w:val="24"/>
              </w:rPr>
              <w:t xml:space="preserve"> - </w:t>
            </w:r>
          </w:p>
          <w:p w:rsidR="001E2EFE" w:rsidRPr="006A4D3B" w:rsidRDefault="001E2EFE" w:rsidP="00C37089">
            <w:pPr>
              <w:pStyle w:val="ListParagraph"/>
              <w:rPr>
                <w:rFonts w:ascii="Times New Roman" w:hAnsi="Times New Roman"/>
                <w:sz w:val="24"/>
                <w:szCs w:val="24"/>
              </w:rPr>
            </w:pPr>
            <w:r w:rsidRPr="006A4D3B">
              <w:rPr>
                <w:rFonts w:ascii="Times New Roman" w:hAnsi="Times New Roman"/>
                <w:sz w:val="24"/>
                <w:szCs w:val="24"/>
              </w:rPr>
              <w:t>All data items</w:t>
            </w:r>
          </w:p>
          <w:p w:rsidR="001E2EFE" w:rsidRPr="001C277A" w:rsidRDefault="001E2EFE" w:rsidP="00C37089">
            <w:pPr>
              <w:pStyle w:val="ListParagraph"/>
              <w:spacing w:line="264" w:lineRule="exact"/>
              <w:ind w:left="360" w:right="211"/>
              <w:rPr>
                <w:rFonts w:ascii="Times New Roman" w:eastAsia="Times New Roman" w:hAnsi="Times New Roman"/>
                <w:sz w:val="24"/>
                <w:szCs w:val="24"/>
              </w:rPr>
            </w:pPr>
          </w:p>
          <w:p w:rsidR="001E2EFE" w:rsidRPr="006A4D3B" w:rsidRDefault="001E2EFE" w:rsidP="001E2EFE">
            <w:pPr>
              <w:pStyle w:val="ListParagraph"/>
              <w:widowControl w:val="0"/>
              <w:numPr>
                <w:ilvl w:val="0"/>
                <w:numId w:val="17"/>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GRF_210.0_G: OCL insurance risk charge</w:t>
            </w:r>
            <w:r w:rsidRPr="006A4D3B">
              <w:rPr>
                <w:rFonts w:ascii="Times New Roman" w:eastAsia="Times New Roman" w:hAnsi="Times New Roman"/>
                <w:sz w:val="24"/>
                <w:szCs w:val="24"/>
              </w:rPr>
              <w:tab/>
            </w:r>
          </w:p>
          <w:p w:rsidR="001E2EFE" w:rsidRPr="001C277A" w:rsidRDefault="001E2EFE" w:rsidP="00C37089">
            <w:pPr>
              <w:pStyle w:val="ListParagraph"/>
              <w:spacing w:line="264" w:lineRule="exact"/>
              <w:ind w:left="360" w:right="211"/>
              <w:rPr>
                <w:rFonts w:ascii="Times New Roman" w:eastAsia="Times New Roman" w:hAnsi="Times New Roman"/>
                <w:sz w:val="24"/>
                <w:szCs w:val="24"/>
              </w:rPr>
            </w:pPr>
          </w:p>
          <w:p w:rsidR="001E2EFE" w:rsidRPr="001C277A" w:rsidRDefault="001E2EFE" w:rsidP="001E2EFE">
            <w:pPr>
              <w:pStyle w:val="ListParagraph"/>
              <w:widowControl w:val="0"/>
              <w:numPr>
                <w:ilvl w:val="0"/>
                <w:numId w:val="17"/>
              </w:numPr>
              <w:spacing w:line="264" w:lineRule="exact"/>
              <w:ind w:right="211"/>
              <w:rPr>
                <w:rFonts w:ascii="Times New Roman" w:eastAsia="Times New Roman" w:hAnsi="Times New Roman"/>
                <w:sz w:val="24"/>
                <w:szCs w:val="24"/>
              </w:rPr>
            </w:pPr>
            <w:r w:rsidRPr="001C277A">
              <w:rPr>
                <w:rFonts w:ascii="Times New Roman" w:eastAsia="Times New Roman" w:hAnsi="Times New Roman"/>
                <w:sz w:val="24"/>
                <w:szCs w:val="24"/>
              </w:rPr>
              <w:t>GRF_210.1_G: Premiums liabilities insurance risk charge</w:t>
            </w:r>
          </w:p>
          <w:p w:rsidR="001E2EFE" w:rsidRPr="001C277A" w:rsidRDefault="001E2EFE" w:rsidP="00C37089">
            <w:pPr>
              <w:pStyle w:val="ListParagraph"/>
              <w:ind w:left="360"/>
              <w:rPr>
                <w:rFonts w:ascii="Times New Roman" w:eastAsia="Times New Roman" w:hAnsi="Times New Roman"/>
                <w:sz w:val="24"/>
                <w:szCs w:val="24"/>
              </w:rPr>
            </w:pPr>
          </w:p>
          <w:p w:rsidR="001E2EFE" w:rsidRPr="006A4D3B" w:rsidRDefault="001E2EFE" w:rsidP="001E2EFE">
            <w:pPr>
              <w:pStyle w:val="ListParagraph"/>
              <w:widowControl w:val="0"/>
              <w:numPr>
                <w:ilvl w:val="0"/>
                <w:numId w:val="17"/>
              </w:numPr>
              <w:spacing w:after="200" w:line="276" w:lineRule="auto"/>
              <w:contextualSpacing/>
              <w:rPr>
                <w:rFonts w:ascii="Times New Roman" w:hAnsi="Times New Roman"/>
                <w:sz w:val="24"/>
                <w:szCs w:val="24"/>
              </w:rPr>
            </w:pPr>
            <w:r w:rsidRPr="006A4D3B">
              <w:rPr>
                <w:rFonts w:ascii="Times New Roman" w:hAnsi="Times New Roman"/>
                <w:sz w:val="24"/>
                <w:szCs w:val="24"/>
              </w:rPr>
              <w:t>Total variation in capital charges as approved by APRA – Total amount</w:t>
            </w:r>
          </w:p>
          <w:p w:rsidR="001E2EFE" w:rsidRPr="006A4D3B" w:rsidRDefault="001E2EFE" w:rsidP="00C37089">
            <w:pPr>
              <w:pStyle w:val="ListParagraph"/>
              <w:ind w:left="402"/>
              <w:rPr>
                <w:rFonts w:ascii="Times New Roman" w:hAnsi="Times New Roman"/>
                <w:sz w:val="24"/>
                <w:szCs w:val="24"/>
              </w:rPr>
            </w:pPr>
          </w:p>
          <w:p w:rsidR="001E2EFE" w:rsidRPr="006A4D3B" w:rsidRDefault="001E2EFE" w:rsidP="001E2EFE">
            <w:pPr>
              <w:pStyle w:val="ListParagraph"/>
              <w:widowControl w:val="0"/>
              <w:numPr>
                <w:ilvl w:val="0"/>
                <w:numId w:val="17"/>
              </w:numPr>
              <w:spacing w:after="200" w:line="276" w:lineRule="auto"/>
              <w:contextualSpacing/>
              <w:rPr>
                <w:rFonts w:ascii="Times New Roman" w:hAnsi="Times New Roman"/>
                <w:sz w:val="24"/>
                <w:szCs w:val="24"/>
              </w:rPr>
            </w:pPr>
            <w:r w:rsidRPr="006A4D3B">
              <w:rPr>
                <w:rFonts w:ascii="Times New Roman" w:hAnsi="Times New Roman"/>
                <w:sz w:val="24"/>
                <w:szCs w:val="24"/>
              </w:rPr>
              <w:t>Minimum capital requirement</w:t>
            </w:r>
            <w:r w:rsidRPr="006A4D3B">
              <w:rPr>
                <w:rFonts w:ascii="Times New Roman" w:hAnsi="Times New Roman"/>
                <w:sz w:val="24"/>
                <w:szCs w:val="24"/>
              </w:rPr>
              <w:tab/>
            </w:r>
          </w:p>
          <w:p w:rsidR="001E2EFE" w:rsidRPr="006A4D3B" w:rsidRDefault="001E2EFE" w:rsidP="00C37089">
            <w:pPr>
              <w:pStyle w:val="ListParagraph"/>
              <w:ind w:left="1080"/>
              <w:rPr>
                <w:rFonts w:ascii="Times New Roman" w:hAnsi="Times New Roman"/>
                <w:sz w:val="24"/>
                <w:szCs w:val="24"/>
              </w:rPr>
            </w:pPr>
          </w:p>
          <w:p w:rsidR="001E2EFE" w:rsidRPr="006A4D3B" w:rsidRDefault="001E2EFE" w:rsidP="001E2EFE">
            <w:pPr>
              <w:pStyle w:val="ListParagraph"/>
              <w:widowControl w:val="0"/>
              <w:numPr>
                <w:ilvl w:val="0"/>
                <w:numId w:val="17"/>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GRF_120</w:t>
            </w:r>
            <w:r w:rsidRPr="001C277A">
              <w:rPr>
                <w:rFonts w:ascii="Times New Roman" w:eastAsia="Times New Roman" w:hAnsi="Times New Roman"/>
                <w:sz w:val="24"/>
                <w:szCs w:val="24"/>
              </w:rPr>
              <w:t>.</w:t>
            </w:r>
            <w:r w:rsidRPr="006A4D3B">
              <w:rPr>
                <w:rFonts w:ascii="Times New Roman" w:eastAsia="Times New Roman" w:hAnsi="Times New Roman"/>
                <w:sz w:val="24"/>
                <w:szCs w:val="24"/>
              </w:rPr>
              <w:t>0_G: Determination of capital base:</w:t>
            </w:r>
            <w:r w:rsidRPr="006A4D3B">
              <w:rPr>
                <w:rFonts w:ascii="Times New Roman" w:eastAsia="Times New Roman" w:hAnsi="Times New Roman"/>
                <w:sz w:val="24"/>
                <w:szCs w:val="24"/>
              </w:rPr>
              <w:tab/>
            </w:r>
          </w:p>
          <w:p w:rsidR="001E2EFE" w:rsidRPr="001C277A" w:rsidRDefault="001E2EFE" w:rsidP="00C37089">
            <w:pPr>
              <w:pStyle w:val="ListParagraph"/>
              <w:spacing w:line="264" w:lineRule="exact"/>
              <w:ind w:left="360" w:right="211"/>
              <w:rPr>
                <w:rFonts w:ascii="Times New Roman" w:eastAsia="Times New Roman" w:hAnsi="Times New Roman"/>
                <w:sz w:val="24"/>
                <w:szCs w:val="24"/>
              </w:rPr>
            </w:pPr>
          </w:p>
          <w:p w:rsidR="001E2EFE" w:rsidRPr="001C277A" w:rsidRDefault="001E2EFE" w:rsidP="001E2EFE">
            <w:pPr>
              <w:pStyle w:val="ListParagraph"/>
              <w:widowControl w:val="0"/>
              <w:numPr>
                <w:ilvl w:val="0"/>
                <w:numId w:val="17"/>
              </w:numPr>
              <w:spacing w:line="264" w:lineRule="exact"/>
              <w:ind w:right="211"/>
              <w:contextualSpacing/>
              <w:rPr>
                <w:rFonts w:ascii="Times New Roman" w:eastAsia="Times New Roman" w:hAnsi="Times New Roman"/>
                <w:sz w:val="24"/>
                <w:szCs w:val="24"/>
              </w:rPr>
            </w:pPr>
            <w:r w:rsidRPr="001C277A">
              <w:rPr>
                <w:rFonts w:ascii="Times New Roman" w:eastAsia="Times New Roman" w:hAnsi="Times New Roman"/>
                <w:sz w:val="24"/>
                <w:szCs w:val="24"/>
              </w:rPr>
              <w:t xml:space="preserve"> </w:t>
            </w:r>
            <w:r w:rsidRPr="006A4D3B">
              <w:rPr>
                <w:rFonts w:ascii="Times New Roman" w:eastAsia="Times New Roman" w:hAnsi="Times New Roman"/>
                <w:sz w:val="24"/>
                <w:szCs w:val="24"/>
              </w:rPr>
              <w:t>Capital surplus (deficiency)</w:t>
            </w:r>
            <w:r w:rsidRPr="006A4D3B">
              <w:rPr>
                <w:rFonts w:ascii="Times New Roman" w:eastAsia="Times New Roman" w:hAnsi="Times New Roman"/>
                <w:sz w:val="24"/>
                <w:szCs w:val="24"/>
              </w:rPr>
              <w:tab/>
            </w:r>
          </w:p>
          <w:p w:rsidR="001E2EFE" w:rsidRPr="006A4D3B" w:rsidRDefault="001E2EFE" w:rsidP="00C37089">
            <w:pPr>
              <w:spacing w:line="264" w:lineRule="exact"/>
              <w:ind w:right="211"/>
              <w:rPr>
                <w:szCs w:val="24"/>
              </w:rPr>
            </w:pPr>
          </w:p>
          <w:p w:rsidR="001E2EFE" w:rsidRPr="001C277A" w:rsidRDefault="001E2EFE" w:rsidP="001E2EFE">
            <w:pPr>
              <w:pStyle w:val="ListParagraph"/>
              <w:widowControl w:val="0"/>
              <w:numPr>
                <w:ilvl w:val="0"/>
                <w:numId w:val="17"/>
              </w:numPr>
              <w:spacing w:line="264" w:lineRule="exact"/>
              <w:ind w:right="211"/>
              <w:rPr>
                <w:rFonts w:ascii="Times New Roman" w:eastAsia="Times New Roman" w:hAnsi="Times New Roman"/>
                <w:sz w:val="24"/>
                <w:szCs w:val="24"/>
              </w:rPr>
            </w:pPr>
            <w:r w:rsidRPr="001C277A">
              <w:rPr>
                <w:rFonts w:ascii="Times New Roman" w:eastAsia="Times New Roman" w:hAnsi="Times New Roman"/>
                <w:sz w:val="24"/>
                <w:szCs w:val="24"/>
              </w:rPr>
              <w:t>Solvency coverage</w:t>
            </w:r>
            <w:r w:rsidRPr="001C277A">
              <w:rPr>
                <w:rFonts w:ascii="Times New Roman" w:eastAsia="Times New Roman" w:hAnsi="Times New Roman"/>
                <w:sz w:val="24"/>
                <w:szCs w:val="24"/>
              </w:rPr>
              <w:tab/>
            </w:r>
          </w:p>
          <w:p w:rsidR="001E2EFE" w:rsidRPr="006A4D3B" w:rsidRDefault="001E2EFE" w:rsidP="00C37089">
            <w:pPr>
              <w:spacing w:line="264" w:lineRule="exact"/>
              <w:ind w:right="211"/>
              <w:rPr>
                <w:szCs w:val="24"/>
              </w:rPr>
            </w:pPr>
          </w:p>
          <w:p w:rsidR="001E2EFE" w:rsidRPr="001C277A" w:rsidRDefault="001E2EFE" w:rsidP="001E2EFE">
            <w:pPr>
              <w:pStyle w:val="ListParagraph"/>
              <w:widowControl w:val="0"/>
              <w:numPr>
                <w:ilvl w:val="0"/>
                <w:numId w:val="17"/>
              </w:numPr>
              <w:spacing w:line="264" w:lineRule="exact"/>
              <w:ind w:right="211"/>
              <w:rPr>
                <w:rFonts w:ascii="Times New Roman" w:eastAsia="Times New Roman" w:hAnsi="Times New Roman"/>
                <w:sz w:val="24"/>
                <w:szCs w:val="24"/>
              </w:rPr>
            </w:pPr>
            <w:r w:rsidRPr="001C277A">
              <w:rPr>
                <w:rFonts w:ascii="Times New Roman" w:eastAsia="Times New Roman" w:hAnsi="Times New Roman"/>
                <w:sz w:val="24"/>
                <w:szCs w:val="24"/>
              </w:rPr>
              <w:t>Capital adequacy ratio</w:t>
            </w:r>
            <w:r w:rsidRPr="001C277A">
              <w:rPr>
                <w:rFonts w:ascii="Times New Roman" w:eastAsia="Times New Roman" w:hAnsi="Times New Roman"/>
                <w:sz w:val="24"/>
                <w:szCs w:val="24"/>
              </w:rPr>
              <w:tab/>
            </w:r>
          </w:p>
          <w:p w:rsidR="001E2EFE" w:rsidRPr="001C277A" w:rsidRDefault="001E2EFE" w:rsidP="00C37089">
            <w:pPr>
              <w:spacing w:line="264" w:lineRule="exact"/>
              <w:ind w:left="100" w:right="211"/>
              <w:rPr>
                <w:szCs w:val="24"/>
              </w:rPr>
            </w:pPr>
          </w:p>
        </w:tc>
        <w:tc>
          <w:tcPr>
            <w:tcW w:w="4552" w:type="dxa"/>
          </w:tcPr>
          <w:p w:rsidR="001E2EFE" w:rsidRPr="002618F5" w:rsidRDefault="001E2EFE" w:rsidP="00C37089">
            <w:pPr>
              <w:spacing w:line="264" w:lineRule="exact"/>
              <w:ind w:left="100" w:right="211"/>
              <w:rPr>
                <w:szCs w:val="24"/>
              </w:rPr>
            </w:pPr>
            <w:r>
              <w:rPr>
                <w:szCs w:val="24"/>
              </w:rPr>
              <w:lastRenderedPageBreak/>
              <w:t xml:space="preserve">Reporting Standard </w:t>
            </w:r>
            <w:r w:rsidRPr="002618F5">
              <w:rPr>
                <w:szCs w:val="24"/>
              </w:rPr>
              <w:t>GRS 110.</w:t>
            </w:r>
            <w:r>
              <w:rPr>
                <w:szCs w:val="24"/>
              </w:rPr>
              <w:t xml:space="preserve">0_G Minimum Capital Requirement </w:t>
            </w:r>
            <w:r w:rsidRPr="00584D0D">
              <w:rPr>
                <w:szCs w:val="24"/>
              </w:rPr>
              <w:t xml:space="preserve">(which came into effect on 1 </w:t>
            </w:r>
            <w:r>
              <w:rPr>
                <w:szCs w:val="24"/>
              </w:rPr>
              <w:t>July 2011</w:t>
            </w:r>
            <w:r w:rsidRPr="00584D0D">
              <w:rPr>
                <w:szCs w:val="24"/>
              </w:rPr>
              <w:t>)</w:t>
            </w:r>
          </w:p>
          <w:p w:rsidR="001E2EFE" w:rsidRPr="001456E1" w:rsidRDefault="001E2EFE" w:rsidP="00C37089">
            <w:pPr>
              <w:spacing w:line="264" w:lineRule="exact"/>
              <w:ind w:left="100" w:right="211"/>
              <w:rPr>
                <w:szCs w:val="24"/>
              </w:rPr>
            </w:pPr>
          </w:p>
        </w:tc>
      </w:tr>
      <w:tr w:rsidR="001E2EFE" w:rsidRPr="001456E1" w:rsidTr="00C37089">
        <w:tc>
          <w:tcPr>
            <w:tcW w:w="4828" w:type="dxa"/>
          </w:tcPr>
          <w:p w:rsidR="001E2EFE" w:rsidRPr="001C277A" w:rsidRDefault="001E2EFE" w:rsidP="00C37089">
            <w:pPr>
              <w:spacing w:line="264" w:lineRule="exact"/>
              <w:ind w:right="211"/>
              <w:rPr>
                <w:szCs w:val="24"/>
              </w:rPr>
            </w:pPr>
            <w:r w:rsidRPr="001C277A">
              <w:rPr>
                <w:szCs w:val="24"/>
              </w:rPr>
              <w:lastRenderedPageBreak/>
              <w:t>GRF_110.0_G Minimum Capital Requirement (G)</w:t>
            </w:r>
          </w:p>
          <w:p w:rsidR="001E2EFE" w:rsidRPr="001C277A" w:rsidRDefault="001E2EFE" w:rsidP="00C37089">
            <w:pPr>
              <w:pStyle w:val="ListParagraph"/>
              <w:spacing w:line="264" w:lineRule="exact"/>
              <w:ind w:left="360" w:right="211"/>
              <w:rPr>
                <w:rFonts w:ascii="Times New Roman" w:eastAsia="Times New Roman" w:hAnsi="Times New Roman"/>
                <w:sz w:val="24"/>
                <w:szCs w:val="24"/>
              </w:rPr>
            </w:pPr>
          </w:p>
          <w:p w:rsidR="001E2EFE" w:rsidRPr="006A4D3B" w:rsidRDefault="001E2EFE" w:rsidP="00C37089">
            <w:pPr>
              <w:spacing w:line="264" w:lineRule="exact"/>
              <w:ind w:right="211"/>
              <w:rPr>
                <w:szCs w:val="24"/>
              </w:rPr>
            </w:pPr>
          </w:p>
          <w:p w:rsidR="001E2EFE" w:rsidRPr="001C277A" w:rsidRDefault="001E2EFE" w:rsidP="001E2EFE">
            <w:pPr>
              <w:pStyle w:val="ListParagraph"/>
              <w:widowControl w:val="0"/>
              <w:numPr>
                <w:ilvl w:val="0"/>
                <w:numId w:val="18"/>
              </w:numPr>
              <w:spacing w:line="264" w:lineRule="exact"/>
              <w:ind w:right="211"/>
              <w:rPr>
                <w:rFonts w:ascii="Times New Roman" w:eastAsia="Times New Roman" w:hAnsi="Times New Roman"/>
                <w:sz w:val="24"/>
                <w:szCs w:val="24"/>
              </w:rPr>
            </w:pPr>
            <w:r w:rsidRPr="001C277A">
              <w:rPr>
                <w:rFonts w:ascii="Times New Roman" w:eastAsia="Times New Roman" w:hAnsi="Times New Roman"/>
                <w:sz w:val="24"/>
                <w:szCs w:val="24"/>
              </w:rPr>
              <w:t>GRF_131.0_G: Total off-balance sheet exposure risk charge</w:t>
            </w:r>
          </w:p>
          <w:p w:rsidR="001E2EFE" w:rsidRPr="001C277A" w:rsidRDefault="001E2EFE" w:rsidP="00C37089">
            <w:pPr>
              <w:pStyle w:val="ListParagraph"/>
              <w:spacing w:line="264" w:lineRule="exact"/>
              <w:ind w:left="360" w:right="211"/>
              <w:rPr>
                <w:rFonts w:ascii="Times New Roman" w:eastAsia="Times New Roman" w:hAnsi="Times New Roman"/>
                <w:sz w:val="24"/>
                <w:szCs w:val="24"/>
              </w:rPr>
            </w:pPr>
            <w:r w:rsidRPr="001C277A">
              <w:rPr>
                <w:rFonts w:ascii="Times New Roman" w:eastAsia="Times New Roman" w:hAnsi="Times New Roman"/>
                <w:sz w:val="24"/>
                <w:szCs w:val="24"/>
              </w:rPr>
              <w:tab/>
            </w:r>
          </w:p>
          <w:p w:rsidR="001E2EFE" w:rsidRPr="006A4D3B" w:rsidRDefault="001E2EFE" w:rsidP="001E2EFE">
            <w:pPr>
              <w:pStyle w:val="ListParagraph"/>
              <w:widowControl w:val="0"/>
              <w:numPr>
                <w:ilvl w:val="0"/>
                <w:numId w:val="18"/>
              </w:numPr>
              <w:spacing w:line="264" w:lineRule="exact"/>
              <w:ind w:right="211"/>
              <w:rPr>
                <w:rFonts w:ascii="Times New Roman" w:eastAsia="Times New Roman" w:hAnsi="Times New Roman"/>
                <w:sz w:val="24"/>
                <w:szCs w:val="24"/>
              </w:rPr>
            </w:pPr>
            <w:r w:rsidRPr="001C277A">
              <w:rPr>
                <w:rFonts w:ascii="Times New Roman" w:eastAsia="Times New Roman" w:hAnsi="Times New Roman"/>
                <w:sz w:val="24"/>
                <w:szCs w:val="24"/>
              </w:rPr>
              <w:t>GRF_141.0_G: Listed equity holdings risk charge</w:t>
            </w:r>
            <w:r w:rsidRPr="001C277A">
              <w:rPr>
                <w:rFonts w:ascii="Times New Roman" w:eastAsia="Times New Roman" w:hAnsi="Times New Roman"/>
                <w:sz w:val="24"/>
                <w:szCs w:val="24"/>
              </w:rPr>
              <w:tab/>
            </w:r>
          </w:p>
          <w:p w:rsidR="001E2EFE" w:rsidRPr="001C277A" w:rsidRDefault="001E2EFE" w:rsidP="00C37089">
            <w:pPr>
              <w:pStyle w:val="ListParagraph"/>
              <w:spacing w:line="264" w:lineRule="exact"/>
              <w:ind w:left="360" w:right="211"/>
              <w:rPr>
                <w:rFonts w:ascii="Times New Roman" w:eastAsia="Times New Roman" w:hAnsi="Times New Roman"/>
                <w:sz w:val="24"/>
                <w:szCs w:val="24"/>
              </w:rPr>
            </w:pPr>
          </w:p>
          <w:p w:rsidR="001E2EFE" w:rsidRPr="001C277A" w:rsidRDefault="001E2EFE" w:rsidP="001E2EFE">
            <w:pPr>
              <w:pStyle w:val="ListParagraph"/>
              <w:widowControl w:val="0"/>
              <w:numPr>
                <w:ilvl w:val="0"/>
                <w:numId w:val="18"/>
              </w:numPr>
              <w:spacing w:line="264" w:lineRule="exact"/>
              <w:ind w:right="211"/>
              <w:rPr>
                <w:rFonts w:ascii="Times New Roman" w:eastAsia="Times New Roman" w:hAnsi="Times New Roman"/>
                <w:sz w:val="24"/>
                <w:szCs w:val="24"/>
              </w:rPr>
            </w:pPr>
            <w:r w:rsidRPr="001C277A">
              <w:rPr>
                <w:rFonts w:ascii="Times New Roman" w:eastAsia="Times New Roman" w:hAnsi="Times New Roman"/>
                <w:sz w:val="24"/>
                <w:szCs w:val="24"/>
              </w:rPr>
              <w:t>GRF_150.0_G: Asset exposure concentration risk charge</w:t>
            </w:r>
            <w:r w:rsidRPr="001C277A">
              <w:rPr>
                <w:rFonts w:ascii="Times New Roman" w:eastAsia="Times New Roman" w:hAnsi="Times New Roman"/>
                <w:sz w:val="24"/>
                <w:szCs w:val="24"/>
              </w:rPr>
              <w:tab/>
            </w:r>
          </w:p>
          <w:p w:rsidR="001E2EFE" w:rsidRPr="001C277A" w:rsidRDefault="001E2EFE" w:rsidP="00C37089">
            <w:pPr>
              <w:pStyle w:val="ListParagraph"/>
              <w:spacing w:line="264" w:lineRule="exact"/>
              <w:ind w:left="360" w:right="211"/>
              <w:rPr>
                <w:rFonts w:ascii="Times New Roman" w:eastAsia="Times New Roman" w:hAnsi="Times New Roman"/>
                <w:sz w:val="24"/>
                <w:szCs w:val="24"/>
              </w:rPr>
            </w:pPr>
          </w:p>
          <w:p w:rsidR="001E2EFE" w:rsidRPr="001C277A" w:rsidRDefault="001E2EFE" w:rsidP="001E2EFE">
            <w:pPr>
              <w:pStyle w:val="ListParagraph"/>
              <w:widowControl w:val="0"/>
              <w:numPr>
                <w:ilvl w:val="0"/>
                <w:numId w:val="18"/>
              </w:numPr>
              <w:spacing w:line="264" w:lineRule="exact"/>
              <w:ind w:right="211"/>
              <w:rPr>
                <w:rFonts w:ascii="Times New Roman" w:eastAsia="Times New Roman" w:hAnsi="Times New Roman"/>
                <w:sz w:val="24"/>
                <w:szCs w:val="24"/>
              </w:rPr>
            </w:pPr>
            <w:r w:rsidRPr="001C277A">
              <w:rPr>
                <w:rFonts w:ascii="Times New Roman" w:eastAsia="Times New Roman" w:hAnsi="Times New Roman"/>
                <w:sz w:val="24"/>
                <w:szCs w:val="24"/>
              </w:rPr>
              <w:t>GRF_300.0_G: Statement of financial position - Investment risk charge</w:t>
            </w:r>
          </w:p>
          <w:p w:rsidR="001E2EFE" w:rsidRPr="006A4D3B" w:rsidRDefault="001E2EFE" w:rsidP="00C37089">
            <w:pPr>
              <w:spacing w:line="264" w:lineRule="exact"/>
              <w:ind w:right="211"/>
              <w:rPr>
                <w:szCs w:val="24"/>
              </w:rPr>
            </w:pPr>
          </w:p>
          <w:p w:rsidR="001E2EFE" w:rsidRPr="001C277A" w:rsidRDefault="001E2EFE" w:rsidP="001E2EFE">
            <w:pPr>
              <w:pStyle w:val="ListParagraph"/>
              <w:widowControl w:val="0"/>
              <w:numPr>
                <w:ilvl w:val="0"/>
                <w:numId w:val="18"/>
              </w:numPr>
              <w:spacing w:line="264" w:lineRule="exact"/>
              <w:ind w:right="211"/>
              <w:rPr>
                <w:rFonts w:ascii="Times New Roman" w:eastAsia="Times New Roman" w:hAnsi="Times New Roman"/>
                <w:sz w:val="24"/>
                <w:szCs w:val="24"/>
              </w:rPr>
            </w:pPr>
            <w:r w:rsidRPr="001C277A">
              <w:rPr>
                <w:rFonts w:ascii="Times New Roman" w:eastAsia="Times New Roman" w:hAnsi="Times New Roman"/>
                <w:sz w:val="24"/>
                <w:szCs w:val="24"/>
              </w:rPr>
              <w:t>GRF_301.0_G: Reinsurance assets and risk charge</w:t>
            </w:r>
            <w:r w:rsidRPr="001C277A">
              <w:rPr>
                <w:rFonts w:ascii="Times New Roman" w:eastAsia="Times New Roman" w:hAnsi="Times New Roman"/>
                <w:sz w:val="24"/>
                <w:szCs w:val="24"/>
              </w:rPr>
              <w:tab/>
            </w:r>
          </w:p>
          <w:p w:rsidR="001E2EFE" w:rsidRPr="006A4D3B" w:rsidRDefault="001E2EFE" w:rsidP="00C37089">
            <w:pPr>
              <w:spacing w:line="264" w:lineRule="exact"/>
              <w:ind w:right="211"/>
              <w:rPr>
                <w:szCs w:val="24"/>
              </w:rPr>
            </w:pPr>
          </w:p>
          <w:p w:rsidR="001E2EFE" w:rsidRPr="006A4D3B" w:rsidRDefault="001E2EFE" w:rsidP="001E2EFE">
            <w:pPr>
              <w:pStyle w:val="ListParagraph"/>
              <w:widowControl w:val="0"/>
              <w:numPr>
                <w:ilvl w:val="0"/>
                <w:numId w:val="18"/>
              </w:numPr>
              <w:spacing w:after="200" w:line="276" w:lineRule="auto"/>
              <w:contextualSpacing/>
              <w:rPr>
                <w:rFonts w:ascii="Times New Roman" w:hAnsi="Times New Roman"/>
                <w:sz w:val="24"/>
                <w:szCs w:val="24"/>
              </w:rPr>
            </w:pPr>
            <w:r w:rsidRPr="006A4D3B">
              <w:rPr>
                <w:rFonts w:ascii="Times New Roman" w:eastAsia="Times New Roman" w:hAnsi="Times New Roman"/>
                <w:sz w:val="24"/>
                <w:szCs w:val="24"/>
              </w:rPr>
              <w:t xml:space="preserve">Derivatives activity and risk charge - </w:t>
            </w:r>
            <w:r w:rsidRPr="006A4D3B">
              <w:rPr>
                <w:rFonts w:ascii="Times New Roman" w:hAnsi="Times New Roman"/>
                <w:sz w:val="24"/>
                <w:szCs w:val="24"/>
              </w:rPr>
              <w:t>All data items</w:t>
            </w:r>
          </w:p>
          <w:p w:rsidR="001E2EFE" w:rsidRPr="006A4D3B" w:rsidRDefault="001E2EFE" w:rsidP="00C37089">
            <w:pPr>
              <w:pStyle w:val="ListParagraph"/>
              <w:ind w:left="360"/>
              <w:rPr>
                <w:rFonts w:ascii="Times New Roman" w:hAnsi="Times New Roman"/>
                <w:sz w:val="24"/>
                <w:szCs w:val="24"/>
              </w:rPr>
            </w:pPr>
          </w:p>
          <w:p w:rsidR="001E2EFE" w:rsidRPr="006A4D3B" w:rsidRDefault="001E2EFE" w:rsidP="001E2EFE">
            <w:pPr>
              <w:pStyle w:val="ListParagraph"/>
              <w:widowControl w:val="0"/>
              <w:numPr>
                <w:ilvl w:val="0"/>
                <w:numId w:val="18"/>
              </w:numPr>
              <w:spacing w:after="200" w:line="276" w:lineRule="auto"/>
              <w:contextualSpacing/>
              <w:rPr>
                <w:rFonts w:ascii="Times New Roman" w:hAnsi="Times New Roman"/>
                <w:sz w:val="24"/>
                <w:szCs w:val="24"/>
              </w:rPr>
            </w:pPr>
            <w:r w:rsidRPr="006A4D3B">
              <w:rPr>
                <w:rFonts w:ascii="Times New Roman" w:eastAsia="Times New Roman" w:hAnsi="Times New Roman"/>
                <w:sz w:val="24"/>
                <w:szCs w:val="24"/>
              </w:rPr>
              <w:lastRenderedPageBreak/>
              <w:t>Concentration risk charge</w:t>
            </w:r>
            <w:r w:rsidRPr="001C277A">
              <w:rPr>
                <w:rFonts w:ascii="Times New Roman" w:eastAsia="Times New Roman" w:hAnsi="Times New Roman"/>
                <w:sz w:val="24"/>
                <w:szCs w:val="24"/>
              </w:rPr>
              <w:t xml:space="preserve">- </w:t>
            </w:r>
            <w:r w:rsidRPr="006A4D3B">
              <w:rPr>
                <w:rFonts w:ascii="Times New Roman" w:hAnsi="Times New Roman"/>
                <w:sz w:val="24"/>
                <w:szCs w:val="24"/>
              </w:rPr>
              <w:t>All data items</w:t>
            </w:r>
          </w:p>
          <w:p w:rsidR="001E2EFE" w:rsidRPr="006A4D3B" w:rsidRDefault="001E2EFE" w:rsidP="00C37089">
            <w:pPr>
              <w:pStyle w:val="ListParagraph"/>
              <w:ind w:left="360"/>
              <w:rPr>
                <w:rFonts w:ascii="Times New Roman" w:hAnsi="Times New Roman"/>
                <w:sz w:val="24"/>
                <w:szCs w:val="24"/>
              </w:rPr>
            </w:pPr>
          </w:p>
          <w:p w:rsidR="001E2EFE" w:rsidRPr="001C277A" w:rsidRDefault="001E2EFE" w:rsidP="001E2EFE">
            <w:pPr>
              <w:pStyle w:val="ListParagraph"/>
              <w:widowControl w:val="0"/>
              <w:numPr>
                <w:ilvl w:val="0"/>
                <w:numId w:val="18"/>
              </w:numPr>
              <w:spacing w:line="264" w:lineRule="exact"/>
              <w:ind w:right="211"/>
              <w:rPr>
                <w:rFonts w:ascii="Times New Roman" w:eastAsia="Times New Roman" w:hAnsi="Times New Roman"/>
                <w:sz w:val="24"/>
                <w:szCs w:val="24"/>
              </w:rPr>
            </w:pPr>
            <w:r w:rsidRPr="001C277A">
              <w:rPr>
                <w:rFonts w:ascii="Times New Roman" w:eastAsia="Times New Roman" w:hAnsi="Times New Roman"/>
                <w:sz w:val="24"/>
                <w:szCs w:val="24"/>
              </w:rPr>
              <w:t>GRF_210.0_G: OCL insurance risk charge</w:t>
            </w:r>
            <w:r w:rsidRPr="001C277A">
              <w:rPr>
                <w:rFonts w:ascii="Times New Roman" w:eastAsia="Times New Roman" w:hAnsi="Times New Roman"/>
                <w:sz w:val="24"/>
                <w:szCs w:val="24"/>
              </w:rPr>
              <w:tab/>
            </w:r>
          </w:p>
          <w:p w:rsidR="001E2EFE" w:rsidRPr="006A4D3B" w:rsidRDefault="001E2EFE" w:rsidP="00C37089">
            <w:pPr>
              <w:spacing w:line="264" w:lineRule="exact"/>
              <w:ind w:right="211"/>
              <w:rPr>
                <w:szCs w:val="24"/>
              </w:rPr>
            </w:pPr>
          </w:p>
          <w:p w:rsidR="001E2EFE" w:rsidRPr="001C277A" w:rsidRDefault="001E2EFE" w:rsidP="001E2EFE">
            <w:pPr>
              <w:pStyle w:val="ListParagraph"/>
              <w:widowControl w:val="0"/>
              <w:numPr>
                <w:ilvl w:val="0"/>
                <w:numId w:val="18"/>
              </w:numPr>
              <w:spacing w:line="264" w:lineRule="exact"/>
              <w:ind w:right="211"/>
              <w:rPr>
                <w:rFonts w:ascii="Times New Roman" w:eastAsia="Times New Roman" w:hAnsi="Times New Roman"/>
                <w:sz w:val="24"/>
                <w:szCs w:val="24"/>
              </w:rPr>
            </w:pPr>
            <w:r w:rsidRPr="001C277A">
              <w:rPr>
                <w:rFonts w:ascii="Times New Roman" w:eastAsia="Times New Roman" w:hAnsi="Times New Roman"/>
                <w:sz w:val="24"/>
                <w:szCs w:val="24"/>
              </w:rPr>
              <w:t xml:space="preserve">GRF_210.1_G: Premiums liabilities insurance risk charge </w:t>
            </w:r>
          </w:p>
          <w:p w:rsidR="001E2EFE" w:rsidRPr="006A4D3B" w:rsidRDefault="001E2EFE" w:rsidP="00C37089">
            <w:pPr>
              <w:spacing w:line="264" w:lineRule="exact"/>
              <w:ind w:right="211"/>
              <w:rPr>
                <w:szCs w:val="24"/>
              </w:rPr>
            </w:pPr>
            <w:r w:rsidRPr="006A4D3B">
              <w:rPr>
                <w:szCs w:val="24"/>
              </w:rPr>
              <w:tab/>
            </w:r>
          </w:p>
          <w:p w:rsidR="001E2EFE" w:rsidRPr="001C277A" w:rsidRDefault="001E2EFE" w:rsidP="001E2EFE">
            <w:pPr>
              <w:pStyle w:val="ListParagraph"/>
              <w:widowControl w:val="0"/>
              <w:numPr>
                <w:ilvl w:val="0"/>
                <w:numId w:val="18"/>
              </w:numPr>
              <w:spacing w:line="264" w:lineRule="exact"/>
              <w:ind w:right="211"/>
              <w:rPr>
                <w:rFonts w:ascii="Times New Roman" w:eastAsia="Times New Roman" w:hAnsi="Times New Roman"/>
                <w:sz w:val="24"/>
                <w:szCs w:val="24"/>
              </w:rPr>
            </w:pPr>
            <w:r w:rsidRPr="001C277A">
              <w:rPr>
                <w:rFonts w:ascii="Times New Roman" w:eastAsia="Times New Roman" w:hAnsi="Times New Roman"/>
                <w:sz w:val="24"/>
                <w:szCs w:val="24"/>
              </w:rPr>
              <w:t>Total variation in capital charges as approved by APRA – Total amount</w:t>
            </w:r>
          </w:p>
          <w:p w:rsidR="001E2EFE" w:rsidRPr="006A4D3B" w:rsidRDefault="001E2EFE" w:rsidP="00C37089">
            <w:pPr>
              <w:spacing w:line="264" w:lineRule="exact"/>
              <w:ind w:right="211"/>
              <w:rPr>
                <w:szCs w:val="24"/>
              </w:rPr>
            </w:pPr>
          </w:p>
          <w:p w:rsidR="001E2EFE" w:rsidRPr="001C277A" w:rsidRDefault="001E2EFE" w:rsidP="001E2EFE">
            <w:pPr>
              <w:pStyle w:val="ListParagraph"/>
              <w:widowControl w:val="0"/>
              <w:numPr>
                <w:ilvl w:val="0"/>
                <w:numId w:val="18"/>
              </w:numPr>
              <w:spacing w:line="264" w:lineRule="exact"/>
              <w:ind w:right="211"/>
              <w:rPr>
                <w:rFonts w:ascii="Times New Roman" w:eastAsia="Times New Roman" w:hAnsi="Times New Roman"/>
                <w:sz w:val="24"/>
                <w:szCs w:val="24"/>
              </w:rPr>
            </w:pPr>
            <w:r w:rsidRPr="001C277A">
              <w:rPr>
                <w:rFonts w:ascii="Times New Roman" w:eastAsia="Times New Roman" w:hAnsi="Times New Roman"/>
                <w:sz w:val="24"/>
                <w:szCs w:val="24"/>
              </w:rPr>
              <w:t>Minimum capital requirement</w:t>
            </w:r>
            <w:r w:rsidRPr="001C277A">
              <w:rPr>
                <w:rFonts w:ascii="Times New Roman" w:eastAsia="Times New Roman" w:hAnsi="Times New Roman"/>
                <w:sz w:val="24"/>
                <w:szCs w:val="24"/>
              </w:rPr>
              <w:tab/>
            </w:r>
          </w:p>
          <w:p w:rsidR="001E2EFE" w:rsidRPr="006A4D3B" w:rsidRDefault="001E2EFE" w:rsidP="00C37089">
            <w:pPr>
              <w:spacing w:line="264" w:lineRule="exact"/>
              <w:ind w:right="211"/>
              <w:rPr>
                <w:szCs w:val="24"/>
              </w:rPr>
            </w:pPr>
          </w:p>
          <w:p w:rsidR="001E2EFE" w:rsidRPr="001C277A" w:rsidRDefault="001E2EFE" w:rsidP="001E2EFE">
            <w:pPr>
              <w:pStyle w:val="ListParagraph"/>
              <w:widowControl w:val="0"/>
              <w:numPr>
                <w:ilvl w:val="0"/>
                <w:numId w:val="18"/>
              </w:numPr>
              <w:spacing w:line="264" w:lineRule="exact"/>
              <w:ind w:right="211"/>
              <w:rPr>
                <w:rFonts w:ascii="Times New Roman" w:eastAsia="Times New Roman" w:hAnsi="Times New Roman"/>
                <w:sz w:val="24"/>
                <w:szCs w:val="24"/>
              </w:rPr>
            </w:pPr>
            <w:r w:rsidRPr="001C277A">
              <w:rPr>
                <w:rFonts w:ascii="Times New Roman" w:eastAsia="Times New Roman" w:hAnsi="Times New Roman"/>
                <w:sz w:val="24"/>
                <w:szCs w:val="24"/>
              </w:rPr>
              <w:t>GRF_120.0_G: Determination of capital base</w:t>
            </w:r>
            <w:r w:rsidRPr="001C277A">
              <w:rPr>
                <w:rFonts w:ascii="Times New Roman" w:eastAsia="Times New Roman" w:hAnsi="Times New Roman"/>
                <w:sz w:val="24"/>
                <w:szCs w:val="24"/>
              </w:rPr>
              <w:tab/>
            </w:r>
          </w:p>
          <w:p w:rsidR="001E2EFE" w:rsidRPr="006A4D3B" w:rsidRDefault="001E2EFE" w:rsidP="00C37089">
            <w:pPr>
              <w:spacing w:line="264" w:lineRule="exact"/>
              <w:ind w:right="211"/>
              <w:rPr>
                <w:szCs w:val="24"/>
              </w:rPr>
            </w:pPr>
          </w:p>
          <w:p w:rsidR="001E2EFE" w:rsidRPr="001C277A" w:rsidRDefault="001E2EFE" w:rsidP="001E2EFE">
            <w:pPr>
              <w:pStyle w:val="ListParagraph"/>
              <w:widowControl w:val="0"/>
              <w:numPr>
                <w:ilvl w:val="0"/>
                <w:numId w:val="18"/>
              </w:numPr>
              <w:spacing w:line="264" w:lineRule="exact"/>
              <w:ind w:right="211"/>
              <w:rPr>
                <w:rFonts w:ascii="Times New Roman" w:eastAsia="Times New Roman" w:hAnsi="Times New Roman"/>
                <w:sz w:val="24"/>
                <w:szCs w:val="24"/>
              </w:rPr>
            </w:pPr>
            <w:r>
              <w:rPr>
                <w:rFonts w:ascii="Times New Roman" w:eastAsia="Times New Roman" w:hAnsi="Times New Roman"/>
                <w:sz w:val="24"/>
                <w:szCs w:val="24"/>
              </w:rPr>
              <w:t xml:space="preserve"> </w:t>
            </w:r>
            <w:r w:rsidRPr="001C277A">
              <w:rPr>
                <w:rFonts w:ascii="Times New Roman" w:eastAsia="Times New Roman" w:hAnsi="Times New Roman"/>
                <w:sz w:val="24"/>
                <w:szCs w:val="24"/>
              </w:rPr>
              <w:t>Capital surplus (deficiency)</w:t>
            </w:r>
            <w:r w:rsidRPr="001C277A">
              <w:rPr>
                <w:rFonts w:ascii="Times New Roman" w:eastAsia="Times New Roman" w:hAnsi="Times New Roman"/>
                <w:sz w:val="24"/>
                <w:szCs w:val="24"/>
              </w:rPr>
              <w:tab/>
            </w:r>
          </w:p>
          <w:p w:rsidR="001E2EFE" w:rsidRPr="006A4D3B" w:rsidRDefault="001E2EFE" w:rsidP="00C37089">
            <w:pPr>
              <w:spacing w:line="264" w:lineRule="exact"/>
              <w:ind w:right="211"/>
              <w:rPr>
                <w:szCs w:val="24"/>
              </w:rPr>
            </w:pPr>
          </w:p>
          <w:p w:rsidR="001E2EFE" w:rsidRDefault="001E2EFE" w:rsidP="001E2EFE">
            <w:pPr>
              <w:pStyle w:val="ListParagraph"/>
              <w:widowControl w:val="0"/>
              <w:numPr>
                <w:ilvl w:val="0"/>
                <w:numId w:val="18"/>
              </w:numPr>
              <w:spacing w:line="264" w:lineRule="exact"/>
              <w:ind w:right="211"/>
              <w:rPr>
                <w:rFonts w:ascii="Times New Roman" w:eastAsia="Times New Roman" w:hAnsi="Times New Roman"/>
                <w:sz w:val="24"/>
                <w:szCs w:val="24"/>
              </w:rPr>
            </w:pPr>
            <w:r w:rsidRPr="001C277A">
              <w:rPr>
                <w:rFonts w:ascii="Times New Roman" w:eastAsia="Times New Roman" w:hAnsi="Times New Roman"/>
                <w:sz w:val="24"/>
                <w:szCs w:val="24"/>
              </w:rPr>
              <w:t>Solvency coverage</w:t>
            </w:r>
            <w:r w:rsidRPr="001C277A">
              <w:rPr>
                <w:rFonts w:ascii="Times New Roman" w:eastAsia="Times New Roman" w:hAnsi="Times New Roman"/>
                <w:sz w:val="24"/>
                <w:szCs w:val="24"/>
              </w:rPr>
              <w:tab/>
            </w:r>
          </w:p>
          <w:p w:rsidR="001E2EFE" w:rsidRPr="006A4D3B" w:rsidRDefault="001E2EFE" w:rsidP="00C37089">
            <w:pPr>
              <w:spacing w:line="264" w:lineRule="exact"/>
              <w:ind w:right="211"/>
              <w:rPr>
                <w:szCs w:val="24"/>
              </w:rPr>
            </w:pPr>
          </w:p>
          <w:p w:rsidR="001E2EFE" w:rsidRPr="001C277A" w:rsidRDefault="001E2EFE" w:rsidP="001E2EFE">
            <w:pPr>
              <w:pStyle w:val="ListParagraph"/>
              <w:widowControl w:val="0"/>
              <w:numPr>
                <w:ilvl w:val="0"/>
                <w:numId w:val="18"/>
              </w:numPr>
              <w:spacing w:line="264" w:lineRule="exact"/>
              <w:ind w:right="211"/>
              <w:rPr>
                <w:rFonts w:ascii="Times New Roman" w:eastAsia="Times New Roman" w:hAnsi="Times New Roman"/>
                <w:sz w:val="24"/>
                <w:szCs w:val="24"/>
              </w:rPr>
            </w:pPr>
            <w:r w:rsidRPr="001C277A">
              <w:rPr>
                <w:rFonts w:ascii="Times New Roman" w:eastAsia="Times New Roman" w:hAnsi="Times New Roman"/>
                <w:sz w:val="24"/>
                <w:szCs w:val="24"/>
              </w:rPr>
              <w:t>Capital adequacy ratio</w:t>
            </w:r>
          </w:p>
        </w:tc>
        <w:tc>
          <w:tcPr>
            <w:tcW w:w="4552" w:type="dxa"/>
          </w:tcPr>
          <w:p w:rsidR="001E2EFE" w:rsidRPr="002618F5" w:rsidRDefault="001E2EFE" w:rsidP="00C37089">
            <w:pPr>
              <w:spacing w:line="264" w:lineRule="exact"/>
              <w:ind w:left="100" w:right="211"/>
              <w:rPr>
                <w:szCs w:val="24"/>
              </w:rPr>
            </w:pPr>
            <w:r>
              <w:rPr>
                <w:szCs w:val="24"/>
              </w:rPr>
              <w:lastRenderedPageBreak/>
              <w:t xml:space="preserve">Reporting Standard </w:t>
            </w:r>
            <w:r w:rsidRPr="002618F5">
              <w:rPr>
                <w:szCs w:val="24"/>
              </w:rPr>
              <w:t>GRS 110.0_G Minimum Capital Requirement</w:t>
            </w:r>
            <w:r>
              <w:rPr>
                <w:szCs w:val="24"/>
              </w:rPr>
              <w:t xml:space="preserve"> </w:t>
            </w:r>
            <w:r w:rsidRPr="00584D0D">
              <w:rPr>
                <w:szCs w:val="24"/>
              </w:rPr>
              <w:t xml:space="preserve">(which came into effect on </w:t>
            </w:r>
            <w:r>
              <w:rPr>
                <w:szCs w:val="24"/>
              </w:rPr>
              <w:t>31</w:t>
            </w:r>
            <w:r w:rsidRPr="00584D0D">
              <w:rPr>
                <w:szCs w:val="24"/>
              </w:rPr>
              <w:t xml:space="preserve"> </w:t>
            </w:r>
            <w:r>
              <w:rPr>
                <w:szCs w:val="24"/>
              </w:rPr>
              <w:t>August 2009</w:t>
            </w:r>
            <w:r w:rsidRPr="00584D0D">
              <w:rPr>
                <w:szCs w:val="24"/>
              </w:rPr>
              <w:t>)</w:t>
            </w:r>
          </w:p>
          <w:p w:rsidR="001E2EFE" w:rsidRPr="001456E1" w:rsidRDefault="001E2EFE" w:rsidP="00C37089">
            <w:pPr>
              <w:spacing w:line="264" w:lineRule="exact"/>
              <w:ind w:left="100" w:right="211"/>
              <w:rPr>
                <w:szCs w:val="24"/>
              </w:rPr>
            </w:pPr>
          </w:p>
        </w:tc>
      </w:tr>
      <w:tr w:rsidR="001E2EFE" w:rsidTr="00C37089">
        <w:tc>
          <w:tcPr>
            <w:tcW w:w="4828" w:type="dxa"/>
          </w:tcPr>
          <w:p w:rsidR="001E2EFE" w:rsidRDefault="001E2EFE" w:rsidP="00C37089">
            <w:pPr>
              <w:spacing w:line="264" w:lineRule="exact"/>
              <w:ind w:left="100" w:right="211"/>
              <w:rPr>
                <w:szCs w:val="24"/>
              </w:rPr>
            </w:pPr>
            <w:r w:rsidRPr="001C277A">
              <w:rPr>
                <w:szCs w:val="24"/>
              </w:rPr>
              <w:lastRenderedPageBreak/>
              <w:t>GRF_310</w:t>
            </w:r>
            <w:r>
              <w:rPr>
                <w:szCs w:val="24"/>
              </w:rPr>
              <w:t>.</w:t>
            </w:r>
            <w:r w:rsidRPr="001C277A">
              <w:rPr>
                <w:szCs w:val="24"/>
              </w:rPr>
              <w:t>0_G Income Statement (G)</w:t>
            </w:r>
          </w:p>
          <w:p w:rsidR="001E2EFE" w:rsidRPr="001C277A" w:rsidRDefault="001E2EFE" w:rsidP="00C37089">
            <w:pPr>
              <w:spacing w:line="264" w:lineRule="exact"/>
              <w:ind w:left="100" w:right="211"/>
              <w:rPr>
                <w:szCs w:val="24"/>
              </w:rPr>
            </w:pPr>
          </w:p>
          <w:p w:rsidR="001E2EFE" w:rsidRPr="001C277A" w:rsidRDefault="001E2EFE" w:rsidP="00C37089">
            <w:pPr>
              <w:spacing w:line="264" w:lineRule="exact"/>
              <w:ind w:right="211"/>
              <w:rPr>
                <w:szCs w:val="24"/>
              </w:rPr>
            </w:pPr>
            <w:r w:rsidRPr="001C277A">
              <w:rPr>
                <w:szCs w:val="24"/>
              </w:rPr>
              <w:t xml:space="preserve">  All data items in the Total business column.</w:t>
            </w:r>
          </w:p>
          <w:p w:rsidR="001E2EFE" w:rsidRPr="001C277A" w:rsidRDefault="001E2EFE" w:rsidP="00C37089">
            <w:pPr>
              <w:spacing w:line="264" w:lineRule="exact"/>
              <w:ind w:left="100" w:right="211"/>
              <w:rPr>
                <w:szCs w:val="24"/>
              </w:rPr>
            </w:pPr>
          </w:p>
          <w:p w:rsidR="001E2EFE" w:rsidRPr="001C277A" w:rsidRDefault="001E2EFE" w:rsidP="00C37089">
            <w:pPr>
              <w:spacing w:line="264" w:lineRule="exact"/>
              <w:ind w:left="100" w:right="211"/>
              <w:rPr>
                <w:szCs w:val="24"/>
              </w:rPr>
            </w:pPr>
          </w:p>
        </w:tc>
        <w:tc>
          <w:tcPr>
            <w:tcW w:w="4552" w:type="dxa"/>
          </w:tcPr>
          <w:p w:rsidR="001E2EFE" w:rsidRDefault="001E2EFE" w:rsidP="00C37089">
            <w:pPr>
              <w:spacing w:line="264" w:lineRule="exact"/>
              <w:ind w:left="100" w:right="211"/>
              <w:rPr>
                <w:szCs w:val="24"/>
              </w:rPr>
            </w:pPr>
            <w:r>
              <w:rPr>
                <w:szCs w:val="24"/>
              </w:rPr>
              <w:t xml:space="preserve">Reporting Standard </w:t>
            </w:r>
            <w:r w:rsidRPr="002618F5">
              <w:rPr>
                <w:szCs w:val="24"/>
              </w:rPr>
              <w:t>GRS 310.0_G Income Statement</w:t>
            </w:r>
            <w:r>
              <w:rPr>
                <w:szCs w:val="24"/>
              </w:rPr>
              <w:t xml:space="preserve"> </w:t>
            </w:r>
            <w:r w:rsidRPr="00584D0D">
              <w:rPr>
                <w:szCs w:val="24"/>
              </w:rPr>
              <w:t xml:space="preserve">(which came into effect on 1 </w:t>
            </w:r>
            <w:r>
              <w:rPr>
                <w:szCs w:val="24"/>
              </w:rPr>
              <w:t>July 2011</w:t>
            </w:r>
            <w:r w:rsidRPr="00584D0D">
              <w:rPr>
                <w:szCs w:val="24"/>
              </w:rPr>
              <w:t>)</w:t>
            </w:r>
          </w:p>
          <w:p w:rsidR="001E2EFE" w:rsidRDefault="001E2EFE" w:rsidP="00C37089">
            <w:pPr>
              <w:spacing w:line="264" w:lineRule="exact"/>
              <w:ind w:left="100" w:right="211"/>
              <w:rPr>
                <w:szCs w:val="24"/>
              </w:rPr>
            </w:pPr>
          </w:p>
        </w:tc>
      </w:tr>
      <w:tr w:rsidR="001E2EFE" w:rsidTr="00C37089">
        <w:tc>
          <w:tcPr>
            <w:tcW w:w="4828" w:type="dxa"/>
          </w:tcPr>
          <w:p w:rsidR="001E2EFE" w:rsidRDefault="001E2EFE" w:rsidP="00C37089">
            <w:pPr>
              <w:spacing w:line="264" w:lineRule="exact"/>
              <w:ind w:left="100" w:right="211"/>
              <w:rPr>
                <w:szCs w:val="24"/>
              </w:rPr>
            </w:pPr>
            <w:r w:rsidRPr="001C277A">
              <w:rPr>
                <w:szCs w:val="24"/>
              </w:rPr>
              <w:t>GRF_310</w:t>
            </w:r>
            <w:r>
              <w:rPr>
                <w:szCs w:val="24"/>
              </w:rPr>
              <w:t>.</w:t>
            </w:r>
            <w:r w:rsidRPr="001C277A">
              <w:rPr>
                <w:szCs w:val="24"/>
              </w:rPr>
              <w:t>0_G Income Statement (G)</w:t>
            </w:r>
          </w:p>
          <w:p w:rsidR="001E2EFE" w:rsidRPr="001C277A" w:rsidRDefault="001E2EFE" w:rsidP="00C37089">
            <w:pPr>
              <w:spacing w:line="264" w:lineRule="exact"/>
              <w:ind w:right="211"/>
              <w:rPr>
                <w:szCs w:val="24"/>
              </w:rPr>
            </w:pPr>
          </w:p>
          <w:p w:rsidR="001E2EFE" w:rsidRPr="001C277A" w:rsidRDefault="001E2EFE" w:rsidP="00C37089">
            <w:pPr>
              <w:spacing w:line="264" w:lineRule="exact"/>
              <w:ind w:right="211"/>
              <w:rPr>
                <w:szCs w:val="24"/>
              </w:rPr>
            </w:pPr>
            <w:r w:rsidRPr="001C277A">
              <w:rPr>
                <w:szCs w:val="24"/>
              </w:rPr>
              <w:t xml:space="preserve">  All data items in the Total business column.</w:t>
            </w:r>
          </w:p>
          <w:p w:rsidR="001E2EFE" w:rsidRPr="001C277A" w:rsidRDefault="001E2EFE" w:rsidP="00C37089">
            <w:pPr>
              <w:spacing w:line="264" w:lineRule="exact"/>
              <w:ind w:left="100" w:right="211"/>
              <w:rPr>
                <w:szCs w:val="24"/>
              </w:rPr>
            </w:pPr>
          </w:p>
        </w:tc>
        <w:tc>
          <w:tcPr>
            <w:tcW w:w="4552" w:type="dxa"/>
          </w:tcPr>
          <w:p w:rsidR="001E2EFE" w:rsidRDefault="001E2EFE" w:rsidP="00C37089">
            <w:pPr>
              <w:spacing w:line="264" w:lineRule="exact"/>
              <w:ind w:left="100" w:right="211"/>
              <w:rPr>
                <w:szCs w:val="24"/>
              </w:rPr>
            </w:pPr>
            <w:r>
              <w:rPr>
                <w:szCs w:val="24"/>
              </w:rPr>
              <w:t xml:space="preserve">Reporting Standard </w:t>
            </w:r>
            <w:r w:rsidRPr="002618F5">
              <w:rPr>
                <w:szCs w:val="24"/>
              </w:rPr>
              <w:t>GRS 310.0_G Income Statement</w:t>
            </w:r>
            <w:r>
              <w:rPr>
                <w:szCs w:val="24"/>
              </w:rPr>
              <w:t xml:space="preserve"> </w:t>
            </w:r>
            <w:r w:rsidRPr="00584D0D">
              <w:rPr>
                <w:szCs w:val="24"/>
              </w:rPr>
              <w:t xml:space="preserve">(which came into effect on </w:t>
            </w:r>
            <w:r>
              <w:rPr>
                <w:szCs w:val="24"/>
              </w:rPr>
              <w:t>31</w:t>
            </w:r>
            <w:r w:rsidRPr="00584D0D">
              <w:rPr>
                <w:szCs w:val="24"/>
              </w:rPr>
              <w:t xml:space="preserve"> </w:t>
            </w:r>
            <w:r>
              <w:rPr>
                <w:szCs w:val="24"/>
              </w:rPr>
              <w:t>August 2009</w:t>
            </w:r>
            <w:r w:rsidRPr="00584D0D">
              <w:rPr>
                <w:szCs w:val="24"/>
              </w:rPr>
              <w:t>)</w:t>
            </w:r>
          </w:p>
          <w:p w:rsidR="001E2EFE" w:rsidRDefault="001E2EFE" w:rsidP="00C37089">
            <w:pPr>
              <w:spacing w:line="264" w:lineRule="exact"/>
              <w:ind w:left="100" w:right="211"/>
              <w:rPr>
                <w:szCs w:val="24"/>
              </w:rPr>
            </w:pPr>
          </w:p>
        </w:tc>
      </w:tr>
    </w:tbl>
    <w:p w:rsidR="001E2EFE" w:rsidRDefault="001E2EFE" w:rsidP="001E2EFE">
      <w:pPr>
        <w:spacing w:line="264" w:lineRule="exact"/>
        <w:ind w:left="100" w:right="211"/>
        <w:rPr>
          <w:szCs w:val="24"/>
        </w:rPr>
      </w:pPr>
    </w:p>
    <w:p w:rsidR="001E2EFE" w:rsidRDefault="001E2EFE" w:rsidP="001E2EFE">
      <w:pPr>
        <w:spacing w:line="242" w:lineRule="auto"/>
        <w:ind w:left="100" w:right="129"/>
        <w:rPr>
          <w:rFonts w:ascii="Arial" w:eastAsia="Arial" w:hAnsi="Arial" w:cs="Arial"/>
          <w:sz w:val="31"/>
          <w:szCs w:val="31"/>
        </w:rPr>
      </w:pPr>
      <w:r w:rsidRPr="00DF3F06">
        <w:rPr>
          <w:rFonts w:ascii="Arial" w:eastAsia="Arial" w:hAnsi="Arial" w:cs="Arial"/>
          <w:b/>
          <w:bCs/>
          <w:spacing w:val="2"/>
          <w:sz w:val="31"/>
          <w:szCs w:val="31"/>
        </w:rPr>
        <w:t xml:space="preserve">Part </w:t>
      </w:r>
      <w:r>
        <w:rPr>
          <w:rFonts w:ascii="Arial" w:eastAsia="Arial" w:hAnsi="Arial" w:cs="Arial"/>
          <w:b/>
          <w:bCs/>
          <w:spacing w:val="2"/>
          <w:sz w:val="31"/>
          <w:szCs w:val="31"/>
        </w:rPr>
        <w:t>3</w:t>
      </w:r>
      <w:r w:rsidRPr="00DF3F06">
        <w:rPr>
          <w:rFonts w:ascii="Arial" w:eastAsia="Arial" w:hAnsi="Arial" w:cs="Arial"/>
          <w:b/>
          <w:bCs/>
          <w:spacing w:val="2"/>
          <w:sz w:val="31"/>
          <w:szCs w:val="31"/>
        </w:rPr>
        <w:t xml:space="preserve"> (</w:t>
      </w:r>
      <w:r>
        <w:rPr>
          <w:rFonts w:ascii="Arial" w:eastAsia="Arial" w:hAnsi="Arial" w:cs="Arial"/>
          <w:b/>
          <w:bCs/>
          <w:spacing w:val="2"/>
          <w:sz w:val="31"/>
          <w:szCs w:val="31"/>
        </w:rPr>
        <w:t xml:space="preserve">Old </w:t>
      </w:r>
      <w:r w:rsidRPr="00DF3F06">
        <w:rPr>
          <w:rFonts w:ascii="Arial" w:eastAsia="Arial" w:hAnsi="Arial" w:cs="Arial"/>
          <w:b/>
          <w:bCs/>
          <w:spacing w:val="2"/>
          <w:sz w:val="31"/>
          <w:szCs w:val="31"/>
        </w:rPr>
        <w:t>reporting documents covered by this determination)</w:t>
      </w:r>
    </w:p>
    <w:p w:rsidR="001E2EFE" w:rsidRDefault="001E2EFE" w:rsidP="001E2EFE">
      <w:pPr>
        <w:spacing w:line="264" w:lineRule="exact"/>
        <w:ind w:left="100" w:right="211"/>
        <w:rPr>
          <w:szCs w:val="24"/>
        </w:rPr>
      </w:pPr>
    </w:p>
    <w:p w:rsidR="001E2EFE" w:rsidRDefault="001E2EFE" w:rsidP="001E2EFE">
      <w:pPr>
        <w:spacing w:before="37" w:line="230" w:lineRule="auto"/>
        <w:ind w:left="100" w:right="71"/>
        <w:rPr>
          <w:szCs w:val="24"/>
        </w:rPr>
      </w:pPr>
      <w:r w:rsidRPr="002A5DB4">
        <w:rPr>
          <w:szCs w:val="24"/>
        </w:rPr>
        <w:t>This determination applies to annual information in the following reporting forms or parts of reporting forms given to APRA by a general insurer under the following reporting standards:</w:t>
      </w:r>
    </w:p>
    <w:p w:rsidR="001E2EFE" w:rsidRDefault="001E2EFE" w:rsidP="001E2EFE">
      <w:pPr>
        <w:spacing w:line="264" w:lineRule="exact"/>
        <w:ind w:left="100" w:right="211"/>
        <w:rPr>
          <w:szCs w:val="24"/>
        </w:rPr>
      </w:pPr>
    </w:p>
    <w:p w:rsidR="001E2EFE" w:rsidRPr="006A4D3B" w:rsidRDefault="001E2EFE" w:rsidP="001E2EFE">
      <w:pPr>
        <w:pStyle w:val="ListParagraph"/>
        <w:widowControl w:val="0"/>
        <w:numPr>
          <w:ilvl w:val="0"/>
          <w:numId w:val="27"/>
        </w:numPr>
        <w:spacing w:line="264" w:lineRule="exact"/>
        <w:ind w:right="211"/>
        <w:contextualSpacing/>
        <w:rPr>
          <w:rFonts w:ascii="Times New Roman" w:eastAsia="Times New Roman" w:hAnsi="Times New Roman"/>
          <w:b/>
          <w:sz w:val="24"/>
          <w:szCs w:val="24"/>
        </w:rPr>
      </w:pPr>
      <w:r w:rsidRPr="006A4D3B">
        <w:rPr>
          <w:rFonts w:ascii="Times New Roman" w:eastAsia="Times New Roman" w:hAnsi="Times New Roman"/>
          <w:b/>
          <w:sz w:val="24"/>
          <w:szCs w:val="24"/>
        </w:rPr>
        <w:t>Old reporting standards which ceased to have effect prior to 1 January 2013</w:t>
      </w:r>
    </w:p>
    <w:p w:rsidR="001E2EFE" w:rsidRDefault="001E2EFE" w:rsidP="001E2EFE">
      <w:pPr>
        <w:spacing w:line="264" w:lineRule="exact"/>
        <w:ind w:left="100" w:right="211"/>
        <w:rPr>
          <w:szCs w:val="24"/>
        </w:rPr>
      </w:pPr>
    </w:p>
    <w:p w:rsidR="001E2EFE" w:rsidRPr="006A4D3B" w:rsidRDefault="001E2EFE" w:rsidP="001E2EFE">
      <w:pPr>
        <w:spacing w:line="264" w:lineRule="exact"/>
        <w:ind w:left="100" w:right="211"/>
        <w:rPr>
          <w:szCs w:val="24"/>
          <w:u w:val="single"/>
        </w:rPr>
      </w:pPr>
      <w:r w:rsidRPr="006A4D3B">
        <w:rPr>
          <w:szCs w:val="24"/>
          <w:u w:val="single"/>
        </w:rPr>
        <w:t>General Insurance Reporting Standards (2010)</w:t>
      </w:r>
    </w:p>
    <w:p w:rsidR="001E2EFE" w:rsidRPr="006A4D3B" w:rsidRDefault="001E2EFE" w:rsidP="001E2EFE">
      <w:pPr>
        <w:pStyle w:val="ListParagraph"/>
        <w:widowControl w:val="0"/>
        <w:numPr>
          <w:ilvl w:val="0"/>
          <w:numId w:val="28"/>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110.0 (2010) Minimum Capital Requirement (which came into effect on 24 August 2010)</w:t>
      </w:r>
    </w:p>
    <w:p w:rsidR="001E2EFE" w:rsidRPr="006A4D3B" w:rsidRDefault="001E2EFE" w:rsidP="001E2EFE">
      <w:pPr>
        <w:pStyle w:val="ListParagraph"/>
        <w:widowControl w:val="0"/>
        <w:numPr>
          <w:ilvl w:val="0"/>
          <w:numId w:val="28"/>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120.0 (2010) Determination of Capital Base (which came into effect on 23 August 2010)</w:t>
      </w:r>
    </w:p>
    <w:p w:rsidR="001E2EFE" w:rsidRPr="006A4D3B" w:rsidRDefault="001E2EFE" w:rsidP="001E2EFE">
      <w:pPr>
        <w:pStyle w:val="ListParagraph"/>
        <w:widowControl w:val="0"/>
        <w:numPr>
          <w:ilvl w:val="0"/>
          <w:numId w:val="28"/>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lastRenderedPageBreak/>
        <w:t>Reporting Standard GRS 300.0 (2010) Statement of Financial Position (which came into effect on 30 August 2010)</w:t>
      </w:r>
    </w:p>
    <w:p w:rsidR="001E2EFE" w:rsidRDefault="001E2EFE" w:rsidP="001E2EFE">
      <w:pPr>
        <w:pStyle w:val="ListParagraph"/>
        <w:widowControl w:val="0"/>
        <w:numPr>
          <w:ilvl w:val="0"/>
          <w:numId w:val="28"/>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301.0 (2010) Reinsurance Assets and Risk Charge (which came into effect on 23 August 2010)</w:t>
      </w:r>
    </w:p>
    <w:p w:rsidR="001E2EFE" w:rsidRDefault="001E2EFE" w:rsidP="001E2EFE">
      <w:pPr>
        <w:spacing w:line="264" w:lineRule="exact"/>
        <w:ind w:right="211"/>
        <w:rPr>
          <w:szCs w:val="24"/>
        </w:rPr>
      </w:pPr>
    </w:p>
    <w:tbl>
      <w:tblPr>
        <w:tblStyle w:val="TableGrid"/>
        <w:tblW w:w="9506" w:type="dxa"/>
        <w:tblInd w:w="100" w:type="dxa"/>
        <w:tblLook w:val="04A0" w:firstRow="1" w:lastRow="0" w:firstColumn="1" w:lastColumn="0" w:noHBand="0" w:noVBand="1"/>
      </w:tblPr>
      <w:tblGrid>
        <w:gridCol w:w="3694"/>
        <w:gridCol w:w="5812"/>
      </w:tblGrid>
      <w:tr w:rsidR="001E2EFE" w:rsidTr="00C37089">
        <w:trPr>
          <w:tblHeader/>
        </w:trPr>
        <w:tc>
          <w:tcPr>
            <w:tcW w:w="3694" w:type="dxa"/>
          </w:tcPr>
          <w:p w:rsidR="001E2EFE" w:rsidRDefault="001E2EFE" w:rsidP="00C37089">
            <w:pPr>
              <w:spacing w:line="264" w:lineRule="exact"/>
              <w:ind w:left="100" w:right="211"/>
              <w:rPr>
                <w:szCs w:val="24"/>
              </w:rPr>
            </w:pPr>
            <w:r>
              <w:rPr>
                <w:szCs w:val="24"/>
              </w:rPr>
              <w:t>Reporting standards</w:t>
            </w:r>
          </w:p>
        </w:tc>
        <w:tc>
          <w:tcPr>
            <w:tcW w:w="5812" w:type="dxa"/>
          </w:tcPr>
          <w:p w:rsidR="001E2EFE" w:rsidRDefault="001E2EFE" w:rsidP="00C37089">
            <w:pPr>
              <w:spacing w:line="264" w:lineRule="exact"/>
              <w:ind w:left="100" w:right="211"/>
              <w:rPr>
                <w:szCs w:val="24"/>
              </w:rPr>
            </w:pPr>
            <w:r>
              <w:rPr>
                <w:szCs w:val="24"/>
              </w:rPr>
              <w:t>Parts of reporting form covered by this determination</w:t>
            </w:r>
          </w:p>
        </w:tc>
      </w:tr>
      <w:tr w:rsidR="001E2EFE" w:rsidTr="00C37089">
        <w:trPr>
          <w:tblHeader/>
        </w:trPr>
        <w:tc>
          <w:tcPr>
            <w:tcW w:w="3694" w:type="dxa"/>
          </w:tcPr>
          <w:p w:rsidR="001E2EFE" w:rsidRPr="00414F51" w:rsidRDefault="001E2EFE" w:rsidP="001E2EFE">
            <w:pPr>
              <w:pStyle w:val="ListParagraph"/>
              <w:widowControl w:val="0"/>
              <w:numPr>
                <w:ilvl w:val="0"/>
                <w:numId w:val="28"/>
              </w:numPr>
              <w:spacing w:line="264" w:lineRule="exact"/>
              <w:ind w:right="211"/>
              <w:contextualSpacing/>
              <w:rPr>
                <w:rFonts w:ascii="Times New Roman" w:eastAsia="Times New Roman" w:hAnsi="Times New Roman"/>
                <w:sz w:val="24"/>
                <w:szCs w:val="24"/>
              </w:rPr>
            </w:pPr>
            <w:r w:rsidRPr="00414F51">
              <w:rPr>
                <w:rFonts w:ascii="Times New Roman" w:eastAsia="Times New Roman" w:hAnsi="Times New Roman"/>
                <w:sz w:val="24"/>
                <w:szCs w:val="24"/>
              </w:rPr>
              <w:t>Reporting Standard GRS 310 (2010) Statement of Financial Performance (which came into effect on 30 August 2010)</w:t>
            </w:r>
          </w:p>
          <w:p w:rsidR="001E2EFE" w:rsidRDefault="001E2EFE" w:rsidP="00C37089">
            <w:pPr>
              <w:spacing w:line="264" w:lineRule="exact"/>
              <w:ind w:left="100" w:right="211"/>
              <w:rPr>
                <w:szCs w:val="24"/>
              </w:rPr>
            </w:pPr>
          </w:p>
        </w:tc>
        <w:tc>
          <w:tcPr>
            <w:tcW w:w="5812" w:type="dxa"/>
          </w:tcPr>
          <w:p w:rsidR="001E2EFE" w:rsidRDefault="001E2EFE" w:rsidP="00C37089">
            <w:pPr>
              <w:spacing w:line="264" w:lineRule="exact"/>
              <w:ind w:left="100" w:right="211"/>
              <w:rPr>
                <w:szCs w:val="24"/>
              </w:rPr>
            </w:pPr>
            <w:r w:rsidRPr="005C0351">
              <w:rPr>
                <w:szCs w:val="24"/>
              </w:rPr>
              <w:t>GRF_310_3_L: Details of Income and Expenses</w:t>
            </w:r>
          </w:p>
          <w:p w:rsidR="001E2EFE" w:rsidRDefault="001E2EFE" w:rsidP="00C37089">
            <w:pPr>
              <w:spacing w:line="264" w:lineRule="exact"/>
              <w:ind w:left="100" w:right="211"/>
              <w:rPr>
                <w:szCs w:val="24"/>
              </w:rPr>
            </w:pPr>
          </w:p>
          <w:p w:rsidR="001E2EFE" w:rsidRPr="005C0351" w:rsidRDefault="001E2EFE" w:rsidP="001E2EFE">
            <w:pPr>
              <w:pStyle w:val="ListParagraph"/>
              <w:widowControl w:val="0"/>
              <w:numPr>
                <w:ilvl w:val="0"/>
                <w:numId w:val="29"/>
              </w:numPr>
              <w:spacing w:line="264" w:lineRule="exact"/>
              <w:ind w:right="211"/>
              <w:contextualSpacing/>
              <w:rPr>
                <w:rFonts w:ascii="Times New Roman" w:eastAsia="Times New Roman" w:hAnsi="Times New Roman"/>
                <w:sz w:val="24"/>
                <w:szCs w:val="24"/>
              </w:rPr>
            </w:pPr>
            <w:r w:rsidRPr="005C0351">
              <w:rPr>
                <w:rFonts w:ascii="Times New Roman" w:eastAsia="Times New Roman" w:hAnsi="Times New Roman"/>
                <w:sz w:val="24"/>
                <w:szCs w:val="24"/>
              </w:rPr>
              <w:t>Section 1. Investment income – All data items</w:t>
            </w:r>
          </w:p>
          <w:p w:rsidR="001E2EFE" w:rsidRPr="005C0351" w:rsidRDefault="001E2EFE" w:rsidP="001E2EFE">
            <w:pPr>
              <w:pStyle w:val="ListParagraph"/>
              <w:widowControl w:val="0"/>
              <w:numPr>
                <w:ilvl w:val="0"/>
                <w:numId w:val="29"/>
              </w:numPr>
              <w:spacing w:line="264" w:lineRule="exact"/>
              <w:ind w:right="211"/>
              <w:contextualSpacing/>
              <w:rPr>
                <w:rFonts w:ascii="Times New Roman" w:eastAsia="Times New Roman" w:hAnsi="Times New Roman"/>
                <w:sz w:val="24"/>
                <w:szCs w:val="24"/>
              </w:rPr>
            </w:pPr>
            <w:r w:rsidRPr="005C0351">
              <w:rPr>
                <w:rFonts w:ascii="Times New Roman" w:eastAsia="Times New Roman" w:hAnsi="Times New Roman"/>
                <w:sz w:val="24"/>
                <w:szCs w:val="24"/>
              </w:rPr>
              <w:t>Section 2. Operation income – All data items</w:t>
            </w:r>
          </w:p>
          <w:p w:rsidR="001E2EFE" w:rsidRPr="005C0351" w:rsidRDefault="001E2EFE" w:rsidP="001E2EFE">
            <w:pPr>
              <w:pStyle w:val="ListParagraph"/>
              <w:widowControl w:val="0"/>
              <w:numPr>
                <w:ilvl w:val="0"/>
                <w:numId w:val="29"/>
              </w:numPr>
              <w:spacing w:line="264" w:lineRule="exact"/>
              <w:ind w:right="211"/>
              <w:contextualSpacing/>
              <w:rPr>
                <w:rFonts w:ascii="Times New Roman" w:eastAsia="Times New Roman" w:hAnsi="Times New Roman"/>
                <w:sz w:val="24"/>
                <w:szCs w:val="24"/>
              </w:rPr>
            </w:pPr>
            <w:r w:rsidRPr="005C0351">
              <w:rPr>
                <w:rFonts w:ascii="Times New Roman" w:eastAsia="Times New Roman" w:hAnsi="Times New Roman"/>
                <w:sz w:val="24"/>
                <w:szCs w:val="24"/>
              </w:rPr>
              <w:t>Section 3. Operation expenses – All data items</w:t>
            </w:r>
          </w:p>
          <w:p w:rsidR="001E2EFE" w:rsidRDefault="001E2EFE" w:rsidP="00C37089">
            <w:pPr>
              <w:spacing w:line="264" w:lineRule="exact"/>
              <w:ind w:left="100" w:right="211"/>
              <w:rPr>
                <w:szCs w:val="24"/>
              </w:rPr>
            </w:pPr>
          </w:p>
        </w:tc>
      </w:tr>
      <w:tr w:rsidR="001E2EFE" w:rsidRPr="00C9339D" w:rsidTr="00C37089">
        <w:trPr>
          <w:trHeight w:val="1544"/>
        </w:trPr>
        <w:tc>
          <w:tcPr>
            <w:tcW w:w="3694" w:type="dxa"/>
          </w:tcPr>
          <w:p w:rsidR="001E2EFE" w:rsidRPr="00414F51" w:rsidRDefault="001E2EFE" w:rsidP="001E2EFE">
            <w:pPr>
              <w:pStyle w:val="ListParagraph"/>
              <w:widowControl w:val="0"/>
              <w:numPr>
                <w:ilvl w:val="0"/>
                <w:numId w:val="28"/>
              </w:numPr>
              <w:spacing w:line="264" w:lineRule="exact"/>
              <w:ind w:right="211"/>
              <w:contextualSpacing/>
              <w:rPr>
                <w:rFonts w:ascii="Times New Roman" w:eastAsia="Times New Roman" w:hAnsi="Times New Roman"/>
                <w:sz w:val="24"/>
                <w:szCs w:val="24"/>
              </w:rPr>
            </w:pPr>
            <w:r w:rsidRPr="00414F51">
              <w:rPr>
                <w:rFonts w:ascii="Times New Roman" w:eastAsia="Times New Roman" w:hAnsi="Times New Roman"/>
                <w:sz w:val="24"/>
                <w:szCs w:val="24"/>
              </w:rPr>
              <w:t>Reporting Standard GRS 400 (2010) Supplementary Reporting Information (which came into effect on 24 August 2010)</w:t>
            </w:r>
          </w:p>
          <w:p w:rsidR="001E2EFE" w:rsidRDefault="001E2EFE" w:rsidP="00C37089">
            <w:pPr>
              <w:spacing w:line="264" w:lineRule="exact"/>
              <w:ind w:left="100" w:right="211"/>
              <w:rPr>
                <w:szCs w:val="24"/>
              </w:rPr>
            </w:pPr>
            <w:r>
              <w:rPr>
                <w:szCs w:val="24"/>
              </w:rPr>
              <w:t xml:space="preserve"> </w:t>
            </w:r>
          </w:p>
        </w:tc>
        <w:tc>
          <w:tcPr>
            <w:tcW w:w="5812" w:type="dxa"/>
          </w:tcPr>
          <w:p w:rsidR="001E2EFE" w:rsidRPr="005C0351" w:rsidRDefault="001E2EFE" w:rsidP="00C37089">
            <w:pPr>
              <w:spacing w:line="264" w:lineRule="exact"/>
              <w:ind w:left="100" w:right="211"/>
              <w:rPr>
                <w:szCs w:val="24"/>
              </w:rPr>
            </w:pPr>
            <w:r w:rsidRPr="005C0351">
              <w:rPr>
                <w:szCs w:val="24"/>
              </w:rPr>
              <w:t>GRF_400.0_L: Statement of Risk by Country</w:t>
            </w:r>
          </w:p>
          <w:p w:rsidR="001E2EFE" w:rsidRPr="006A4D3B" w:rsidRDefault="001E2EFE" w:rsidP="00C37089">
            <w:pPr>
              <w:pStyle w:val="ListParagraph"/>
              <w:spacing w:line="264" w:lineRule="exact"/>
              <w:ind w:left="360" w:right="211"/>
              <w:rPr>
                <w:rFonts w:ascii="Times New Roman" w:eastAsia="Times New Roman" w:hAnsi="Times New Roman"/>
                <w:sz w:val="24"/>
                <w:szCs w:val="24"/>
              </w:rPr>
            </w:pPr>
          </w:p>
          <w:p w:rsidR="001E2EFE" w:rsidRPr="00D46660" w:rsidRDefault="001E2EFE" w:rsidP="00C37089">
            <w:pPr>
              <w:spacing w:line="264" w:lineRule="exact"/>
              <w:ind w:left="100" w:right="211"/>
              <w:rPr>
                <w:szCs w:val="24"/>
              </w:rPr>
            </w:pPr>
            <w:r>
              <w:rPr>
                <w:szCs w:val="24"/>
              </w:rPr>
              <w:t xml:space="preserve">      All data items.</w:t>
            </w:r>
          </w:p>
        </w:tc>
      </w:tr>
    </w:tbl>
    <w:p w:rsidR="001E2EFE" w:rsidRDefault="001E2EFE" w:rsidP="001E2EFE">
      <w:pPr>
        <w:spacing w:line="264" w:lineRule="exact"/>
        <w:ind w:right="211"/>
        <w:rPr>
          <w:szCs w:val="24"/>
        </w:rPr>
      </w:pPr>
    </w:p>
    <w:p w:rsidR="001E2EFE" w:rsidRDefault="001E2EFE" w:rsidP="001E2EFE">
      <w:pPr>
        <w:spacing w:line="264" w:lineRule="exact"/>
        <w:ind w:left="100" w:right="211"/>
        <w:rPr>
          <w:szCs w:val="24"/>
        </w:rPr>
      </w:pPr>
    </w:p>
    <w:p w:rsidR="001E2EFE" w:rsidRPr="006A4D3B" w:rsidRDefault="001E2EFE" w:rsidP="001E2EFE">
      <w:pPr>
        <w:spacing w:line="264" w:lineRule="exact"/>
        <w:ind w:left="100" w:right="211"/>
        <w:rPr>
          <w:szCs w:val="24"/>
          <w:u w:val="single"/>
        </w:rPr>
      </w:pPr>
      <w:r w:rsidRPr="006A4D3B">
        <w:rPr>
          <w:szCs w:val="24"/>
          <w:u w:val="single"/>
        </w:rPr>
        <w:t>General Insurance Reporting Standards (2008)</w:t>
      </w:r>
    </w:p>
    <w:p w:rsidR="001E2EFE" w:rsidRPr="006A4D3B" w:rsidRDefault="001E2EFE" w:rsidP="001E2EFE">
      <w:pPr>
        <w:pStyle w:val="ListParagraph"/>
        <w:widowControl w:val="0"/>
        <w:numPr>
          <w:ilvl w:val="0"/>
          <w:numId w:val="28"/>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110.0 (2008) Minimum Capital Requirement (which came into effect on 23 October 2008)</w:t>
      </w:r>
    </w:p>
    <w:p w:rsidR="001E2EFE" w:rsidRPr="006A4D3B" w:rsidRDefault="001E2EFE" w:rsidP="001E2EFE">
      <w:pPr>
        <w:pStyle w:val="ListParagraph"/>
        <w:widowControl w:val="0"/>
        <w:numPr>
          <w:ilvl w:val="0"/>
          <w:numId w:val="28"/>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120.0 (2008) Determination of Capital Base (which came into effect on 23 October 2008)</w:t>
      </w:r>
    </w:p>
    <w:p w:rsidR="001E2EFE" w:rsidRPr="006A4D3B" w:rsidRDefault="001E2EFE" w:rsidP="001E2EFE">
      <w:pPr>
        <w:pStyle w:val="ListParagraph"/>
        <w:widowControl w:val="0"/>
        <w:numPr>
          <w:ilvl w:val="0"/>
          <w:numId w:val="28"/>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300.0 (2008) Statement of Financial Position (which came into effect on 31 October 2008)</w:t>
      </w:r>
    </w:p>
    <w:p w:rsidR="001E2EFE" w:rsidRPr="006A4D3B" w:rsidRDefault="001E2EFE" w:rsidP="001E2EFE">
      <w:pPr>
        <w:pStyle w:val="ListParagraph"/>
        <w:widowControl w:val="0"/>
        <w:numPr>
          <w:ilvl w:val="0"/>
          <w:numId w:val="28"/>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301.0 (2008) Reinsurance Assets and Risk Charge (which came into effect on 31 October 2008)</w:t>
      </w:r>
    </w:p>
    <w:p w:rsidR="001E2EFE" w:rsidRPr="006A4D3B" w:rsidRDefault="001E2EFE" w:rsidP="001E2EFE">
      <w:pPr>
        <w:pStyle w:val="ListParagraph"/>
        <w:widowControl w:val="0"/>
        <w:numPr>
          <w:ilvl w:val="0"/>
          <w:numId w:val="28"/>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310.0 (2008) Statement of Financial Performance (which came into effect on 7 November 2008)</w:t>
      </w:r>
    </w:p>
    <w:p w:rsidR="001E2EFE" w:rsidRPr="006A4D3B" w:rsidRDefault="001E2EFE" w:rsidP="001E2EFE">
      <w:pPr>
        <w:pStyle w:val="ListParagraph"/>
        <w:widowControl w:val="0"/>
        <w:numPr>
          <w:ilvl w:val="0"/>
          <w:numId w:val="28"/>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310.3 (2008) Investment and Operating Income and Expense (which came into effect on 1 November 2008)</w:t>
      </w:r>
    </w:p>
    <w:p w:rsidR="001E2EFE" w:rsidRPr="006A4D3B" w:rsidRDefault="001E2EFE" w:rsidP="001E2EFE">
      <w:pPr>
        <w:pStyle w:val="ListParagraph"/>
        <w:widowControl w:val="0"/>
        <w:numPr>
          <w:ilvl w:val="0"/>
          <w:numId w:val="28"/>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320.0 (2008) Reconciliation of Annual Disclosure (which came into effect on 3 November 2008)</w:t>
      </w:r>
    </w:p>
    <w:p w:rsidR="001E2EFE" w:rsidRPr="006A4D3B" w:rsidRDefault="001E2EFE" w:rsidP="001E2EFE">
      <w:pPr>
        <w:pStyle w:val="ListParagraph"/>
        <w:widowControl w:val="0"/>
        <w:numPr>
          <w:ilvl w:val="0"/>
          <w:numId w:val="28"/>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400.0 (2008) Statement of Risk by Country (which came into effect on 3 November 2008)</w:t>
      </w:r>
    </w:p>
    <w:p w:rsidR="001E2EFE" w:rsidRDefault="001E2EFE" w:rsidP="001E2EFE">
      <w:pPr>
        <w:spacing w:line="264" w:lineRule="exact"/>
        <w:ind w:left="100" w:right="211"/>
        <w:rPr>
          <w:szCs w:val="24"/>
        </w:rPr>
      </w:pPr>
    </w:p>
    <w:p w:rsidR="001E2EFE" w:rsidRPr="006A4D3B" w:rsidRDefault="001E2EFE" w:rsidP="001E2EFE">
      <w:pPr>
        <w:spacing w:line="264" w:lineRule="exact"/>
        <w:ind w:left="100" w:right="211"/>
        <w:rPr>
          <w:szCs w:val="24"/>
          <w:u w:val="single"/>
        </w:rPr>
      </w:pPr>
      <w:r w:rsidRPr="006A4D3B">
        <w:rPr>
          <w:szCs w:val="24"/>
          <w:u w:val="single"/>
        </w:rPr>
        <w:t>General Insurance Reporting Standards (2007)</w:t>
      </w:r>
    </w:p>
    <w:p w:rsidR="001E2EFE" w:rsidRPr="006A4D3B" w:rsidRDefault="001E2EFE" w:rsidP="001E2EFE">
      <w:pPr>
        <w:pStyle w:val="ListParagraph"/>
        <w:widowControl w:val="0"/>
        <w:numPr>
          <w:ilvl w:val="0"/>
          <w:numId w:val="28"/>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110.0 (2007) Minimum Capital Requirement (which came into effect on 1 January 2007)</w:t>
      </w:r>
    </w:p>
    <w:p w:rsidR="001E2EFE" w:rsidRPr="006A4D3B" w:rsidRDefault="001E2EFE" w:rsidP="001E2EFE">
      <w:pPr>
        <w:pStyle w:val="ListParagraph"/>
        <w:widowControl w:val="0"/>
        <w:numPr>
          <w:ilvl w:val="0"/>
          <w:numId w:val="28"/>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120.0 (2007) Determination of Capital Base (which came into effect on 1 January 2007)</w:t>
      </w:r>
    </w:p>
    <w:p w:rsidR="001E2EFE" w:rsidRPr="006A4D3B" w:rsidRDefault="001E2EFE" w:rsidP="001E2EFE">
      <w:pPr>
        <w:pStyle w:val="ListParagraph"/>
        <w:widowControl w:val="0"/>
        <w:numPr>
          <w:ilvl w:val="0"/>
          <w:numId w:val="28"/>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300.0 (2007) Statement of Financial Position (which came into effect on 1 January 2007)</w:t>
      </w:r>
    </w:p>
    <w:p w:rsidR="001E2EFE" w:rsidRPr="006A4D3B" w:rsidRDefault="001E2EFE" w:rsidP="001E2EFE">
      <w:pPr>
        <w:pStyle w:val="ListParagraph"/>
        <w:widowControl w:val="0"/>
        <w:numPr>
          <w:ilvl w:val="0"/>
          <w:numId w:val="28"/>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310.0 (2007) Statement of Financial Performance (which came into effect on 1 January 2007)</w:t>
      </w:r>
    </w:p>
    <w:p w:rsidR="001E2EFE" w:rsidRPr="006A4D3B" w:rsidRDefault="001E2EFE" w:rsidP="001E2EFE">
      <w:pPr>
        <w:pStyle w:val="ListParagraph"/>
        <w:widowControl w:val="0"/>
        <w:numPr>
          <w:ilvl w:val="0"/>
          <w:numId w:val="28"/>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310.3 (2007) Investment and Operating Income and Expense (which came into effect on 1 January 2007)</w:t>
      </w:r>
    </w:p>
    <w:p w:rsidR="001E2EFE" w:rsidRPr="006A4D3B" w:rsidRDefault="001E2EFE" w:rsidP="001E2EFE">
      <w:pPr>
        <w:pStyle w:val="ListParagraph"/>
        <w:widowControl w:val="0"/>
        <w:numPr>
          <w:ilvl w:val="0"/>
          <w:numId w:val="28"/>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320.0 (2007) Reconciliation of Annual Disclosure (which came into effect on 1 January 2007)</w:t>
      </w:r>
    </w:p>
    <w:p w:rsidR="001E2EFE" w:rsidRPr="006A4D3B" w:rsidRDefault="001E2EFE" w:rsidP="001E2EFE">
      <w:pPr>
        <w:pStyle w:val="ListParagraph"/>
        <w:widowControl w:val="0"/>
        <w:numPr>
          <w:ilvl w:val="0"/>
          <w:numId w:val="28"/>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 xml:space="preserve">Reporting Standard GRS 400.0 (2007) Statement of Risk by Country (which </w:t>
      </w:r>
      <w:r w:rsidRPr="006A4D3B">
        <w:rPr>
          <w:rFonts w:ascii="Times New Roman" w:eastAsia="Times New Roman" w:hAnsi="Times New Roman"/>
          <w:sz w:val="24"/>
          <w:szCs w:val="24"/>
        </w:rPr>
        <w:lastRenderedPageBreak/>
        <w:t>came into effect on 1 January 2007)</w:t>
      </w:r>
    </w:p>
    <w:p w:rsidR="001E2EFE" w:rsidRDefault="001E2EFE" w:rsidP="001E2EFE">
      <w:pPr>
        <w:spacing w:line="264" w:lineRule="exact"/>
        <w:ind w:left="100" w:right="211"/>
        <w:rPr>
          <w:szCs w:val="24"/>
        </w:rPr>
      </w:pPr>
    </w:p>
    <w:p w:rsidR="001E2EFE" w:rsidRPr="006A4D3B" w:rsidRDefault="001E2EFE" w:rsidP="001E2EFE">
      <w:pPr>
        <w:spacing w:line="264" w:lineRule="exact"/>
        <w:ind w:left="100" w:right="211"/>
        <w:rPr>
          <w:szCs w:val="24"/>
          <w:u w:val="single"/>
        </w:rPr>
      </w:pPr>
      <w:r w:rsidRPr="006A4D3B">
        <w:rPr>
          <w:szCs w:val="24"/>
          <w:u w:val="single"/>
        </w:rPr>
        <w:t>General Insurance Reporting Standards (2005)</w:t>
      </w:r>
    </w:p>
    <w:p w:rsidR="001E2EFE" w:rsidRPr="006A4D3B" w:rsidRDefault="001E2EFE" w:rsidP="001E2EFE">
      <w:pPr>
        <w:pStyle w:val="ListParagraph"/>
        <w:widowControl w:val="0"/>
        <w:numPr>
          <w:ilvl w:val="0"/>
          <w:numId w:val="28"/>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110.0 (2005) Minimum Capital Requirement (which came into effect on 1 July 2005)</w:t>
      </w:r>
    </w:p>
    <w:p w:rsidR="001E2EFE" w:rsidRPr="006A4D3B" w:rsidRDefault="001E2EFE" w:rsidP="001E2EFE">
      <w:pPr>
        <w:pStyle w:val="ListParagraph"/>
        <w:widowControl w:val="0"/>
        <w:numPr>
          <w:ilvl w:val="0"/>
          <w:numId w:val="28"/>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120.0 (2005) Determination of Capital Base (which came into effect on 1 July 2005)</w:t>
      </w:r>
    </w:p>
    <w:p w:rsidR="001E2EFE" w:rsidRPr="006A4D3B" w:rsidRDefault="001E2EFE" w:rsidP="001E2EFE">
      <w:pPr>
        <w:pStyle w:val="ListParagraph"/>
        <w:widowControl w:val="0"/>
        <w:numPr>
          <w:ilvl w:val="0"/>
          <w:numId w:val="28"/>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300.0 (2005) Statement of Financial Position (which came into effect on 1 July 2005)</w:t>
      </w:r>
    </w:p>
    <w:p w:rsidR="001E2EFE" w:rsidRPr="006A4D3B" w:rsidRDefault="001E2EFE" w:rsidP="001E2EFE">
      <w:pPr>
        <w:pStyle w:val="ListParagraph"/>
        <w:widowControl w:val="0"/>
        <w:numPr>
          <w:ilvl w:val="0"/>
          <w:numId w:val="28"/>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310.0 (2005) Statement of Financial Performance (which came into effect on 1 July 2005)</w:t>
      </w:r>
    </w:p>
    <w:p w:rsidR="001E2EFE" w:rsidRPr="006A4D3B" w:rsidRDefault="001E2EFE" w:rsidP="001E2EFE">
      <w:pPr>
        <w:pStyle w:val="ListParagraph"/>
        <w:widowControl w:val="0"/>
        <w:numPr>
          <w:ilvl w:val="0"/>
          <w:numId w:val="28"/>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310.3 (2005) Investment and Operating Income and Expense (which came into effect on 1 July 2005)</w:t>
      </w:r>
    </w:p>
    <w:p w:rsidR="001E2EFE" w:rsidRPr="006A4D3B" w:rsidRDefault="001E2EFE" w:rsidP="001E2EFE">
      <w:pPr>
        <w:pStyle w:val="ListParagraph"/>
        <w:widowControl w:val="0"/>
        <w:numPr>
          <w:ilvl w:val="0"/>
          <w:numId w:val="28"/>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320.0 (2005) Reconciliation of Annual Disclosure (which came into effect on 1 July 2005)</w:t>
      </w:r>
    </w:p>
    <w:p w:rsidR="001E2EFE" w:rsidRPr="006A4D3B" w:rsidRDefault="001E2EFE" w:rsidP="001E2EFE">
      <w:pPr>
        <w:pStyle w:val="ListParagraph"/>
        <w:widowControl w:val="0"/>
        <w:numPr>
          <w:ilvl w:val="0"/>
          <w:numId w:val="28"/>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400.0 (2005) Statement of Risk by Country (which came into effect on 1 July 2005)</w:t>
      </w:r>
    </w:p>
    <w:p w:rsidR="001E2EFE" w:rsidRDefault="001E2EFE" w:rsidP="001E2EFE">
      <w:pPr>
        <w:spacing w:line="264" w:lineRule="exact"/>
        <w:ind w:left="100" w:right="211"/>
        <w:rPr>
          <w:szCs w:val="24"/>
        </w:rPr>
      </w:pPr>
    </w:p>
    <w:p w:rsidR="001E2EFE" w:rsidRPr="006A4D3B" w:rsidRDefault="001E2EFE" w:rsidP="001E2EFE">
      <w:pPr>
        <w:spacing w:line="264" w:lineRule="exact"/>
        <w:ind w:left="100" w:right="211"/>
        <w:rPr>
          <w:szCs w:val="24"/>
          <w:u w:val="single"/>
        </w:rPr>
      </w:pPr>
      <w:r w:rsidRPr="006A4D3B">
        <w:rPr>
          <w:szCs w:val="24"/>
          <w:u w:val="single"/>
        </w:rPr>
        <w:t>General Insurance Reporting Standards (2002)</w:t>
      </w:r>
    </w:p>
    <w:p w:rsidR="001E2EFE" w:rsidRPr="006A4D3B" w:rsidRDefault="001E2EFE" w:rsidP="001E2EFE">
      <w:pPr>
        <w:pStyle w:val="ListParagraph"/>
        <w:widowControl w:val="0"/>
        <w:numPr>
          <w:ilvl w:val="0"/>
          <w:numId w:val="28"/>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110.0 Minimum Capital Requirement made on 28 June 2002 (which came into effect on 1 July 2002 and ceased to have effect on 1 July 2005)</w:t>
      </w:r>
    </w:p>
    <w:p w:rsidR="001E2EFE" w:rsidRPr="006A4D3B" w:rsidRDefault="001E2EFE" w:rsidP="001E2EFE">
      <w:pPr>
        <w:pStyle w:val="ListParagraph"/>
        <w:widowControl w:val="0"/>
        <w:numPr>
          <w:ilvl w:val="0"/>
          <w:numId w:val="28"/>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120.0 Determination of Capital Base made on 28 June 2002 (which came into effect on 1 July 2002 and ceased to have effect on 1 July 2005)</w:t>
      </w:r>
    </w:p>
    <w:p w:rsidR="001E2EFE" w:rsidRPr="006A4D3B" w:rsidRDefault="001E2EFE" w:rsidP="001E2EFE">
      <w:pPr>
        <w:pStyle w:val="ListParagraph"/>
        <w:widowControl w:val="0"/>
        <w:numPr>
          <w:ilvl w:val="0"/>
          <w:numId w:val="28"/>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300.0 Statement of Financial Position made on 28 June 2002 (which came into effect on 1 July 2002 and ceased to have effect on 1 July 2005)</w:t>
      </w:r>
    </w:p>
    <w:p w:rsidR="001E2EFE" w:rsidRPr="006A4D3B" w:rsidRDefault="001E2EFE" w:rsidP="001E2EFE">
      <w:pPr>
        <w:pStyle w:val="ListParagraph"/>
        <w:widowControl w:val="0"/>
        <w:numPr>
          <w:ilvl w:val="0"/>
          <w:numId w:val="28"/>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310.0 Statement of Financial Performance made on 28 June 2002 (which came into effect on 1 July 2002 and ceased to have on 1 July 2005)</w:t>
      </w:r>
    </w:p>
    <w:p w:rsidR="001E2EFE" w:rsidRPr="006A4D3B" w:rsidRDefault="001E2EFE" w:rsidP="001E2EFE">
      <w:pPr>
        <w:pStyle w:val="ListParagraph"/>
        <w:widowControl w:val="0"/>
        <w:numPr>
          <w:ilvl w:val="0"/>
          <w:numId w:val="28"/>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310.3 Investment and Operating Income and Expense made on 28 June 2002 (which came into effect on 1 July 2002 and ceased to have on 1 July 2005)</w:t>
      </w:r>
    </w:p>
    <w:p w:rsidR="001E2EFE" w:rsidRPr="006A4D3B" w:rsidRDefault="001E2EFE" w:rsidP="001E2EFE">
      <w:pPr>
        <w:pStyle w:val="ListParagraph"/>
        <w:widowControl w:val="0"/>
        <w:numPr>
          <w:ilvl w:val="0"/>
          <w:numId w:val="28"/>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320.0 Reconciliation of Annual Disclosure made on 28 June 2002 (which came into</w:t>
      </w:r>
      <w:r>
        <w:rPr>
          <w:rFonts w:ascii="Times New Roman" w:eastAsia="Times New Roman" w:hAnsi="Times New Roman"/>
          <w:sz w:val="24"/>
          <w:szCs w:val="24"/>
        </w:rPr>
        <w:t xml:space="preserve"> </w:t>
      </w:r>
      <w:r w:rsidRPr="006A4D3B">
        <w:rPr>
          <w:rFonts w:ascii="Times New Roman" w:eastAsia="Times New Roman" w:hAnsi="Times New Roman"/>
          <w:sz w:val="24"/>
          <w:szCs w:val="24"/>
        </w:rPr>
        <w:t xml:space="preserve"> effect on 1 July 2002 and ceased to have on 1 July 2005)</w:t>
      </w:r>
    </w:p>
    <w:p w:rsidR="001E2EFE" w:rsidRPr="006A4D3B" w:rsidRDefault="001E2EFE" w:rsidP="001E2EFE">
      <w:pPr>
        <w:pStyle w:val="ListParagraph"/>
        <w:widowControl w:val="0"/>
        <w:numPr>
          <w:ilvl w:val="0"/>
          <w:numId w:val="28"/>
        </w:numPr>
        <w:spacing w:line="264" w:lineRule="exact"/>
        <w:ind w:right="211"/>
        <w:contextualSpacing/>
        <w:rPr>
          <w:rFonts w:ascii="Times New Roman" w:eastAsia="Times New Roman" w:hAnsi="Times New Roman"/>
          <w:sz w:val="24"/>
          <w:szCs w:val="24"/>
        </w:rPr>
      </w:pPr>
      <w:r w:rsidRPr="006A4D3B">
        <w:rPr>
          <w:rFonts w:ascii="Times New Roman" w:eastAsia="Times New Roman" w:hAnsi="Times New Roman"/>
          <w:sz w:val="24"/>
          <w:szCs w:val="24"/>
        </w:rPr>
        <w:t>Reporting Standard GRS 400.0 Statement of Risk by Country made on 28 June 2002 (which came into effect on 1 July 2002 and ceased to have effect on 1 July 2005)</w:t>
      </w:r>
    </w:p>
    <w:p w:rsidR="00D65B7D" w:rsidRDefault="00D65B7D" w:rsidP="00DC0DE4">
      <w:pPr>
        <w:pStyle w:val="ListParagraph"/>
        <w:widowControl w:val="0"/>
        <w:numPr>
          <w:ilvl w:val="0"/>
          <w:numId w:val="28"/>
        </w:numPr>
        <w:spacing w:line="264" w:lineRule="exact"/>
        <w:ind w:right="211"/>
        <w:contextualSpacing/>
        <w:rPr>
          <w:b/>
          <w:szCs w:val="24"/>
        </w:rPr>
      </w:pPr>
      <w:r>
        <w:rPr>
          <w:szCs w:val="24"/>
        </w:rPr>
        <w:br w:type="page"/>
      </w:r>
    </w:p>
    <w:p w:rsidR="00223069" w:rsidRPr="00D203C0" w:rsidRDefault="00223069" w:rsidP="00ED517C">
      <w:pPr>
        <w:pStyle w:val="Title"/>
        <w:spacing w:before="0"/>
        <w:jc w:val="left"/>
        <w:rPr>
          <w:sz w:val="28"/>
          <w:szCs w:val="28"/>
        </w:rPr>
      </w:pPr>
      <w:r w:rsidRPr="00D203C0">
        <w:rPr>
          <w:sz w:val="28"/>
          <w:szCs w:val="28"/>
        </w:rPr>
        <w:lastRenderedPageBreak/>
        <w:t xml:space="preserve">Appendix </w:t>
      </w:r>
      <w:r w:rsidR="0043266B">
        <w:rPr>
          <w:sz w:val="28"/>
          <w:szCs w:val="28"/>
        </w:rPr>
        <w:t>B</w:t>
      </w:r>
    </w:p>
    <w:p w:rsidR="00223069" w:rsidRDefault="00223069" w:rsidP="003E6B91">
      <w:pPr>
        <w:pStyle w:val="Title"/>
        <w:spacing w:before="0"/>
        <w:rPr>
          <w:sz w:val="24"/>
          <w:szCs w:val="24"/>
        </w:rPr>
      </w:pPr>
    </w:p>
    <w:p w:rsidR="00223069" w:rsidRDefault="00223069" w:rsidP="000E071E">
      <w:pPr>
        <w:autoSpaceDE w:val="0"/>
        <w:autoSpaceDN w:val="0"/>
        <w:adjustRightInd w:val="0"/>
        <w:jc w:val="center"/>
        <w:rPr>
          <w:b/>
          <w:szCs w:val="24"/>
        </w:rPr>
      </w:pPr>
      <w:r w:rsidRPr="0084044C">
        <w:rPr>
          <w:b/>
          <w:szCs w:val="24"/>
        </w:rPr>
        <w:t xml:space="preserve">Statement of </w:t>
      </w:r>
      <w:r>
        <w:rPr>
          <w:b/>
          <w:szCs w:val="24"/>
        </w:rPr>
        <w:t>C</w:t>
      </w:r>
      <w:r w:rsidRPr="0084044C">
        <w:rPr>
          <w:b/>
          <w:szCs w:val="24"/>
        </w:rPr>
        <w:t xml:space="preserve">ompatibility </w:t>
      </w:r>
      <w:r>
        <w:rPr>
          <w:b/>
          <w:szCs w:val="24"/>
        </w:rPr>
        <w:t>with Human Rights</w:t>
      </w:r>
    </w:p>
    <w:p w:rsidR="00223069" w:rsidRDefault="00223069" w:rsidP="000E071E">
      <w:pPr>
        <w:autoSpaceDE w:val="0"/>
        <w:autoSpaceDN w:val="0"/>
        <w:adjustRightInd w:val="0"/>
        <w:jc w:val="center"/>
        <w:rPr>
          <w:b/>
          <w:szCs w:val="24"/>
        </w:rPr>
      </w:pPr>
    </w:p>
    <w:p w:rsidR="00223069" w:rsidRPr="00DB0B90" w:rsidRDefault="00223069" w:rsidP="00776F3F">
      <w:pPr>
        <w:autoSpaceDE w:val="0"/>
        <w:autoSpaceDN w:val="0"/>
        <w:adjustRightInd w:val="0"/>
        <w:jc w:val="center"/>
        <w:rPr>
          <w:i/>
          <w:szCs w:val="24"/>
        </w:rPr>
      </w:pPr>
      <w:r w:rsidRPr="00DB0B90">
        <w:rPr>
          <w:i/>
          <w:szCs w:val="24"/>
        </w:rPr>
        <w:t>Prepared in accordance with Part 3 of the Human Rights (Parliamentary Scrutiny) Act 2011</w:t>
      </w:r>
    </w:p>
    <w:p w:rsidR="00223069" w:rsidRDefault="00223069" w:rsidP="000E071E">
      <w:pPr>
        <w:pStyle w:val="Title"/>
        <w:spacing w:before="0"/>
        <w:jc w:val="left"/>
        <w:rPr>
          <w:sz w:val="24"/>
          <w:szCs w:val="24"/>
        </w:rPr>
      </w:pPr>
    </w:p>
    <w:p w:rsidR="00223069" w:rsidRPr="00516CDD" w:rsidRDefault="00223069" w:rsidP="003E6B91">
      <w:pPr>
        <w:pStyle w:val="Title"/>
        <w:spacing w:before="0"/>
        <w:rPr>
          <w:sz w:val="24"/>
          <w:szCs w:val="24"/>
        </w:rPr>
      </w:pPr>
      <w:r w:rsidRPr="00481343">
        <w:rPr>
          <w:sz w:val="24"/>
          <w:szCs w:val="24"/>
        </w:rPr>
        <w:t xml:space="preserve">Australian </w:t>
      </w:r>
      <w:r w:rsidRPr="00516CDD">
        <w:rPr>
          <w:sz w:val="24"/>
          <w:szCs w:val="24"/>
        </w:rPr>
        <w:t>Prudential Regulation Authority (confidentiality) determination</w:t>
      </w:r>
    </w:p>
    <w:p w:rsidR="00223069" w:rsidRPr="00516CDD" w:rsidRDefault="00223069" w:rsidP="003E6B91">
      <w:pPr>
        <w:pStyle w:val="Title"/>
        <w:spacing w:before="0"/>
        <w:rPr>
          <w:sz w:val="24"/>
          <w:szCs w:val="24"/>
        </w:rPr>
      </w:pPr>
      <w:r w:rsidRPr="00516CDD">
        <w:rPr>
          <w:sz w:val="24"/>
          <w:szCs w:val="24"/>
        </w:rPr>
        <w:t>No.</w:t>
      </w:r>
      <w:r w:rsidR="0043266B">
        <w:rPr>
          <w:sz w:val="24"/>
          <w:szCs w:val="24"/>
        </w:rPr>
        <w:t xml:space="preserve"> 25</w:t>
      </w:r>
      <w:r w:rsidRPr="00516CDD">
        <w:rPr>
          <w:sz w:val="24"/>
          <w:szCs w:val="24"/>
        </w:rPr>
        <w:t xml:space="preserve"> of 2013</w:t>
      </w:r>
    </w:p>
    <w:p w:rsidR="00223069" w:rsidRDefault="00223069" w:rsidP="003E6B91">
      <w:pPr>
        <w:pStyle w:val="BodyText"/>
        <w:spacing w:after="0"/>
        <w:rPr>
          <w:szCs w:val="24"/>
        </w:rPr>
      </w:pPr>
    </w:p>
    <w:p w:rsidR="00223069" w:rsidRDefault="00223069" w:rsidP="003E6B91">
      <w:pPr>
        <w:pStyle w:val="BodyText"/>
        <w:spacing w:after="0"/>
        <w:rPr>
          <w:i/>
          <w:szCs w:val="24"/>
        </w:rPr>
      </w:pPr>
      <w:r>
        <w:rPr>
          <w:szCs w:val="24"/>
        </w:rPr>
        <w:t xml:space="preserve">This Legislative Instrument is compatible with the human rights and freedoms recognised or declared in the international instruments listed in section 3 of the </w:t>
      </w:r>
      <w:r>
        <w:rPr>
          <w:i/>
          <w:szCs w:val="24"/>
        </w:rPr>
        <w:t>Human Rights (Parliamentary Scrutiny) Act 2011.</w:t>
      </w:r>
    </w:p>
    <w:p w:rsidR="00223069" w:rsidRDefault="00223069" w:rsidP="003E6B91">
      <w:pPr>
        <w:pStyle w:val="BodyText"/>
        <w:spacing w:after="0"/>
        <w:rPr>
          <w:i/>
          <w:szCs w:val="24"/>
        </w:rPr>
      </w:pPr>
    </w:p>
    <w:p w:rsidR="00223069" w:rsidRDefault="00223069" w:rsidP="003E6B91">
      <w:pPr>
        <w:pStyle w:val="BodyText"/>
        <w:spacing w:after="0"/>
        <w:rPr>
          <w:b/>
          <w:szCs w:val="24"/>
        </w:rPr>
      </w:pPr>
      <w:r w:rsidRPr="00740541">
        <w:rPr>
          <w:b/>
          <w:szCs w:val="24"/>
        </w:rPr>
        <w:t>Overview of the Legislative Instrument</w:t>
      </w:r>
    </w:p>
    <w:p w:rsidR="00223069" w:rsidRDefault="00223069" w:rsidP="003E6B91">
      <w:pPr>
        <w:pStyle w:val="BodyText"/>
        <w:spacing w:after="0"/>
        <w:rPr>
          <w:b/>
          <w:szCs w:val="24"/>
        </w:rPr>
      </w:pPr>
    </w:p>
    <w:p w:rsidR="00223069" w:rsidRDefault="00223069" w:rsidP="003E6B91">
      <w:pPr>
        <w:pStyle w:val="BodyText"/>
      </w:pPr>
      <w:r>
        <w:t>This Legislative Instrument will enable APRA to disclose (</w:t>
      </w:r>
      <w:r w:rsidR="00AD119D">
        <w:t xml:space="preserve">including </w:t>
      </w:r>
      <w:r>
        <w:t xml:space="preserve">by way of publication in industry bulletins) information provided to it by general insurers </w:t>
      </w:r>
      <w:r w:rsidR="00935BC0">
        <w:t xml:space="preserve">under </w:t>
      </w:r>
      <w:r>
        <w:t xml:space="preserve">certain reporting standards.  This information will be of use to </w:t>
      </w:r>
      <w:r w:rsidR="00CE4A55">
        <w:t>inter alia</w:t>
      </w:r>
      <w:r w:rsidR="00935BC0">
        <w:t xml:space="preserve"> </w:t>
      </w:r>
      <w:r>
        <w:t xml:space="preserve">regulators, policymakers, industry, researchers and analysts. </w:t>
      </w:r>
    </w:p>
    <w:p w:rsidR="00223069" w:rsidRDefault="00223069" w:rsidP="003E6B91">
      <w:pPr>
        <w:pStyle w:val="BodyText"/>
        <w:rPr>
          <w:b/>
        </w:rPr>
      </w:pPr>
      <w:r>
        <w:rPr>
          <w:b/>
        </w:rPr>
        <w:t>Human rights implications</w:t>
      </w:r>
    </w:p>
    <w:p w:rsidR="00223069" w:rsidRDefault="00223069" w:rsidP="00F90527">
      <w:pPr>
        <w:pStyle w:val="BodyText"/>
      </w:pPr>
      <w:r>
        <w:t xml:space="preserve">APRA has assessed this Legislative Instrument against the international instruments listed in section 3 of the </w:t>
      </w:r>
      <w:r w:rsidRPr="00792245">
        <w:rPr>
          <w:i/>
        </w:rPr>
        <w:t>Human Rights (Parliamentary Scrutiny) Act 2011</w:t>
      </w:r>
      <w:r>
        <w:t xml:space="preserve"> (HRPS Act) and determined that only Article 17 of the International Covenant on Civil and Political Rights (ICCPR) is conceivably of relevance.</w:t>
      </w:r>
    </w:p>
    <w:p w:rsidR="00223069" w:rsidRDefault="00223069" w:rsidP="00F90527">
      <w:pPr>
        <w:pStyle w:val="BodyText"/>
      </w:pPr>
      <w:r>
        <w:t>Article 17 of the ICCPR prohibits the arbitrary or unlawful interference with a person’s privacy, family, home and correspondence, and attacks on reputation. Article 17 is exclusively concerned with prohibiting interference with the privacy and/or reputation of individual persons. It does not extend to the privacy and/or reputation of corporate entities.</w:t>
      </w:r>
    </w:p>
    <w:p w:rsidR="00223069" w:rsidRDefault="00223069" w:rsidP="00F90527">
      <w:pPr>
        <w:pStyle w:val="BodyText"/>
      </w:pPr>
      <w:r>
        <w:t xml:space="preserve">This Legislative Instrument will facilitate the disclosure of specific information given to APRA by general insurers in accordance with certain reporting standards.  It does not involve the disclosure of information directly relating to individual persons. Further, APRA reviews all releases of data received under reporting standards to ensure that no information pertaining to an individual person can be deduced from the data. </w:t>
      </w:r>
    </w:p>
    <w:p w:rsidR="00223069" w:rsidRDefault="00223069" w:rsidP="00F90527">
      <w:pPr>
        <w:pStyle w:val="BodyText"/>
        <w:spacing w:after="0"/>
      </w:pPr>
      <w:r>
        <w:t xml:space="preserve">Consequently this Legislative Instrument does not engage any of the applicable rights or freedoms recognised or declared in the international instruments listed in section 3 of the HRPS Act. </w:t>
      </w:r>
    </w:p>
    <w:p w:rsidR="00223069" w:rsidRDefault="00223069" w:rsidP="00F90527">
      <w:pPr>
        <w:pStyle w:val="BodyText"/>
        <w:spacing w:after="0"/>
      </w:pPr>
    </w:p>
    <w:p w:rsidR="00E74905" w:rsidRDefault="00223069" w:rsidP="003116E1">
      <w:pPr>
        <w:pStyle w:val="BodyText"/>
        <w:rPr>
          <w:b/>
        </w:rPr>
      </w:pPr>
      <w:r>
        <w:rPr>
          <w:b/>
        </w:rPr>
        <w:t>Conclusion</w:t>
      </w:r>
    </w:p>
    <w:p w:rsidR="000A4A11" w:rsidRPr="001C6E9D" w:rsidRDefault="00223069" w:rsidP="003116E1">
      <w:pPr>
        <w:pStyle w:val="BodyText"/>
        <w:rPr>
          <w:b/>
        </w:rPr>
      </w:pPr>
      <w:r>
        <w:t>This Legislative Instrument is compatible with human rights as it does not raise any human rights issues.</w:t>
      </w:r>
    </w:p>
    <w:sectPr w:rsidR="000A4A11" w:rsidRPr="001C6E9D" w:rsidSect="00995F6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C69" w:rsidRDefault="00F04C69">
      <w:r>
        <w:separator/>
      </w:r>
    </w:p>
  </w:endnote>
  <w:endnote w:type="continuationSeparator" w:id="0">
    <w:p w:rsidR="00F04C69" w:rsidRDefault="00F0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C69" w:rsidRDefault="00F04C69">
      <w:r>
        <w:separator/>
      </w:r>
    </w:p>
  </w:footnote>
  <w:footnote w:type="continuationSeparator" w:id="0">
    <w:p w:rsidR="00F04C69" w:rsidRDefault="00F04C69">
      <w:r>
        <w:continuationSeparator/>
      </w:r>
    </w:p>
  </w:footnote>
  <w:footnote w:id="1">
    <w:p w:rsidR="00146202" w:rsidRDefault="00146202" w:rsidP="00146202">
      <w:pPr>
        <w:pStyle w:val="FootnoteText"/>
      </w:pPr>
      <w:r>
        <w:rPr>
          <w:rStyle w:val="FootnoteReference"/>
        </w:rPr>
        <w:footnoteRef/>
      </w:r>
      <w:r>
        <w:t xml:space="preserve"> Where data are provided under the </w:t>
      </w:r>
      <w:r w:rsidRPr="00146202">
        <w:rPr>
          <w:i/>
        </w:rPr>
        <w:t>Financial Sector (Collection of Data) Act 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7C7"/>
    <w:multiLevelType w:val="hybridMultilevel"/>
    <w:tmpl w:val="764225C6"/>
    <w:lvl w:ilvl="0" w:tplc="0C090019">
      <w:start w:val="1"/>
      <w:numFmt w:val="lowerLetter"/>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
    <w:nsid w:val="00A6211A"/>
    <w:multiLevelType w:val="hybridMultilevel"/>
    <w:tmpl w:val="3A2C334E"/>
    <w:lvl w:ilvl="0" w:tplc="81F04DE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3917569"/>
    <w:multiLevelType w:val="hybridMultilevel"/>
    <w:tmpl w:val="52F025C8"/>
    <w:lvl w:ilvl="0" w:tplc="0BEEE344">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3">
    <w:nsid w:val="05FE2274"/>
    <w:multiLevelType w:val="hybridMultilevel"/>
    <w:tmpl w:val="99CEEC46"/>
    <w:lvl w:ilvl="0" w:tplc="09D45E28">
      <w:start w:val="1"/>
      <w:numFmt w:val="lowerLetter"/>
      <w:lvlText w:val="(%1)"/>
      <w:lvlJc w:val="left"/>
      <w:pPr>
        <w:ind w:left="402" w:hanging="360"/>
      </w:pPr>
      <w:rPr>
        <w:rFonts w:hint="default"/>
      </w:rPr>
    </w:lvl>
    <w:lvl w:ilvl="1" w:tplc="0C090019" w:tentative="1">
      <w:start w:val="1"/>
      <w:numFmt w:val="lowerLetter"/>
      <w:lvlText w:val="%2."/>
      <w:lvlJc w:val="left"/>
      <w:pPr>
        <w:ind w:left="1122" w:hanging="360"/>
      </w:pPr>
    </w:lvl>
    <w:lvl w:ilvl="2" w:tplc="0C09001B" w:tentative="1">
      <w:start w:val="1"/>
      <w:numFmt w:val="lowerRoman"/>
      <w:lvlText w:val="%3."/>
      <w:lvlJc w:val="right"/>
      <w:pPr>
        <w:ind w:left="1842" w:hanging="180"/>
      </w:pPr>
    </w:lvl>
    <w:lvl w:ilvl="3" w:tplc="0C09000F" w:tentative="1">
      <w:start w:val="1"/>
      <w:numFmt w:val="decimal"/>
      <w:lvlText w:val="%4."/>
      <w:lvlJc w:val="left"/>
      <w:pPr>
        <w:ind w:left="2562" w:hanging="360"/>
      </w:pPr>
    </w:lvl>
    <w:lvl w:ilvl="4" w:tplc="0C090019" w:tentative="1">
      <w:start w:val="1"/>
      <w:numFmt w:val="lowerLetter"/>
      <w:lvlText w:val="%5."/>
      <w:lvlJc w:val="left"/>
      <w:pPr>
        <w:ind w:left="3282" w:hanging="360"/>
      </w:pPr>
    </w:lvl>
    <w:lvl w:ilvl="5" w:tplc="0C09001B" w:tentative="1">
      <w:start w:val="1"/>
      <w:numFmt w:val="lowerRoman"/>
      <w:lvlText w:val="%6."/>
      <w:lvlJc w:val="right"/>
      <w:pPr>
        <w:ind w:left="4002" w:hanging="180"/>
      </w:pPr>
    </w:lvl>
    <w:lvl w:ilvl="6" w:tplc="0C09000F" w:tentative="1">
      <w:start w:val="1"/>
      <w:numFmt w:val="decimal"/>
      <w:lvlText w:val="%7."/>
      <w:lvlJc w:val="left"/>
      <w:pPr>
        <w:ind w:left="4722" w:hanging="360"/>
      </w:pPr>
    </w:lvl>
    <w:lvl w:ilvl="7" w:tplc="0C090019" w:tentative="1">
      <w:start w:val="1"/>
      <w:numFmt w:val="lowerLetter"/>
      <w:lvlText w:val="%8."/>
      <w:lvlJc w:val="left"/>
      <w:pPr>
        <w:ind w:left="5442" w:hanging="360"/>
      </w:pPr>
    </w:lvl>
    <w:lvl w:ilvl="8" w:tplc="0C09001B" w:tentative="1">
      <w:start w:val="1"/>
      <w:numFmt w:val="lowerRoman"/>
      <w:lvlText w:val="%9."/>
      <w:lvlJc w:val="right"/>
      <w:pPr>
        <w:ind w:left="6162" w:hanging="180"/>
      </w:pPr>
    </w:lvl>
  </w:abstractNum>
  <w:abstractNum w:abstractNumId="4">
    <w:nsid w:val="06146072"/>
    <w:multiLevelType w:val="hybridMultilevel"/>
    <w:tmpl w:val="ABF451D0"/>
    <w:lvl w:ilvl="0" w:tplc="15ACB64E">
      <w:start w:val="1"/>
      <w:numFmt w:val="lowerLetter"/>
      <w:lvlText w:val="(%1)"/>
      <w:lvlJc w:val="left"/>
      <w:pPr>
        <w:ind w:left="402" w:hanging="360"/>
      </w:pPr>
      <w:rPr>
        <w:rFonts w:ascii="Times New Roman" w:hAnsi="Times New Roman" w:cs="Times New Roman" w:hint="default"/>
        <w:sz w:val="24"/>
        <w:szCs w:val="24"/>
      </w:rPr>
    </w:lvl>
    <w:lvl w:ilvl="1" w:tplc="0C090019" w:tentative="1">
      <w:start w:val="1"/>
      <w:numFmt w:val="lowerLetter"/>
      <w:lvlText w:val="%2."/>
      <w:lvlJc w:val="left"/>
      <w:pPr>
        <w:ind w:left="1122" w:hanging="360"/>
      </w:pPr>
    </w:lvl>
    <w:lvl w:ilvl="2" w:tplc="0C09001B" w:tentative="1">
      <w:start w:val="1"/>
      <w:numFmt w:val="lowerRoman"/>
      <w:lvlText w:val="%3."/>
      <w:lvlJc w:val="right"/>
      <w:pPr>
        <w:ind w:left="1842" w:hanging="180"/>
      </w:pPr>
    </w:lvl>
    <w:lvl w:ilvl="3" w:tplc="0C09000F" w:tentative="1">
      <w:start w:val="1"/>
      <w:numFmt w:val="decimal"/>
      <w:lvlText w:val="%4."/>
      <w:lvlJc w:val="left"/>
      <w:pPr>
        <w:ind w:left="2562" w:hanging="360"/>
      </w:pPr>
    </w:lvl>
    <w:lvl w:ilvl="4" w:tplc="0C090019" w:tentative="1">
      <w:start w:val="1"/>
      <w:numFmt w:val="lowerLetter"/>
      <w:lvlText w:val="%5."/>
      <w:lvlJc w:val="left"/>
      <w:pPr>
        <w:ind w:left="3282" w:hanging="360"/>
      </w:pPr>
    </w:lvl>
    <w:lvl w:ilvl="5" w:tplc="0C09001B" w:tentative="1">
      <w:start w:val="1"/>
      <w:numFmt w:val="lowerRoman"/>
      <w:lvlText w:val="%6."/>
      <w:lvlJc w:val="right"/>
      <w:pPr>
        <w:ind w:left="4002" w:hanging="180"/>
      </w:pPr>
    </w:lvl>
    <w:lvl w:ilvl="6" w:tplc="0C09000F" w:tentative="1">
      <w:start w:val="1"/>
      <w:numFmt w:val="decimal"/>
      <w:lvlText w:val="%7."/>
      <w:lvlJc w:val="left"/>
      <w:pPr>
        <w:ind w:left="4722" w:hanging="360"/>
      </w:pPr>
    </w:lvl>
    <w:lvl w:ilvl="7" w:tplc="0C090019" w:tentative="1">
      <w:start w:val="1"/>
      <w:numFmt w:val="lowerLetter"/>
      <w:lvlText w:val="%8."/>
      <w:lvlJc w:val="left"/>
      <w:pPr>
        <w:ind w:left="5442" w:hanging="360"/>
      </w:pPr>
    </w:lvl>
    <w:lvl w:ilvl="8" w:tplc="0C09001B" w:tentative="1">
      <w:start w:val="1"/>
      <w:numFmt w:val="lowerRoman"/>
      <w:lvlText w:val="%9."/>
      <w:lvlJc w:val="right"/>
      <w:pPr>
        <w:ind w:left="6162" w:hanging="180"/>
      </w:pPr>
    </w:lvl>
  </w:abstractNum>
  <w:abstractNum w:abstractNumId="5">
    <w:nsid w:val="06151439"/>
    <w:multiLevelType w:val="multilevel"/>
    <w:tmpl w:val="9980303A"/>
    <w:lvl w:ilvl="0">
      <w:start w:val="1"/>
      <w:numFmt w:val="decimal"/>
      <w:lvlText w:val="%1."/>
      <w:lvlJc w:val="left"/>
      <w:pPr>
        <w:ind w:left="460" w:hanging="360"/>
      </w:pPr>
      <w:rPr>
        <w:rFonts w:hint="default"/>
      </w:rPr>
    </w:lvl>
    <w:lvl w:ilvl="1">
      <w:start w:val="1"/>
      <w:numFmt w:val="decimal"/>
      <w:isLgl/>
      <w:lvlText w:val="%1.%2."/>
      <w:lvlJc w:val="left"/>
      <w:pPr>
        <w:ind w:left="880" w:hanging="420"/>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900" w:hanging="720"/>
      </w:pPr>
      <w:rPr>
        <w:rFonts w:hint="default"/>
      </w:rPr>
    </w:lvl>
    <w:lvl w:ilvl="4">
      <w:start w:val="1"/>
      <w:numFmt w:val="decimal"/>
      <w:isLgl/>
      <w:lvlText w:val="%1.%2.%3.%4.%5."/>
      <w:lvlJc w:val="left"/>
      <w:pPr>
        <w:ind w:left="2620" w:hanging="1080"/>
      </w:pPr>
      <w:rPr>
        <w:rFonts w:hint="default"/>
      </w:rPr>
    </w:lvl>
    <w:lvl w:ilvl="5">
      <w:start w:val="1"/>
      <w:numFmt w:val="decimal"/>
      <w:isLgl/>
      <w:lvlText w:val="%1.%2.%3.%4.%5.%6."/>
      <w:lvlJc w:val="left"/>
      <w:pPr>
        <w:ind w:left="2980" w:hanging="1080"/>
      </w:pPr>
      <w:rPr>
        <w:rFonts w:hint="default"/>
      </w:rPr>
    </w:lvl>
    <w:lvl w:ilvl="6">
      <w:start w:val="1"/>
      <w:numFmt w:val="decimal"/>
      <w:isLgl/>
      <w:lvlText w:val="%1.%2.%3.%4.%5.%6.%7."/>
      <w:lvlJc w:val="left"/>
      <w:pPr>
        <w:ind w:left="3700" w:hanging="1440"/>
      </w:pPr>
      <w:rPr>
        <w:rFonts w:hint="default"/>
      </w:rPr>
    </w:lvl>
    <w:lvl w:ilvl="7">
      <w:start w:val="1"/>
      <w:numFmt w:val="decimal"/>
      <w:isLgl/>
      <w:lvlText w:val="%1.%2.%3.%4.%5.%6.%7.%8."/>
      <w:lvlJc w:val="left"/>
      <w:pPr>
        <w:ind w:left="4060" w:hanging="1440"/>
      </w:pPr>
      <w:rPr>
        <w:rFonts w:hint="default"/>
      </w:rPr>
    </w:lvl>
    <w:lvl w:ilvl="8">
      <w:start w:val="1"/>
      <w:numFmt w:val="decimal"/>
      <w:isLgl/>
      <w:lvlText w:val="%1.%2.%3.%4.%5.%6.%7.%8.%9."/>
      <w:lvlJc w:val="left"/>
      <w:pPr>
        <w:ind w:left="4780" w:hanging="1800"/>
      </w:pPr>
      <w:rPr>
        <w:rFonts w:hint="default"/>
      </w:rPr>
    </w:lvl>
  </w:abstractNum>
  <w:abstractNum w:abstractNumId="6">
    <w:nsid w:val="1140705E"/>
    <w:multiLevelType w:val="hybridMultilevel"/>
    <w:tmpl w:val="15F0ED60"/>
    <w:lvl w:ilvl="0" w:tplc="736EDB2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62D6F2F"/>
    <w:multiLevelType w:val="hybridMultilevel"/>
    <w:tmpl w:val="64D8316A"/>
    <w:lvl w:ilvl="0" w:tplc="B6D6B3DC">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7781A57"/>
    <w:multiLevelType w:val="hybridMultilevel"/>
    <w:tmpl w:val="691821C2"/>
    <w:lvl w:ilvl="0" w:tplc="F93E5B16">
      <w:start w:val="1"/>
      <w:numFmt w:val="lowerRoman"/>
      <w:lvlText w:val="(%1)"/>
      <w:lvlJc w:val="left"/>
      <w:pPr>
        <w:ind w:left="820" w:hanging="360"/>
      </w:pPr>
      <w:rPr>
        <w:rFonts w:hint="default"/>
      </w:rPr>
    </w:lvl>
    <w:lvl w:ilvl="1" w:tplc="0C090019">
      <w:start w:val="1"/>
      <w:numFmt w:val="lowerLetter"/>
      <w:lvlText w:val="%2."/>
      <w:lvlJc w:val="left"/>
      <w:pPr>
        <w:ind w:left="1540" w:hanging="360"/>
      </w:pPr>
    </w:lvl>
    <w:lvl w:ilvl="2" w:tplc="0C09001B">
      <w:start w:val="1"/>
      <w:numFmt w:val="lowerRoman"/>
      <w:lvlText w:val="%3."/>
      <w:lvlJc w:val="right"/>
      <w:pPr>
        <w:ind w:left="2260" w:hanging="180"/>
      </w:pPr>
    </w:lvl>
    <w:lvl w:ilvl="3" w:tplc="0C09000F" w:tentative="1">
      <w:start w:val="1"/>
      <w:numFmt w:val="decimal"/>
      <w:lvlText w:val="%4."/>
      <w:lvlJc w:val="left"/>
      <w:pPr>
        <w:ind w:left="2980" w:hanging="360"/>
      </w:pPr>
    </w:lvl>
    <w:lvl w:ilvl="4" w:tplc="0C090019" w:tentative="1">
      <w:start w:val="1"/>
      <w:numFmt w:val="lowerLetter"/>
      <w:lvlText w:val="%5."/>
      <w:lvlJc w:val="left"/>
      <w:pPr>
        <w:ind w:left="3700" w:hanging="360"/>
      </w:pPr>
    </w:lvl>
    <w:lvl w:ilvl="5" w:tplc="0C09001B" w:tentative="1">
      <w:start w:val="1"/>
      <w:numFmt w:val="lowerRoman"/>
      <w:lvlText w:val="%6."/>
      <w:lvlJc w:val="right"/>
      <w:pPr>
        <w:ind w:left="4420" w:hanging="180"/>
      </w:pPr>
    </w:lvl>
    <w:lvl w:ilvl="6" w:tplc="0C09000F" w:tentative="1">
      <w:start w:val="1"/>
      <w:numFmt w:val="decimal"/>
      <w:lvlText w:val="%7."/>
      <w:lvlJc w:val="left"/>
      <w:pPr>
        <w:ind w:left="5140" w:hanging="360"/>
      </w:pPr>
    </w:lvl>
    <w:lvl w:ilvl="7" w:tplc="0C090019" w:tentative="1">
      <w:start w:val="1"/>
      <w:numFmt w:val="lowerLetter"/>
      <w:lvlText w:val="%8."/>
      <w:lvlJc w:val="left"/>
      <w:pPr>
        <w:ind w:left="5860" w:hanging="360"/>
      </w:pPr>
    </w:lvl>
    <w:lvl w:ilvl="8" w:tplc="0C09001B" w:tentative="1">
      <w:start w:val="1"/>
      <w:numFmt w:val="lowerRoman"/>
      <w:lvlText w:val="%9."/>
      <w:lvlJc w:val="right"/>
      <w:pPr>
        <w:ind w:left="6580" w:hanging="180"/>
      </w:pPr>
    </w:lvl>
  </w:abstractNum>
  <w:abstractNum w:abstractNumId="9">
    <w:nsid w:val="1C576841"/>
    <w:multiLevelType w:val="hybridMultilevel"/>
    <w:tmpl w:val="AAAAA8E6"/>
    <w:lvl w:ilvl="0" w:tplc="716CABF6">
      <w:start w:val="1"/>
      <w:numFmt w:val="lowerLetter"/>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10">
    <w:nsid w:val="1CA05E2C"/>
    <w:multiLevelType w:val="hybridMultilevel"/>
    <w:tmpl w:val="3B7EBE6C"/>
    <w:lvl w:ilvl="0" w:tplc="F93E5B16">
      <w:start w:val="1"/>
      <w:numFmt w:val="lowerRoman"/>
      <w:lvlText w:val="(%1)"/>
      <w:lvlJc w:val="left"/>
      <w:pPr>
        <w:ind w:left="827" w:hanging="360"/>
      </w:pPr>
      <w:rPr>
        <w:rFonts w:hint="default"/>
      </w:rPr>
    </w:lvl>
    <w:lvl w:ilvl="1" w:tplc="0C090019">
      <w:start w:val="1"/>
      <w:numFmt w:val="lowerLetter"/>
      <w:lvlText w:val="%2."/>
      <w:lvlJc w:val="left"/>
      <w:pPr>
        <w:ind w:left="1547" w:hanging="360"/>
      </w:pPr>
    </w:lvl>
    <w:lvl w:ilvl="2" w:tplc="CDC23096">
      <w:start w:val="1"/>
      <w:numFmt w:val="lowerLetter"/>
      <w:lvlText w:val="(%3)"/>
      <w:lvlJc w:val="left"/>
      <w:pPr>
        <w:ind w:left="402" w:hanging="360"/>
      </w:pPr>
      <w:rPr>
        <w:rFonts w:ascii="Times New Roman" w:hAnsi="Times New Roman" w:cs="Times New Roman" w:hint="default"/>
        <w:sz w:val="24"/>
        <w:szCs w:val="24"/>
      </w:rPr>
    </w:lvl>
    <w:lvl w:ilvl="3" w:tplc="0C09000F" w:tentative="1">
      <w:start w:val="1"/>
      <w:numFmt w:val="decimal"/>
      <w:lvlText w:val="%4."/>
      <w:lvlJc w:val="left"/>
      <w:pPr>
        <w:ind w:left="2987" w:hanging="360"/>
      </w:pPr>
    </w:lvl>
    <w:lvl w:ilvl="4" w:tplc="0C090019" w:tentative="1">
      <w:start w:val="1"/>
      <w:numFmt w:val="lowerLetter"/>
      <w:lvlText w:val="%5."/>
      <w:lvlJc w:val="left"/>
      <w:pPr>
        <w:ind w:left="3707" w:hanging="360"/>
      </w:pPr>
    </w:lvl>
    <w:lvl w:ilvl="5" w:tplc="0C09001B" w:tentative="1">
      <w:start w:val="1"/>
      <w:numFmt w:val="lowerRoman"/>
      <w:lvlText w:val="%6."/>
      <w:lvlJc w:val="right"/>
      <w:pPr>
        <w:ind w:left="4427" w:hanging="180"/>
      </w:pPr>
    </w:lvl>
    <w:lvl w:ilvl="6" w:tplc="0C09000F" w:tentative="1">
      <w:start w:val="1"/>
      <w:numFmt w:val="decimal"/>
      <w:lvlText w:val="%7."/>
      <w:lvlJc w:val="left"/>
      <w:pPr>
        <w:ind w:left="5147" w:hanging="360"/>
      </w:pPr>
    </w:lvl>
    <w:lvl w:ilvl="7" w:tplc="0C090019" w:tentative="1">
      <w:start w:val="1"/>
      <w:numFmt w:val="lowerLetter"/>
      <w:lvlText w:val="%8."/>
      <w:lvlJc w:val="left"/>
      <w:pPr>
        <w:ind w:left="5867" w:hanging="360"/>
      </w:pPr>
    </w:lvl>
    <w:lvl w:ilvl="8" w:tplc="0C09001B" w:tentative="1">
      <w:start w:val="1"/>
      <w:numFmt w:val="lowerRoman"/>
      <w:lvlText w:val="%9."/>
      <w:lvlJc w:val="right"/>
      <w:pPr>
        <w:ind w:left="6587" w:hanging="180"/>
      </w:pPr>
    </w:lvl>
  </w:abstractNum>
  <w:abstractNum w:abstractNumId="11">
    <w:nsid w:val="2377534C"/>
    <w:multiLevelType w:val="hybridMultilevel"/>
    <w:tmpl w:val="CF520362"/>
    <w:lvl w:ilvl="0" w:tplc="8820A4B8">
      <w:start w:val="1"/>
      <w:numFmt w:val="lowerLetter"/>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12">
    <w:nsid w:val="25C24899"/>
    <w:multiLevelType w:val="hybridMultilevel"/>
    <w:tmpl w:val="B7105826"/>
    <w:lvl w:ilvl="0" w:tplc="94AAD742">
      <w:numFmt w:val="bullet"/>
      <w:lvlText w:val="-"/>
      <w:lvlJc w:val="left"/>
      <w:pPr>
        <w:ind w:left="1080" w:hanging="360"/>
      </w:pPr>
      <w:rPr>
        <w:rFonts w:ascii="Trebuchet MS" w:eastAsia="Calibri" w:hAnsi="Trebuchet MS"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3F3E7182"/>
    <w:multiLevelType w:val="hybridMultilevel"/>
    <w:tmpl w:val="8CBA664C"/>
    <w:lvl w:ilvl="0" w:tplc="F592922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480F27B6"/>
    <w:multiLevelType w:val="hybridMultilevel"/>
    <w:tmpl w:val="A9CEE0E6"/>
    <w:lvl w:ilvl="0" w:tplc="6360B508">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AFE35BF"/>
    <w:multiLevelType w:val="hybridMultilevel"/>
    <w:tmpl w:val="3BF48B58"/>
    <w:lvl w:ilvl="0" w:tplc="2D3EF96C">
      <w:numFmt w:val="bullet"/>
      <w:lvlText w:val="•"/>
      <w:lvlJc w:val="left"/>
      <w:pPr>
        <w:ind w:left="720" w:hanging="360"/>
      </w:pPr>
      <w:rPr>
        <w:rFonts w:ascii="Trebuchet MS" w:eastAsia="Calibri"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B8C0A94"/>
    <w:multiLevelType w:val="hybridMultilevel"/>
    <w:tmpl w:val="ECDA0368"/>
    <w:lvl w:ilvl="0" w:tplc="E9A04C5C">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17">
    <w:nsid w:val="4E624B69"/>
    <w:multiLevelType w:val="hybridMultilevel"/>
    <w:tmpl w:val="A2E00C2A"/>
    <w:lvl w:ilvl="0" w:tplc="1C7E4D82">
      <w:start w:val="1"/>
      <w:numFmt w:val="lowerLetter"/>
      <w:lvlText w:val="(%1)"/>
      <w:lvlJc w:val="left"/>
      <w:pPr>
        <w:ind w:left="360" w:hanging="360"/>
      </w:pPr>
      <w:rPr>
        <w:rFonts w:ascii="Times New Roman" w:hAnsi="Times New Roman" w:cs="Times New Roman" w:hint="default"/>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529738EA"/>
    <w:multiLevelType w:val="hybridMultilevel"/>
    <w:tmpl w:val="C2C0CAB0"/>
    <w:lvl w:ilvl="0" w:tplc="7AC67908">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5523A9"/>
    <w:multiLevelType w:val="hybridMultilevel"/>
    <w:tmpl w:val="764225C6"/>
    <w:lvl w:ilvl="0" w:tplc="0C090019">
      <w:start w:val="1"/>
      <w:numFmt w:val="lowerLetter"/>
      <w:lvlText w:val="%1."/>
      <w:lvlJc w:val="left"/>
      <w:pPr>
        <w:ind w:left="502" w:hanging="360"/>
      </w:p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0">
    <w:nsid w:val="578B30DF"/>
    <w:multiLevelType w:val="hybridMultilevel"/>
    <w:tmpl w:val="EB9090CA"/>
    <w:lvl w:ilvl="0" w:tplc="5238BFC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8904699"/>
    <w:multiLevelType w:val="hybridMultilevel"/>
    <w:tmpl w:val="AE8CA36C"/>
    <w:lvl w:ilvl="0" w:tplc="13C86186">
      <w:start w:val="9"/>
      <w:numFmt w:val="lowerLetter"/>
      <w:lvlText w:val="(%1)"/>
      <w:lvlJc w:val="left"/>
      <w:pPr>
        <w:ind w:left="686" w:hanging="360"/>
      </w:pPr>
      <w:rPr>
        <w:rFonts w:hint="default"/>
      </w:rPr>
    </w:lvl>
    <w:lvl w:ilvl="1" w:tplc="0C090019" w:tentative="1">
      <w:start w:val="1"/>
      <w:numFmt w:val="lowerLetter"/>
      <w:lvlText w:val="%2."/>
      <w:lvlJc w:val="left"/>
      <w:pPr>
        <w:ind w:left="1406" w:hanging="360"/>
      </w:pPr>
    </w:lvl>
    <w:lvl w:ilvl="2" w:tplc="0C09001B" w:tentative="1">
      <w:start w:val="1"/>
      <w:numFmt w:val="lowerRoman"/>
      <w:lvlText w:val="%3."/>
      <w:lvlJc w:val="right"/>
      <w:pPr>
        <w:ind w:left="2126" w:hanging="180"/>
      </w:pPr>
    </w:lvl>
    <w:lvl w:ilvl="3" w:tplc="0C09000F" w:tentative="1">
      <w:start w:val="1"/>
      <w:numFmt w:val="decimal"/>
      <w:lvlText w:val="%4."/>
      <w:lvlJc w:val="left"/>
      <w:pPr>
        <w:ind w:left="2846" w:hanging="360"/>
      </w:pPr>
    </w:lvl>
    <w:lvl w:ilvl="4" w:tplc="0C090019" w:tentative="1">
      <w:start w:val="1"/>
      <w:numFmt w:val="lowerLetter"/>
      <w:lvlText w:val="%5."/>
      <w:lvlJc w:val="left"/>
      <w:pPr>
        <w:ind w:left="3566" w:hanging="360"/>
      </w:pPr>
    </w:lvl>
    <w:lvl w:ilvl="5" w:tplc="0C09001B" w:tentative="1">
      <w:start w:val="1"/>
      <w:numFmt w:val="lowerRoman"/>
      <w:lvlText w:val="%6."/>
      <w:lvlJc w:val="right"/>
      <w:pPr>
        <w:ind w:left="4286" w:hanging="180"/>
      </w:pPr>
    </w:lvl>
    <w:lvl w:ilvl="6" w:tplc="0C09000F" w:tentative="1">
      <w:start w:val="1"/>
      <w:numFmt w:val="decimal"/>
      <w:lvlText w:val="%7."/>
      <w:lvlJc w:val="left"/>
      <w:pPr>
        <w:ind w:left="5006" w:hanging="360"/>
      </w:pPr>
    </w:lvl>
    <w:lvl w:ilvl="7" w:tplc="0C090019" w:tentative="1">
      <w:start w:val="1"/>
      <w:numFmt w:val="lowerLetter"/>
      <w:lvlText w:val="%8."/>
      <w:lvlJc w:val="left"/>
      <w:pPr>
        <w:ind w:left="5726" w:hanging="360"/>
      </w:pPr>
    </w:lvl>
    <w:lvl w:ilvl="8" w:tplc="0C09001B" w:tentative="1">
      <w:start w:val="1"/>
      <w:numFmt w:val="lowerRoman"/>
      <w:lvlText w:val="%9."/>
      <w:lvlJc w:val="right"/>
      <w:pPr>
        <w:ind w:left="6446" w:hanging="180"/>
      </w:pPr>
    </w:lvl>
  </w:abstractNum>
  <w:abstractNum w:abstractNumId="22">
    <w:nsid w:val="5DFC5FE3"/>
    <w:multiLevelType w:val="hybridMultilevel"/>
    <w:tmpl w:val="4C4465D0"/>
    <w:lvl w:ilvl="0" w:tplc="6FD24180">
      <w:start w:val="1"/>
      <w:numFmt w:val="lowerLetter"/>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23">
    <w:nsid w:val="6E6F5DF3"/>
    <w:multiLevelType w:val="hybridMultilevel"/>
    <w:tmpl w:val="EEBAE918"/>
    <w:lvl w:ilvl="0" w:tplc="CA663E40">
      <w:start w:val="1"/>
      <w:numFmt w:val="decimal"/>
      <w:lvlText w:val="%1."/>
      <w:lvlJc w:val="left"/>
      <w:pPr>
        <w:ind w:left="360" w:hanging="360"/>
      </w:pPr>
      <w:rPr>
        <w:rFonts w:hint="default"/>
        <w:b/>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6EE5140A"/>
    <w:multiLevelType w:val="hybridMultilevel"/>
    <w:tmpl w:val="32008DC4"/>
    <w:lvl w:ilvl="0" w:tplc="9B3E24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6F7A6CAD"/>
    <w:multiLevelType w:val="hybridMultilevel"/>
    <w:tmpl w:val="0004DDD6"/>
    <w:lvl w:ilvl="0" w:tplc="34D09D8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737A62FE"/>
    <w:multiLevelType w:val="hybridMultilevel"/>
    <w:tmpl w:val="EEBE9322"/>
    <w:lvl w:ilvl="0" w:tplc="2D3EF96C">
      <w:numFmt w:val="bullet"/>
      <w:lvlText w:val="•"/>
      <w:lvlJc w:val="left"/>
      <w:pPr>
        <w:ind w:left="720" w:hanging="360"/>
      </w:pPr>
      <w:rPr>
        <w:rFonts w:ascii="Trebuchet MS" w:eastAsia="Calibri"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8BC263E"/>
    <w:multiLevelType w:val="hybridMultilevel"/>
    <w:tmpl w:val="BB1A8804"/>
    <w:lvl w:ilvl="0" w:tplc="0C090017">
      <w:start w:val="1"/>
      <w:numFmt w:val="lowerLetter"/>
      <w:lvlText w:val="%1)"/>
      <w:lvlJc w:val="left"/>
      <w:pPr>
        <w:ind w:left="820" w:hanging="360"/>
      </w:pPr>
    </w:lvl>
    <w:lvl w:ilvl="1" w:tplc="0C090019" w:tentative="1">
      <w:start w:val="1"/>
      <w:numFmt w:val="lowerLetter"/>
      <w:lvlText w:val="%2."/>
      <w:lvlJc w:val="left"/>
      <w:pPr>
        <w:ind w:left="1540" w:hanging="360"/>
      </w:pPr>
    </w:lvl>
    <w:lvl w:ilvl="2" w:tplc="0C09001B" w:tentative="1">
      <w:start w:val="1"/>
      <w:numFmt w:val="lowerRoman"/>
      <w:lvlText w:val="%3."/>
      <w:lvlJc w:val="right"/>
      <w:pPr>
        <w:ind w:left="2260" w:hanging="180"/>
      </w:pPr>
    </w:lvl>
    <w:lvl w:ilvl="3" w:tplc="0C09000F" w:tentative="1">
      <w:start w:val="1"/>
      <w:numFmt w:val="decimal"/>
      <w:lvlText w:val="%4."/>
      <w:lvlJc w:val="left"/>
      <w:pPr>
        <w:ind w:left="2980" w:hanging="360"/>
      </w:pPr>
    </w:lvl>
    <w:lvl w:ilvl="4" w:tplc="0C090019" w:tentative="1">
      <w:start w:val="1"/>
      <w:numFmt w:val="lowerLetter"/>
      <w:lvlText w:val="%5."/>
      <w:lvlJc w:val="left"/>
      <w:pPr>
        <w:ind w:left="3700" w:hanging="360"/>
      </w:pPr>
    </w:lvl>
    <w:lvl w:ilvl="5" w:tplc="0C09001B" w:tentative="1">
      <w:start w:val="1"/>
      <w:numFmt w:val="lowerRoman"/>
      <w:lvlText w:val="%6."/>
      <w:lvlJc w:val="right"/>
      <w:pPr>
        <w:ind w:left="4420" w:hanging="180"/>
      </w:pPr>
    </w:lvl>
    <w:lvl w:ilvl="6" w:tplc="0C09000F" w:tentative="1">
      <w:start w:val="1"/>
      <w:numFmt w:val="decimal"/>
      <w:lvlText w:val="%7."/>
      <w:lvlJc w:val="left"/>
      <w:pPr>
        <w:ind w:left="5140" w:hanging="360"/>
      </w:pPr>
    </w:lvl>
    <w:lvl w:ilvl="7" w:tplc="0C090019" w:tentative="1">
      <w:start w:val="1"/>
      <w:numFmt w:val="lowerLetter"/>
      <w:lvlText w:val="%8."/>
      <w:lvlJc w:val="left"/>
      <w:pPr>
        <w:ind w:left="5860" w:hanging="360"/>
      </w:pPr>
    </w:lvl>
    <w:lvl w:ilvl="8" w:tplc="0C09001B" w:tentative="1">
      <w:start w:val="1"/>
      <w:numFmt w:val="lowerRoman"/>
      <w:lvlText w:val="%9."/>
      <w:lvlJc w:val="right"/>
      <w:pPr>
        <w:ind w:left="6580" w:hanging="180"/>
      </w:pPr>
    </w:lvl>
  </w:abstractNum>
  <w:abstractNum w:abstractNumId="28">
    <w:nsid w:val="7E596934"/>
    <w:multiLevelType w:val="hybridMultilevel"/>
    <w:tmpl w:val="761454F2"/>
    <w:lvl w:ilvl="0" w:tplc="B6D6B3DC">
      <w:start w:val="1"/>
      <w:numFmt w:val="lowerLetter"/>
      <w:lvlText w:val="(%1)"/>
      <w:lvlJc w:val="left"/>
      <w:pPr>
        <w:ind w:left="402" w:hanging="360"/>
      </w:pPr>
      <w:rPr>
        <w:rFonts w:hint="default"/>
      </w:rPr>
    </w:lvl>
    <w:lvl w:ilvl="1" w:tplc="0C090019" w:tentative="1">
      <w:start w:val="1"/>
      <w:numFmt w:val="lowerLetter"/>
      <w:lvlText w:val="%2."/>
      <w:lvlJc w:val="left"/>
      <w:pPr>
        <w:ind w:left="1122" w:hanging="360"/>
      </w:pPr>
    </w:lvl>
    <w:lvl w:ilvl="2" w:tplc="0C09001B" w:tentative="1">
      <w:start w:val="1"/>
      <w:numFmt w:val="lowerRoman"/>
      <w:lvlText w:val="%3."/>
      <w:lvlJc w:val="right"/>
      <w:pPr>
        <w:ind w:left="1842" w:hanging="180"/>
      </w:pPr>
    </w:lvl>
    <w:lvl w:ilvl="3" w:tplc="0C09000F" w:tentative="1">
      <w:start w:val="1"/>
      <w:numFmt w:val="decimal"/>
      <w:lvlText w:val="%4."/>
      <w:lvlJc w:val="left"/>
      <w:pPr>
        <w:ind w:left="2562" w:hanging="360"/>
      </w:pPr>
    </w:lvl>
    <w:lvl w:ilvl="4" w:tplc="0C090019" w:tentative="1">
      <w:start w:val="1"/>
      <w:numFmt w:val="lowerLetter"/>
      <w:lvlText w:val="%5."/>
      <w:lvlJc w:val="left"/>
      <w:pPr>
        <w:ind w:left="3282" w:hanging="360"/>
      </w:pPr>
    </w:lvl>
    <w:lvl w:ilvl="5" w:tplc="0C09001B" w:tentative="1">
      <w:start w:val="1"/>
      <w:numFmt w:val="lowerRoman"/>
      <w:lvlText w:val="%6."/>
      <w:lvlJc w:val="right"/>
      <w:pPr>
        <w:ind w:left="4002" w:hanging="180"/>
      </w:pPr>
    </w:lvl>
    <w:lvl w:ilvl="6" w:tplc="0C09000F" w:tentative="1">
      <w:start w:val="1"/>
      <w:numFmt w:val="decimal"/>
      <w:lvlText w:val="%7."/>
      <w:lvlJc w:val="left"/>
      <w:pPr>
        <w:ind w:left="4722" w:hanging="360"/>
      </w:pPr>
    </w:lvl>
    <w:lvl w:ilvl="7" w:tplc="0C090019" w:tentative="1">
      <w:start w:val="1"/>
      <w:numFmt w:val="lowerLetter"/>
      <w:lvlText w:val="%8."/>
      <w:lvlJc w:val="left"/>
      <w:pPr>
        <w:ind w:left="5442" w:hanging="360"/>
      </w:pPr>
    </w:lvl>
    <w:lvl w:ilvl="8" w:tplc="0C09001B" w:tentative="1">
      <w:start w:val="1"/>
      <w:numFmt w:val="lowerRoman"/>
      <w:lvlText w:val="%9."/>
      <w:lvlJc w:val="right"/>
      <w:pPr>
        <w:ind w:left="6162" w:hanging="180"/>
      </w:pPr>
    </w:lvl>
  </w:abstractNum>
  <w:num w:numId="1">
    <w:abstractNumId w:val="15"/>
  </w:num>
  <w:num w:numId="2">
    <w:abstractNumId w:val="12"/>
  </w:num>
  <w:num w:numId="3">
    <w:abstractNumId w:val="26"/>
  </w:num>
  <w:num w:numId="4">
    <w:abstractNumId w:val="23"/>
  </w:num>
  <w:num w:numId="5">
    <w:abstractNumId w:val="16"/>
  </w:num>
  <w:num w:numId="6">
    <w:abstractNumId w:val="22"/>
  </w:num>
  <w:num w:numId="7">
    <w:abstractNumId w:val="11"/>
  </w:num>
  <w:num w:numId="8">
    <w:abstractNumId w:val="9"/>
  </w:num>
  <w:num w:numId="9">
    <w:abstractNumId w:val="13"/>
  </w:num>
  <w:num w:numId="10">
    <w:abstractNumId w:val="10"/>
  </w:num>
  <w:num w:numId="11">
    <w:abstractNumId w:val="5"/>
  </w:num>
  <w:num w:numId="12">
    <w:abstractNumId w:val="17"/>
  </w:num>
  <w:num w:numId="13">
    <w:abstractNumId w:val="6"/>
  </w:num>
  <w:num w:numId="14">
    <w:abstractNumId w:val="20"/>
  </w:num>
  <w:num w:numId="15">
    <w:abstractNumId w:val="1"/>
  </w:num>
  <w:num w:numId="16">
    <w:abstractNumId w:val="21"/>
  </w:num>
  <w:num w:numId="17">
    <w:abstractNumId w:val="28"/>
  </w:num>
  <w:num w:numId="18">
    <w:abstractNumId w:val="7"/>
  </w:num>
  <w:num w:numId="19">
    <w:abstractNumId w:val="14"/>
  </w:num>
  <w:num w:numId="20">
    <w:abstractNumId w:val="18"/>
  </w:num>
  <w:num w:numId="21">
    <w:abstractNumId w:val="19"/>
  </w:num>
  <w:num w:numId="22">
    <w:abstractNumId w:val="8"/>
  </w:num>
  <w:num w:numId="23">
    <w:abstractNumId w:val="4"/>
  </w:num>
  <w:num w:numId="24">
    <w:abstractNumId w:val="24"/>
  </w:num>
  <w:num w:numId="25">
    <w:abstractNumId w:val="3"/>
  </w:num>
  <w:num w:numId="26">
    <w:abstractNumId w:val="25"/>
  </w:num>
  <w:num w:numId="27">
    <w:abstractNumId w:val="2"/>
  </w:num>
  <w:num w:numId="28">
    <w:abstractNumId w:val="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E1"/>
    <w:rsid w:val="00031B43"/>
    <w:rsid w:val="0003309E"/>
    <w:rsid w:val="00035874"/>
    <w:rsid w:val="00055A6E"/>
    <w:rsid w:val="00084F91"/>
    <w:rsid w:val="000A4A11"/>
    <w:rsid w:val="000B6FC5"/>
    <w:rsid w:val="000B790D"/>
    <w:rsid w:val="000C5559"/>
    <w:rsid w:val="000E071E"/>
    <w:rsid w:val="000F5724"/>
    <w:rsid w:val="000F57D0"/>
    <w:rsid w:val="00115D79"/>
    <w:rsid w:val="00123680"/>
    <w:rsid w:val="00131502"/>
    <w:rsid w:val="001431C5"/>
    <w:rsid w:val="00146202"/>
    <w:rsid w:val="00182FA1"/>
    <w:rsid w:val="00196E52"/>
    <w:rsid w:val="001A2F36"/>
    <w:rsid w:val="001A6FA7"/>
    <w:rsid w:val="001B3BF6"/>
    <w:rsid w:val="001C02D8"/>
    <w:rsid w:val="001C6E9D"/>
    <w:rsid w:val="001E2EFE"/>
    <w:rsid w:val="001E6B9B"/>
    <w:rsid w:val="001E78E1"/>
    <w:rsid w:val="001F05AF"/>
    <w:rsid w:val="001F096C"/>
    <w:rsid w:val="002025EC"/>
    <w:rsid w:val="00223069"/>
    <w:rsid w:val="00230136"/>
    <w:rsid w:val="00241872"/>
    <w:rsid w:val="00245752"/>
    <w:rsid w:val="00256BC1"/>
    <w:rsid w:val="00266963"/>
    <w:rsid w:val="00273B4A"/>
    <w:rsid w:val="00292B14"/>
    <w:rsid w:val="00292B77"/>
    <w:rsid w:val="002B0987"/>
    <w:rsid w:val="002C5C2A"/>
    <w:rsid w:val="002D67A5"/>
    <w:rsid w:val="003025F0"/>
    <w:rsid w:val="00303B12"/>
    <w:rsid w:val="003116E1"/>
    <w:rsid w:val="0031375F"/>
    <w:rsid w:val="0031491B"/>
    <w:rsid w:val="00321766"/>
    <w:rsid w:val="0035177F"/>
    <w:rsid w:val="003629EA"/>
    <w:rsid w:val="00374913"/>
    <w:rsid w:val="00376D82"/>
    <w:rsid w:val="003A6F45"/>
    <w:rsid w:val="003B0ABC"/>
    <w:rsid w:val="003B617F"/>
    <w:rsid w:val="003C180B"/>
    <w:rsid w:val="003D41E9"/>
    <w:rsid w:val="003D5032"/>
    <w:rsid w:val="003D683F"/>
    <w:rsid w:val="003D7DC9"/>
    <w:rsid w:val="003E6B91"/>
    <w:rsid w:val="003E7770"/>
    <w:rsid w:val="00403C12"/>
    <w:rsid w:val="00410103"/>
    <w:rsid w:val="00425087"/>
    <w:rsid w:val="004311F5"/>
    <w:rsid w:val="0043266B"/>
    <w:rsid w:val="00432A37"/>
    <w:rsid w:val="00445AE1"/>
    <w:rsid w:val="00452781"/>
    <w:rsid w:val="0045584C"/>
    <w:rsid w:val="00456B68"/>
    <w:rsid w:val="004641EF"/>
    <w:rsid w:val="00481343"/>
    <w:rsid w:val="00496996"/>
    <w:rsid w:val="004B459A"/>
    <w:rsid w:val="004C2C2D"/>
    <w:rsid w:val="004C3D07"/>
    <w:rsid w:val="004C4728"/>
    <w:rsid w:val="004C6C9C"/>
    <w:rsid w:val="004D0CFD"/>
    <w:rsid w:val="004D5768"/>
    <w:rsid w:val="004D623D"/>
    <w:rsid w:val="004E587F"/>
    <w:rsid w:val="004F1650"/>
    <w:rsid w:val="004F3E76"/>
    <w:rsid w:val="00513D5D"/>
    <w:rsid w:val="005164AB"/>
    <w:rsid w:val="00516CDD"/>
    <w:rsid w:val="0052199F"/>
    <w:rsid w:val="005230A7"/>
    <w:rsid w:val="005310CB"/>
    <w:rsid w:val="00532D3F"/>
    <w:rsid w:val="00540963"/>
    <w:rsid w:val="00551D07"/>
    <w:rsid w:val="00552344"/>
    <w:rsid w:val="005535F8"/>
    <w:rsid w:val="00576B46"/>
    <w:rsid w:val="005A7025"/>
    <w:rsid w:val="005B523E"/>
    <w:rsid w:val="005D0E46"/>
    <w:rsid w:val="005D437B"/>
    <w:rsid w:val="005E1543"/>
    <w:rsid w:val="005E5910"/>
    <w:rsid w:val="005F0CFF"/>
    <w:rsid w:val="005F1EB3"/>
    <w:rsid w:val="005F2FB9"/>
    <w:rsid w:val="005F4970"/>
    <w:rsid w:val="005F747C"/>
    <w:rsid w:val="00607313"/>
    <w:rsid w:val="0061216B"/>
    <w:rsid w:val="00614FF9"/>
    <w:rsid w:val="00622480"/>
    <w:rsid w:val="006410F0"/>
    <w:rsid w:val="00647D58"/>
    <w:rsid w:val="00652C67"/>
    <w:rsid w:val="00654778"/>
    <w:rsid w:val="00684F73"/>
    <w:rsid w:val="0069295A"/>
    <w:rsid w:val="00693B57"/>
    <w:rsid w:val="006A48C8"/>
    <w:rsid w:val="006A5807"/>
    <w:rsid w:val="006B7429"/>
    <w:rsid w:val="006B7FA1"/>
    <w:rsid w:val="006C7D2E"/>
    <w:rsid w:val="006E1377"/>
    <w:rsid w:val="007001F3"/>
    <w:rsid w:val="00701610"/>
    <w:rsid w:val="007031F4"/>
    <w:rsid w:val="00704147"/>
    <w:rsid w:val="00706288"/>
    <w:rsid w:val="0071588A"/>
    <w:rsid w:val="00721B60"/>
    <w:rsid w:val="00740541"/>
    <w:rsid w:val="00775512"/>
    <w:rsid w:val="00776F3F"/>
    <w:rsid w:val="00784962"/>
    <w:rsid w:val="00794631"/>
    <w:rsid w:val="00795EDD"/>
    <w:rsid w:val="007B5052"/>
    <w:rsid w:val="007B67F3"/>
    <w:rsid w:val="007C1D42"/>
    <w:rsid w:val="007D1817"/>
    <w:rsid w:val="007D33E7"/>
    <w:rsid w:val="007E613A"/>
    <w:rsid w:val="007E63E7"/>
    <w:rsid w:val="00811403"/>
    <w:rsid w:val="00816A29"/>
    <w:rsid w:val="0082535B"/>
    <w:rsid w:val="00827F83"/>
    <w:rsid w:val="00841BA8"/>
    <w:rsid w:val="008535D8"/>
    <w:rsid w:val="00867A4C"/>
    <w:rsid w:val="00880378"/>
    <w:rsid w:val="008904F8"/>
    <w:rsid w:val="00892A65"/>
    <w:rsid w:val="008A094C"/>
    <w:rsid w:val="008C4452"/>
    <w:rsid w:val="008C6577"/>
    <w:rsid w:val="008D69A3"/>
    <w:rsid w:val="008E2A36"/>
    <w:rsid w:val="008E5AE2"/>
    <w:rsid w:val="0090681C"/>
    <w:rsid w:val="0092442A"/>
    <w:rsid w:val="00930171"/>
    <w:rsid w:val="009314E2"/>
    <w:rsid w:val="00935BC0"/>
    <w:rsid w:val="00935DC0"/>
    <w:rsid w:val="00935DE0"/>
    <w:rsid w:val="009453F2"/>
    <w:rsid w:val="00952F6E"/>
    <w:rsid w:val="009768B2"/>
    <w:rsid w:val="00991137"/>
    <w:rsid w:val="00995F60"/>
    <w:rsid w:val="009A7DAF"/>
    <w:rsid w:val="009B7D33"/>
    <w:rsid w:val="009C5368"/>
    <w:rsid w:val="009D3182"/>
    <w:rsid w:val="009E73B3"/>
    <w:rsid w:val="009F4631"/>
    <w:rsid w:val="00A1003B"/>
    <w:rsid w:val="00A1499A"/>
    <w:rsid w:val="00A45EB3"/>
    <w:rsid w:val="00A624FD"/>
    <w:rsid w:val="00A63A2B"/>
    <w:rsid w:val="00A65D28"/>
    <w:rsid w:val="00A70B81"/>
    <w:rsid w:val="00A74D82"/>
    <w:rsid w:val="00A85650"/>
    <w:rsid w:val="00A92E70"/>
    <w:rsid w:val="00A954DB"/>
    <w:rsid w:val="00A97A12"/>
    <w:rsid w:val="00AA11B6"/>
    <w:rsid w:val="00AA3E16"/>
    <w:rsid w:val="00AA7F4F"/>
    <w:rsid w:val="00AB7C18"/>
    <w:rsid w:val="00AC2517"/>
    <w:rsid w:val="00AC389F"/>
    <w:rsid w:val="00AD03E9"/>
    <w:rsid w:val="00AD119D"/>
    <w:rsid w:val="00B04B20"/>
    <w:rsid w:val="00B15798"/>
    <w:rsid w:val="00B4062E"/>
    <w:rsid w:val="00B456F9"/>
    <w:rsid w:val="00B525EB"/>
    <w:rsid w:val="00BA35D8"/>
    <w:rsid w:val="00BB0327"/>
    <w:rsid w:val="00BC0BFF"/>
    <w:rsid w:val="00BC5D24"/>
    <w:rsid w:val="00BD6E93"/>
    <w:rsid w:val="00BF1250"/>
    <w:rsid w:val="00C05F87"/>
    <w:rsid w:val="00C23042"/>
    <w:rsid w:val="00C27B41"/>
    <w:rsid w:val="00C302FA"/>
    <w:rsid w:val="00C5791C"/>
    <w:rsid w:val="00C65780"/>
    <w:rsid w:val="00C84A01"/>
    <w:rsid w:val="00C857CB"/>
    <w:rsid w:val="00C868CA"/>
    <w:rsid w:val="00CA6CB3"/>
    <w:rsid w:val="00CC54D8"/>
    <w:rsid w:val="00CE4A55"/>
    <w:rsid w:val="00CE7DA7"/>
    <w:rsid w:val="00D134A1"/>
    <w:rsid w:val="00D203C0"/>
    <w:rsid w:val="00D3351E"/>
    <w:rsid w:val="00D47B0C"/>
    <w:rsid w:val="00D64906"/>
    <w:rsid w:val="00D65B7D"/>
    <w:rsid w:val="00D6750A"/>
    <w:rsid w:val="00D8038F"/>
    <w:rsid w:val="00D8322A"/>
    <w:rsid w:val="00D926AE"/>
    <w:rsid w:val="00DB0B90"/>
    <w:rsid w:val="00DC0DE4"/>
    <w:rsid w:val="00DC6434"/>
    <w:rsid w:val="00DD2606"/>
    <w:rsid w:val="00DD3EFA"/>
    <w:rsid w:val="00DF3EFB"/>
    <w:rsid w:val="00E11128"/>
    <w:rsid w:val="00E15497"/>
    <w:rsid w:val="00E201A8"/>
    <w:rsid w:val="00E25951"/>
    <w:rsid w:val="00E53E69"/>
    <w:rsid w:val="00E74905"/>
    <w:rsid w:val="00E84E43"/>
    <w:rsid w:val="00E87122"/>
    <w:rsid w:val="00E874AA"/>
    <w:rsid w:val="00E90C89"/>
    <w:rsid w:val="00EA6881"/>
    <w:rsid w:val="00EC03BA"/>
    <w:rsid w:val="00EC5653"/>
    <w:rsid w:val="00EC6D6A"/>
    <w:rsid w:val="00ED15A1"/>
    <w:rsid w:val="00ED517C"/>
    <w:rsid w:val="00EE0CA4"/>
    <w:rsid w:val="00EF075F"/>
    <w:rsid w:val="00F032E1"/>
    <w:rsid w:val="00F04C69"/>
    <w:rsid w:val="00F1151D"/>
    <w:rsid w:val="00F15AA9"/>
    <w:rsid w:val="00F54AC5"/>
    <w:rsid w:val="00F608C3"/>
    <w:rsid w:val="00F6365B"/>
    <w:rsid w:val="00F7091A"/>
    <w:rsid w:val="00F72F14"/>
    <w:rsid w:val="00F73292"/>
    <w:rsid w:val="00F747F8"/>
    <w:rsid w:val="00F7706D"/>
    <w:rsid w:val="00F82024"/>
    <w:rsid w:val="00F8463E"/>
    <w:rsid w:val="00F856AB"/>
    <w:rsid w:val="00F90527"/>
    <w:rsid w:val="00F90666"/>
    <w:rsid w:val="00FA3A44"/>
    <w:rsid w:val="00FA5345"/>
    <w:rsid w:val="00FB4972"/>
    <w:rsid w:val="00FB6DDD"/>
    <w:rsid w:val="00FC37B3"/>
    <w:rsid w:val="00FC3EF1"/>
    <w:rsid w:val="00FD6D2E"/>
    <w:rsid w:val="00FE6A9E"/>
    <w:rsid w:val="00FE6B8D"/>
    <w:rsid w:val="00FF1D5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78E1"/>
    <w:rPr>
      <w:rFonts w:ascii="Times New Roman" w:eastAsia="Times New Roman" w:hAnsi="Times New Roman"/>
      <w:sz w:val="24"/>
      <w:lang w:eastAsia="en-AU"/>
    </w:rPr>
  </w:style>
  <w:style w:type="paragraph" w:styleId="Heading1">
    <w:name w:val="heading 1"/>
    <w:basedOn w:val="Normal"/>
    <w:next w:val="Normal"/>
    <w:link w:val="Heading1Char"/>
    <w:uiPriority w:val="5"/>
    <w:qFormat/>
    <w:rsid w:val="009C5368"/>
    <w:pPr>
      <w:keepNext/>
      <w:keepLines/>
      <w:outlineLvl w:val="0"/>
    </w:pPr>
    <w:rPr>
      <w:b/>
      <w:bCs/>
      <w:color w:val="000000"/>
      <w:sz w:val="26"/>
      <w:szCs w:val="26"/>
    </w:rPr>
  </w:style>
  <w:style w:type="paragraph" w:styleId="Heading2">
    <w:name w:val="heading 2"/>
    <w:basedOn w:val="Normal"/>
    <w:next w:val="Normal"/>
    <w:link w:val="Heading2Char"/>
    <w:uiPriority w:val="6"/>
    <w:unhideWhenUsed/>
    <w:qFormat/>
    <w:rsid w:val="009C5368"/>
    <w:pPr>
      <w:keepNext/>
      <w:keepLines/>
      <w:outlineLvl w:val="1"/>
    </w:pPr>
    <w:rPr>
      <w:b/>
      <w:bCs/>
      <w:color w:val="000000"/>
    </w:rPr>
  </w:style>
  <w:style w:type="paragraph" w:styleId="Heading3">
    <w:name w:val="heading 3"/>
    <w:basedOn w:val="Normal"/>
    <w:next w:val="Normal"/>
    <w:link w:val="Heading3Char"/>
    <w:uiPriority w:val="7"/>
    <w:unhideWhenUsed/>
    <w:qFormat/>
    <w:rsid w:val="00F7706D"/>
    <w:pPr>
      <w:keepNext/>
      <w:keepLines/>
      <w:outlineLvl w:val="2"/>
    </w:pPr>
    <w:rPr>
      <w:bCs/>
      <w:i/>
      <w:color w:val="000000"/>
    </w:rPr>
  </w:style>
  <w:style w:type="paragraph" w:styleId="Heading4">
    <w:name w:val="heading 4"/>
    <w:aliases w:val="General Heading"/>
    <w:basedOn w:val="Normal"/>
    <w:next w:val="Normal"/>
    <w:link w:val="Heading4Char"/>
    <w:uiPriority w:val="3"/>
    <w:unhideWhenUsed/>
    <w:qFormat/>
    <w:rsid w:val="005E5910"/>
    <w:pPr>
      <w:outlineLvl w:val="3"/>
    </w:pPr>
    <w:rPr>
      <w:color w:val="0C2577"/>
      <w:sz w:val="60"/>
    </w:rPr>
  </w:style>
  <w:style w:type="paragraph" w:styleId="Heading5">
    <w:name w:val="heading 5"/>
    <w:aliases w:val="Chapter Heading"/>
    <w:basedOn w:val="Normal"/>
    <w:next w:val="Normal"/>
    <w:link w:val="Heading5Char"/>
    <w:uiPriority w:val="4"/>
    <w:unhideWhenUsed/>
    <w:qFormat/>
    <w:rsid w:val="005E5910"/>
    <w:pPr>
      <w:outlineLvl w:val="4"/>
    </w:pPr>
    <w:rPr>
      <w:b/>
      <w:sz w:val="32"/>
    </w:rPr>
  </w:style>
  <w:style w:type="paragraph" w:styleId="Heading6">
    <w:name w:val="heading 6"/>
    <w:aliases w:val="Cover Page Heading"/>
    <w:basedOn w:val="Normal"/>
    <w:next w:val="Normal"/>
    <w:link w:val="Heading6Char"/>
    <w:uiPriority w:val="8"/>
    <w:unhideWhenUsed/>
    <w:qFormat/>
    <w:rsid w:val="00F7706D"/>
    <w:pPr>
      <w:keepNext/>
      <w:keepLines/>
      <w:spacing w:before="200"/>
      <w:outlineLvl w:val="5"/>
    </w:pPr>
    <w:rPr>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F7706D"/>
    <w:rPr>
      <w:rFonts w:ascii="Trebuchet MS" w:eastAsia="Times New Roman" w:hAnsi="Trebuchet MS" w:cs="Times New Roman"/>
      <w:b/>
      <w:bCs/>
      <w:color w:val="000000"/>
      <w:sz w:val="26"/>
      <w:szCs w:val="26"/>
    </w:rPr>
  </w:style>
  <w:style w:type="character" w:customStyle="1" w:styleId="Heading2Char">
    <w:name w:val="Heading 2 Char"/>
    <w:basedOn w:val="DefaultParagraphFont"/>
    <w:link w:val="Heading2"/>
    <w:uiPriority w:val="6"/>
    <w:rsid w:val="00F7706D"/>
    <w:rPr>
      <w:rFonts w:ascii="Trebuchet MS" w:eastAsia="Times New Roman" w:hAnsi="Trebuchet MS" w:cs="Times New Roman"/>
      <w:b/>
      <w:bCs/>
      <w:color w:val="000000"/>
    </w:rPr>
  </w:style>
  <w:style w:type="character" w:styleId="PlaceholderText">
    <w:name w:val="Placeholder Text"/>
    <w:basedOn w:val="DefaultParagraphFont"/>
    <w:uiPriority w:val="99"/>
    <w:semiHidden/>
    <w:rsid w:val="00B04B20"/>
    <w:rPr>
      <w:color w:val="808080"/>
    </w:rPr>
  </w:style>
  <w:style w:type="paragraph" w:styleId="BalloonText">
    <w:name w:val="Balloon Text"/>
    <w:basedOn w:val="Normal"/>
    <w:link w:val="BalloonTextChar"/>
    <w:uiPriority w:val="99"/>
    <w:semiHidden/>
    <w:unhideWhenUsed/>
    <w:rsid w:val="00B04B20"/>
    <w:rPr>
      <w:rFonts w:ascii="Tahoma" w:hAnsi="Tahoma" w:cs="Tahoma"/>
      <w:sz w:val="16"/>
      <w:szCs w:val="16"/>
    </w:rPr>
  </w:style>
  <w:style w:type="character" w:customStyle="1" w:styleId="BalloonTextChar">
    <w:name w:val="Balloon Text Char"/>
    <w:basedOn w:val="DefaultParagraphFont"/>
    <w:link w:val="BalloonText"/>
    <w:uiPriority w:val="99"/>
    <w:semiHidden/>
    <w:rsid w:val="00B04B20"/>
    <w:rPr>
      <w:rFonts w:ascii="Tahoma" w:hAnsi="Tahoma" w:cs="Tahoma"/>
      <w:sz w:val="16"/>
      <w:szCs w:val="16"/>
    </w:rPr>
  </w:style>
  <w:style w:type="character" w:customStyle="1" w:styleId="Heading3Char">
    <w:name w:val="Heading 3 Char"/>
    <w:basedOn w:val="DefaultParagraphFont"/>
    <w:link w:val="Heading3"/>
    <w:uiPriority w:val="7"/>
    <w:rsid w:val="00F7706D"/>
    <w:rPr>
      <w:rFonts w:ascii="Trebuchet MS" w:eastAsia="Times New Roman" w:hAnsi="Trebuchet MS" w:cs="Times New Roman"/>
      <w:bCs/>
      <w:i/>
      <w:color w:val="000000"/>
    </w:rPr>
  </w:style>
  <w:style w:type="character" w:customStyle="1" w:styleId="Heading4Char">
    <w:name w:val="Heading 4 Char"/>
    <w:aliases w:val="General Heading Char"/>
    <w:basedOn w:val="DefaultParagraphFont"/>
    <w:link w:val="Heading4"/>
    <w:uiPriority w:val="3"/>
    <w:rsid w:val="00F7706D"/>
    <w:rPr>
      <w:rFonts w:ascii="Trebuchet MS" w:hAnsi="Trebuchet MS"/>
      <w:color w:val="0C2577"/>
      <w:sz w:val="60"/>
    </w:rPr>
  </w:style>
  <w:style w:type="character" w:customStyle="1" w:styleId="Heading5Char">
    <w:name w:val="Heading 5 Char"/>
    <w:aliases w:val="Chapter Heading Char"/>
    <w:basedOn w:val="DefaultParagraphFont"/>
    <w:link w:val="Heading5"/>
    <w:uiPriority w:val="4"/>
    <w:rsid w:val="00F7706D"/>
    <w:rPr>
      <w:rFonts w:ascii="Trebuchet MS" w:hAnsi="Trebuchet MS"/>
      <w:b/>
      <w:sz w:val="32"/>
    </w:rPr>
  </w:style>
  <w:style w:type="character" w:customStyle="1" w:styleId="Heading6Char">
    <w:name w:val="Heading 6 Char"/>
    <w:aliases w:val="Cover Page Heading Char"/>
    <w:basedOn w:val="DefaultParagraphFont"/>
    <w:link w:val="Heading6"/>
    <w:uiPriority w:val="8"/>
    <w:rsid w:val="00F7706D"/>
    <w:rPr>
      <w:rFonts w:ascii="Trebuchet MS" w:eastAsia="Times New Roman" w:hAnsi="Trebuchet MS" w:cs="Times New Roman"/>
      <w:iCs/>
      <w:color w:val="0C2577"/>
      <w:sz w:val="90"/>
    </w:rPr>
  </w:style>
  <w:style w:type="paragraph" w:styleId="EnvelopeAddress">
    <w:name w:val="envelope address"/>
    <w:basedOn w:val="Normal"/>
    <w:uiPriority w:val="99"/>
    <w:semiHidden/>
    <w:unhideWhenUsed/>
    <w:rsid w:val="007031F4"/>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7031F4"/>
    <w:rPr>
      <w:sz w:val="20"/>
    </w:rPr>
  </w:style>
  <w:style w:type="paragraph" w:styleId="Title">
    <w:name w:val="Title"/>
    <w:basedOn w:val="Normal"/>
    <w:link w:val="TitleChar"/>
    <w:qFormat/>
    <w:rsid w:val="001E78E1"/>
    <w:pPr>
      <w:spacing w:before="360"/>
      <w:jc w:val="center"/>
    </w:pPr>
    <w:rPr>
      <w:b/>
      <w:sz w:val="32"/>
    </w:rPr>
  </w:style>
  <w:style w:type="character" w:customStyle="1" w:styleId="TitleChar">
    <w:name w:val="Title Char"/>
    <w:basedOn w:val="DefaultParagraphFont"/>
    <w:link w:val="Title"/>
    <w:rsid w:val="001E78E1"/>
    <w:rPr>
      <w:rFonts w:ascii="Times New Roman" w:eastAsia="Times New Roman" w:hAnsi="Times New Roman" w:cs="Times New Roman"/>
      <w:b/>
      <w:sz w:val="32"/>
      <w:szCs w:val="20"/>
      <w:lang w:eastAsia="en-AU"/>
    </w:rPr>
  </w:style>
  <w:style w:type="paragraph" w:styleId="BodyText">
    <w:name w:val="Body Text"/>
    <w:basedOn w:val="Normal"/>
    <w:link w:val="BodyTextChar"/>
    <w:rsid w:val="001E78E1"/>
    <w:pPr>
      <w:spacing w:after="240"/>
    </w:pPr>
  </w:style>
  <w:style w:type="character" w:customStyle="1" w:styleId="BodyTextChar">
    <w:name w:val="Body Text Char"/>
    <w:basedOn w:val="DefaultParagraphFont"/>
    <w:link w:val="BodyText"/>
    <w:rsid w:val="001E78E1"/>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995F60"/>
    <w:rPr>
      <w:sz w:val="16"/>
      <w:szCs w:val="16"/>
    </w:rPr>
  </w:style>
  <w:style w:type="paragraph" w:styleId="CommentText">
    <w:name w:val="annotation text"/>
    <w:basedOn w:val="Normal"/>
    <w:link w:val="CommentTextChar"/>
    <w:uiPriority w:val="99"/>
    <w:semiHidden/>
    <w:unhideWhenUsed/>
    <w:rsid w:val="00995F60"/>
    <w:rPr>
      <w:sz w:val="20"/>
    </w:rPr>
  </w:style>
  <w:style w:type="character" w:customStyle="1" w:styleId="CommentTextChar">
    <w:name w:val="Comment Text Char"/>
    <w:basedOn w:val="DefaultParagraphFont"/>
    <w:link w:val="CommentText"/>
    <w:uiPriority w:val="99"/>
    <w:semiHidden/>
    <w:rsid w:val="00995F60"/>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95F60"/>
    <w:rPr>
      <w:b/>
      <w:bCs/>
    </w:rPr>
  </w:style>
  <w:style w:type="character" w:customStyle="1" w:styleId="CommentSubjectChar">
    <w:name w:val="Comment Subject Char"/>
    <w:basedOn w:val="CommentTextChar"/>
    <w:link w:val="CommentSubject"/>
    <w:uiPriority w:val="99"/>
    <w:semiHidden/>
    <w:rsid w:val="00995F60"/>
    <w:rPr>
      <w:rFonts w:ascii="Times New Roman" w:eastAsia="Times New Roman" w:hAnsi="Times New Roman" w:cs="Times New Roman"/>
      <w:b/>
      <w:bCs/>
      <w:sz w:val="20"/>
      <w:szCs w:val="20"/>
      <w:lang w:eastAsia="en-AU"/>
    </w:rPr>
  </w:style>
  <w:style w:type="paragraph" w:styleId="Revision">
    <w:name w:val="Revision"/>
    <w:hidden/>
    <w:uiPriority w:val="99"/>
    <w:semiHidden/>
    <w:rsid w:val="00995F60"/>
    <w:rPr>
      <w:rFonts w:ascii="Times New Roman" w:eastAsia="Times New Roman" w:hAnsi="Times New Roman"/>
      <w:sz w:val="24"/>
      <w:lang w:eastAsia="en-AU"/>
    </w:rPr>
  </w:style>
  <w:style w:type="paragraph" w:styleId="ListParagraph">
    <w:name w:val="List Paragraph"/>
    <w:basedOn w:val="Normal"/>
    <w:link w:val="ListParagraphChar"/>
    <w:uiPriority w:val="34"/>
    <w:qFormat/>
    <w:rsid w:val="001C6E9D"/>
    <w:pPr>
      <w:ind w:left="720"/>
    </w:pPr>
    <w:rPr>
      <w:rFonts w:ascii="Trebuchet MS" w:eastAsia="Calibri" w:hAnsi="Trebuchet MS"/>
      <w:sz w:val="22"/>
      <w:szCs w:val="22"/>
      <w:lang w:eastAsia="en-US"/>
    </w:rPr>
  </w:style>
  <w:style w:type="paragraph" w:styleId="FootnoteText">
    <w:name w:val="footnote text"/>
    <w:basedOn w:val="Normal"/>
    <w:link w:val="FootnoteTextChar"/>
    <w:uiPriority w:val="99"/>
    <w:semiHidden/>
    <w:unhideWhenUsed/>
    <w:rsid w:val="00C27B41"/>
    <w:rPr>
      <w:sz w:val="20"/>
    </w:rPr>
  </w:style>
  <w:style w:type="character" w:customStyle="1" w:styleId="FootnoteTextChar">
    <w:name w:val="Footnote Text Char"/>
    <w:basedOn w:val="DefaultParagraphFont"/>
    <w:link w:val="FootnoteText"/>
    <w:uiPriority w:val="99"/>
    <w:semiHidden/>
    <w:rsid w:val="00C27B41"/>
    <w:rPr>
      <w:rFonts w:ascii="Times New Roman" w:eastAsia="Times New Roman" w:hAnsi="Times New Roman"/>
    </w:rPr>
  </w:style>
  <w:style w:type="character" w:styleId="FootnoteReference">
    <w:name w:val="footnote reference"/>
    <w:basedOn w:val="DefaultParagraphFont"/>
    <w:uiPriority w:val="99"/>
    <w:semiHidden/>
    <w:unhideWhenUsed/>
    <w:rsid w:val="00C27B41"/>
    <w:rPr>
      <w:vertAlign w:val="superscript"/>
    </w:rPr>
  </w:style>
  <w:style w:type="character" w:customStyle="1" w:styleId="ListParagraphChar">
    <w:name w:val="List Paragraph Char"/>
    <w:basedOn w:val="DefaultParagraphFont"/>
    <w:link w:val="ListParagraph"/>
    <w:uiPriority w:val="34"/>
    <w:rsid w:val="00223069"/>
    <w:rPr>
      <w:rFonts w:ascii="Trebuchet MS" w:hAnsi="Trebuchet MS"/>
      <w:sz w:val="22"/>
      <w:szCs w:val="22"/>
      <w:lang w:eastAsia="en-US"/>
    </w:rPr>
  </w:style>
  <w:style w:type="paragraph" w:styleId="Header">
    <w:name w:val="header"/>
    <w:basedOn w:val="Normal"/>
    <w:link w:val="HeaderChar"/>
    <w:uiPriority w:val="99"/>
    <w:unhideWhenUsed/>
    <w:rsid w:val="00ED517C"/>
    <w:pPr>
      <w:widowControl w:val="0"/>
      <w:tabs>
        <w:tab w:val="center" w:pos="4513"/>
        <w:tab w:val="right" w:pos="9026"/>
      </w:tabs>
    </w:pPr>
    <w:rPr>
      <w:rFonts w:ascii="Calibri" w:eastAsia="Calibri" w:hAnsi="Calibri"/>
      <w:sz w:val="22"/>
      <w:szCs w:val="22"/>
      <w:lang w:val="en-US" w:eastAsia="en-US"/>
    </w:rPr>
  </w:style>
  <w:style w:type="character" w:customStyle="1" w:styleId="HeaderChar">
    <w:name w:val="Header Char"/>
    <w:basedOn w:val="DefaultParagraphFont"/>
    <w:link w:val="Header"/>
    <w:uiPriority w:val="99"/>
    <w:rsid w:val="00ED517C"/>
    <w:rPr>
      <w:sz w:val="22"/>
      <w:szCs w:val="22"/>
      <w:lang w:val="en-US" w:eastAsia="en-US"/>
    </w:rPr>
  </w:style>
  <w:style w:type="table" w:styleId="TableGrid">
    <w:name w:val="Table Grid"/>
    <w:basedOn w:val="TableNormal"/>
    <w:uiPriority w:val="59"/>
    <w:rsid w:val="00ED517C"/>
    <w:rPr>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78E1"/>
    <w:rPr>
      <w:rFonts w:ascii="Times New Roman" w:eastAsia="Times New Roman" w:hAnsi="Times New Roman"/>
      <w:sz w:val="24"/>
      <w:lang w:eastAsia="en-AU"/>
    </w:rPr>
  </w:style>
  <w:style w:type="paragraph" w:styleId="Heading1">
    <w:name w:val="heading 1"/>
    <w:basedOn w:val="Normal"/>
    <w:next w:val="Normal"/>
    <w:link w:val="Heading1Char"/>
    <w:uiPriority w:val="5"/>
    <w:qFormat/>
    <w:rsid w:val="009C5368"/>
    <w:pPr>
      <w:keepNext/>
      <w:keepLines/>
      <w:outlineLvl w:val="0"/>
    </w:pPr>
    <w:rPr>
      <w:b/>
      <w:bCs/>
      <w:color w:val="000000"/>
      <w:sz w:val="26"/>
      <w:szCs w:val="26"/>
    </w:rPr>
  </w:style>
  <w:style w:type="paragraph" w:styleId="Heading2">
    <w:name w:val="heading 2"/>
    <w:basedOn w:val="Normal"/>
    <w:next w:val="Normal"/>
    <w:link w:val="Heading2Char"/>
    <w:uiPriority w:val="6"/>
    <w:unhideWhenUsed/>
    <w:qFormat/>
    <w:rsid w:val="009C5368"/>
    <w:pPr>
      <w:keepNext/>
      <w:keepLines/>
      <w:outlineLvl w:val="1"/>
    </w:pPr>
    <w:rPr>
      <w:b/>
      <w:bCs/>
      <w:color w:val="000000"/>
    </w:rPr>
  </w:style>
  <w:style w:type="paragraph" w:styleId="Heading3">
    <w:name w:val="heading 3"/>
    <w:basedOn w:val="Normal"/>
    <w:next w:val="Normal"/>
    <w:link w:val="Heading3Char"/>
    <w:uiPriority w:val="7"/>
    <w:unhideWhenUsed/>
    <w:qFormat/>
    <w:rsid w:val="00F7706D"/>
    <w:pPr>
      <w:keepNext/>
      <w:keepLines/>
      <w:outlineLvl w:val="2"/>
    </w:pPr>
    <w:rPr>
      <w:bCs/>
      <w:i/>
      <w:color w:val="000000"/>
    </w:rPr>
  </w:style>
  <w:style w:type="paragraph" w:styleId="Heading4">
    <w:name w:val="heading 4"/>
    <w:aliases w:val="General Heading"/>
    <w:basedOn w:val="Normal"/>
    <w:next w:val="Normal"/>
    <w:link w:val="Heading4Char"/>
    <w:uiPriority w:val="3"/>
    <w:unhideWhenUsed/>
    <w:qFormat/>
    <w:rsid w:val="005E5910"/>
    <w:pPr>
      <w:outlineLvl w:val="3"/>
    </w:pPr>
    <w:rPr>
      <w:color w:val="0C2577"/>
      <w:sz w:val="60"/>
    </w:rPr>
  </w:style>
  <w:style w:type="paragraph" w:styleId="Heading5">
    <w:name w:val="heading 5"/>
    <w:aliases w:val="Chapter Heading"/>
    <w:basedOn w:val="Normal"/>
    <w:next w:val="Normal"/>
    <w:link w:val="Heading5Char"/>
    <w:uiPriority w:val="4"/>
    <w:unhideWhenUsed/>
    <w:qFormat/>
    <w:rsid w:val="005E5910"/>
    <w:pPr>
      <w:outlineLvl w:val="4"/>
    </w:pPr>
    <w:rPr>
      <w:b/>
      <w:sz w:val="32"/>
    </w:rPr>
  </w:style>
  <w:style w:type="paragraph" w:styleId="Heading6">
    <w:name w:val="heading 6"/>
    <w:aliases w:val="Cover Page Heading"/>
    <w:basedOn w:val="Normal"/>
    <w:next w:val="Normal"/>
    <w:link w:val="Heading6Char"/>
    <w:uiPriority w:val="8"/>
    <w:unhideWhenUsed/>
    <w:qFormat/>
    <w:rsid w:val="00F7706D"/>
    <w:pPr>
      <w:keepNext/>
      <w:keepLines/>
      <w:spacing w:before="200"/>
      <w:outlineLvl w:val="5"/>
    </w:pPr>
    <w:rPr>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F7706D"/>
    <w:rPr>
      <w:rFonts w:ascii="Trebuchet MS" w:eastAsia="Times New Roman" w:hAnsi="Trebuchet MS" w:cs="Times New Roman"/>
      <w:b/>
      <w:bCs/>
      <w:color w:val="000000"/>
      <w:sz w:val="26"/>
      <w:szCs w:val="26"/>
    </w:rPr>
  </w:style>
  <w:style w:type="character" w:customStyle="1" w:styleId="Heading2Char">
    <w:name w:val="Heading 2 Char"/>
    <w:basedOn w:val="DefaultParagraphFont"/>
    <w:link w:val="Heading2"/>
    <w:uiPriority w:val="6"/>
    <w:rsid w:val="00F7706D"/>
    <w:rPr>
      <w:rFonts w:ascii="Trebuchet MS" w:eastAsia="Times New Roman" w:hAnsi="Trebuchet MS" w:cs="Times New Roman"/>
      <w:b/>
      <w:bCs/>
      <w:color w:val="000000"/>
    </w:rPr>
  </w:style>
  <w:style w:type="character" w:styleId="PlaceholderText">
    <w:name w:val="Placeholder Text"/>
    <w:basedOn w:val="DefaultParagraphFont"/>
    <w:uiPriority w:val="99"/>
    <w:semiHidden/>
    <w:rsid w:val="00B04B20"/>
    <w:rPr>
      <w:color w:val="808080"/>
    </w:rPr>
  </w:style>
  <w:style w:type="paragraph" w:styleId="BalloonText">
    <w:name w:val="Balloon Text"/>
    <w:basedOn w:val="Normal"/>
    <w:link w:val="BalloonTextChar"/>
    <w:uiPriority w:val="99"/>
    <w:semiHidden/>
    <w:unhideWhenUsed/>
    <w:rsid w:val="00B04B20"/>
    <w:rPr>
      <w:rFonts w:ascii="Tahoma" w:hAnsi="Tahoma" w:cs="Tahoma"/>
      <w:sz w:val="16"/>
      <w:szCs w:val="16"/>
    </w:rPr>
  </w:style>
  <w:style w:type="character" w:customStyle="1" w:styleId="BalloonTextChar">
    <w:name w:val="Balloon Text Char"/>
    <w:basedOn w:val="DefaultParagraphFont"/>
    <w:link w:val="BalloonText"/>
    <w:uiPriority w:val="99"/>
    <w:semiHidden/>
    <w:rsid w:val="00B04B20"/>
    <w:rPr>
      <w:rFonts w:ascii="Tahoma" w:hAnsi="Tahoma" w:cs="Tahoma"/>
      <w:sz w:val="16"/>
      <w:szCs w:val="16"/>
    </w:rPr>
  </w:style>
  <w:style w:type="character" w:customStyle="1" w:styleId="Heading3Char">
    <w:name w:val="Heading 3 Char"/>
    <w:basedOn w:val="DefaultParagraphFont"/>
    <w:link w:val="Heading3"/>
    <w:uiPriority w:val="7"/>
    <w:rsid w:val="00F7706D"/>
    <w:rPr>
      <w:rFonts w:ascii="Trebuchet MS" w:eastAsia="Times New Roman" w:hAnsi="Trebuchet MS" w:cs="Times New Roman"/>
      <w:bCs/>
      <w:i/>
      <w:color w:val="000000"/>
    </w:rPr>
  </w:style>
  <w:style w:type="character" w:customStyle="1" w:styleId="Heading4Char">
    <w:name w:val="Heading 4 Char"/>
    <w:aliases w:val="General Heading Char"/>
    <w:basedOn w:val="DefaultParagraphFont"/>
    <w:link w:val="Heading4"/>
    <w:uiPriority w:val="3"/>
    <w:rsid w:val="00F7706D"/>
    <w:rPr>
      <w:rFonts w:ascii="Trebuchet MS" w:hAnsi="Trebuchet MS"/>
      <w:color w:val="0C2577"/>
      <w:sz w:val="60"/>
    </w:rPr>
  </w:style>
  <w:style w:type="character" w:customStyle="1" w:styleId="Heading5Char">
    <w:name w:val="Heading 5 Char"/>
    <w:aliases w:val="Chapter Heading Char"/>
    <w:basedOn w:val="DefaultParagraphFont"/>
    <w:link w:val="Heading5"/>
    <w:uiPriority w:val="4"/>
    <w:rsid w:val="00F7706D"/>
    <w:rPr>
      <w:rFonts w:ascii="Trebuchet MS" w:hAnsi="Trebuchet MS"/>
      <w:b/>
      <w:sz w:val="32"/>
    </w:rPr>
  </w:style>
  <w:style w:type="character" w:customStyle="1" w:styleId="Heading6Char">
    <w:name w:val="Heading 6 Char"/>
    <w:aliases w:val="Cover Page Heading Char"/>
    <w:basedOn w:val="DefaultParagraphFont"/>
    <w:link w:val="Heading6"/>
    <w:uiPriority w:val="8"/>
    <w:rsid w:val="00F7706D"/>
    <w:rPr>
      <w:rFonts w:ascii="Trebuchet MS" w:eastAsia="Times New Roman" w:hAnsi="Trebuchet MS" w:cs="Times New Roman"/>
      <w:iCs/>
      <w:color w:val="0C2577"/>
      <w:sz w:val="90"/>
    </w:rPr>
  </w:style>
  <w:style w:type="paragraph" w:styleId="EnvelopeAddress">
    <w:name w:val="envelope address"/>
    <w:basedOn w:val="Normal"/>
    <w:uiPriority w:val="99"/>
    <w:semiHidden/>
    <w:unhideWhenUsed/>
    <w:rsid w:val="007031F4"/>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7031F4"/>
    <w:rPr>
      <w:sz w:val="20"/>
    </w:rPr>
  </w:style>
  <w:style w:type="paragraph" w:styleId="Title">
    <w:name w:val="Title"/>
    <w:basedOn w:val="Normal"/>
    <w:link w:val="TitleChar"/>
    <w:qFormat/>
    <w:rsid w:val="001E78E1"/>
    <w:pPr>
      <w:spacing w:before="360"/>
      <w:jc w:val="center"/>
    </w:pPr>
    <w:rPr>
      <w:b/>
      <w:sz w:val="32"/>
    </w:rPr>
  </w:style>
  <w:style w:type="character" w:customStyle="1" w:styleId="TitleChar">
    <w:name w:val="Title Char"/>
    <w:basedOn w:val="DefaultParagraphFont"/>
    <w:link w:val="Title"/>
    <w:rsid w:val="001E78E1"/>
    <w:rPr>
      <w:rFonts w:ascii="Times New Roman" w:eastAsia="Times New Roman" w:hAnsi="Times New Roman" w:cs="Times New Roman"/>
      <w:b/>
      <w:sz w:val="32"/>
      <w:szCs w:val="20"/>
      <w:lang w:eastAsia="en-AU"/>
    </w:rPr>
  </w:style>
  <w:style w:type="paragraph" w:styleId="BodyText">
    <w:name w:val="Body Text"/>
    <w:basedOn w:val="Normal"/>
    <w:link w:val="BodyTextChar"/>
    <w:rsid w:val="001E78E1"/>
    <w:pPr>
      <w:spacing w:after="240"/>
    </w:pPr>
  </w:style>
  <w:style w:type="character" w:customStyle="1" w:styleId="BodyTextChar">
    <w:name w:val="Body Text Char"/>
    <w:basedOn w:val="DefaultParagraphFont"/>
    <w:link w:val="BodyText"/>
    <w:rsid w:val="001E78E1"/>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995F60"/>
    <w:rPr>
      <w:sz w:val="16"/>
      <w:szCs w:val="16"/>
    </w:rPr>
  </w:style>
  <w:style w:type="paragraph" w:styleId="CommentText">
    <w:name w:val="annotation text"/>
    <w:basedOn w:val="Normal"/>
    <w:link w:val="CommentTextChar"/>
    <w:uiPriority w:val="99"/>
    <w:semiHidden/>
    <w:unhideWhenUsed/>
    <w:rsid w:val="00995F60"/>
    <w:rPr>
      <w:sz w:val="20"/>
    </w:rPr>
  </w:style>
  <w:style w:type="character" w:customStyle="1" w:styleId="CommentTextChar">
    <w:name w:val="Comment Text Char"/>
    <w:basedOn w:val="DefaultParagraphFont"/>
    <w:link w:val="CommentText"/>
    <w:uiPriority w:val="99"/>
    <w:semiHidden/>
    <w:rsid w:val="00995F60"/>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95F60"/>
    <w:rPr>
      <w:b/>
      <w:bCs/>
    </w:rPr>
  </w:style>
  <w:style w:type="character" w:customStyle="1" w:styleId="CommentSubjectChar">
    <w:name w:val="Comment Subject Char"/>
    <w:basedOn w:val="CommentTextChar"/>
    <w:link w:val="CommentSubject"/>
    <w:uiPriority w:val="99"/>
    <w:semiHidden/>
    <w:rsid w:val="00995F60"/>
    <w:rPr>
      <w:rFonts w:ascii="Times New Roman" w:eastAsia="Times New Roman" w:hAnsi="Times New Roman" w:cs="Times New Roman"/>
      <w:b/>
      <w:bCs/>
      <w:sz w:val="20"/>
      <w:szCs w:val="20"/>
      <w:lang w:eastAsia="en-AU"/>
    </w:rPr>
  </w:style>
  <w:style w:type="paragraph" w:styleId="Revision">
    <w:name w:val="Revision"/>
    <w:hidden/>
    <w:uiPriority w:val="99"/>
    <w:semiHidden/>
    <w:rsid w:val="00995F60"/>
    <w:rPr>
      <w:rFonts w:ascii="Times New Roman" w:eastAsia="Times New Roman" w:hAnsi="Times New Roman"/>
      <w:sz w:val="24"/>
      <w:lang w:eastAsia="en-AU"/>
    </w:rPr>
  </w:style>
  <w:style w:type="paragraph" w:styleId="ListParagraph">
    <w:name w:val="List Paragraph"/>
    <w:basedOn w:val="Normal"/>
    <w:link w:val="ListParagraphChar"/>
    <w:uiPriority w:val="34"/>
    <w:qFormat/>
    <w:rsid w:val="001C6E9D"/>
    <w:pPr>
      <w:ind w:left="720"/>
    </w:pPr>
    <w:rPr>
      <w:rFonts w:ascii="Trebuchet MS" w:eastAsia="Calibri" w:hAnsi="Trebuchet MS"/>
      <w:sz w:val="22"/>
      <w:szCs w:val="22"/>
      <w:lang w:eastAsia="en-US"/>
    </w:rPr>
  </w:style>
  <w:style w:type="paragraph" w:styleId="FootnoteText">
    <w:name w:val="footnote text"/>
    <w:basedOn w:val="Normal"/>
    <w:link w:val="FootnoteTextChar"/>
    <w:uiPriority w:val="99"/>
    <w:semiHidden/>
    <w:unhideWhenUsed/>
    <w:rsid w:val="00C27B41"/>
    <w:rPr>
      <w:sz w:val="20"/>
    </w:rPr>
  </w:style>
  <w:style w:type="character" w:customStyle="1" w:styleId="FootnoteTextChar">
    <w:name w:val="Footnote Text Char"/>
    <w:basedOn w:val="DefaultParagraphFont"/>
    <w:link w:val="FootnoteText"/>
    <w:uiPriority w:val="99"/>
    <w:semiHidden/>
    <w:rsid w:val="00C27B41"/>
    <w:rPr>
      <w:rFonts w:ascii="Times New Roman" w:eastAsia="Times New Roman" w:hAnsi="Times New Roman"/>
    </w:rPr>
  </w:style>
  <w:style w:type="character" w:styleId="FootnoteReference">
    <w:name w:val="footnote reference"/>
    <w:basedOn w:val="DefaultParagraphFont"/>
    <w:uiPriority w:val="99"/>
    <w:semiHidden/>
    <w:unhideWhenUsed/>
    <w:rsid w:val="00C27B41"/>
    <w:rPr>
      <w:vertAlign w:val="superscript"/>
    </w:rPr>
  </w:style>
  <w:style w:type="character" w:customStyle="1" w:styleId="ListParagraphChar">
    <w:name w:val="List Paragraph Char"/>
    <w:basedOn w:val="DefaultParagraphFont"/>
    <w:link w:val="ListParagraph"/>
    <w:uiPriority w:val="34"/>
    <w:rsid w:val="00223069"/>
    <w:rPr>
      <w:rFonts w:ascii="Trebuchet MS" w:hAnsi="Trebuchet MS"/>
      <w:sz w:val="22"/>
      <w:szCs w:val="22"/>
      <w:lang w:eastAsia="en-US"/>
    </w:rPr>
  </w:style>
  <w:style w:type="paragraph" w:styleId="Header">
    <w:name w:val="header"/>
    <w:basedOn w:val="Normal"/>
    <w:link w:val="HeaderChar"/>
    <w:uiPriority w:val="99"/>
    <w:unhideWhenUsed/>
    <w:rsid w:val="00ED517C"/>
    <w:pPr>
      <w:widowControl w:val="0"/>
      <w:tabs>
        <w:tab w:val="center" w:pos="4513"/>
        <w:tab w:val="right" w:pos="9026"/>
      </w:tabs>
    </w:pPr>
    <w:rPr>
      <w:rFonts w:ascii="Calibri" w:eastAsia="Calibri" w:hAnsi="Calibri"/>
      <w:sz w:val="22"/>
      <w:szCs w:val="22"/>
      <w:lang w:val="en-US" w:eastAsia="en-US"/>
    </w:rPr>
  </w:style>
  <w:style w:type="character" w:customStyle="1" w:styleId="HeaderChar">
    <w:name w:val="Header Char"/>
    <w:basedOn w:val="DefaultParagraphFont"/>
    <w:link w:val="Header"/>
    <w:uiPriority w:val="99"/>
    <w:rsid w:val="00ED517C"/>
    <w:rPr>
      <w:sz w:val="22"/>
      <w:szCs w:val="22"/>
      <w:lang w:val="en-US" w:eastAsia="en-US"/>
    </w:rPr>
  </w:style>
  <w:style w:type="table" w:styleId="TableGrid">
    <w:name w:val="Table Grid"/>
    <w:basedOn w:val="TableNormal"/>
    <w:uiPriority w:val="59"/>
    <w:rsid w:val="00ED517C"/>
    <w:rPr>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0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4604E-87EC-4FED-A050-365AA56E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3738</Words>
  <Characters>21313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APRA</Company>
  <LinksUpToDate>false</LinksUpToDate>
  <CharactersWithSpaces>25001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axocon</dc:creator>
  <cp:lastModifiedBy>Antonietta Discala</cp:lastModifiedBy>
  <cp:revision>2</cp:revision>
  <cp:lastPrinted>2013-12-04T23:12:00Z</cp:lastPrinted>
  <dcterms:created xsi:type="dcterms:W3CDTF">2013-12-09T19:55:00Z</dcterms:created>
  <dcterms:modified xsi:type="dcterms:W3CDTF">2013-12-09T19:55:00Z</dcterms:modified>
</cp:coreProperties>
</file>