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2D" w:rsidRDefault="006B3A2D" w:rsidP="006B3A2D">
      <w:pPr>
        <w:jc w:val="center"/>
        <w:rPr>
          <w:b/>
          <w:sz w:val="28"/>
        </w:rPr>
      </w:pPr>
      <w:r>
        <w:rPr>
          <w:b/>
          <w:sz w:val="28"/>
        </w:rPr>
        <w:t>EXPLANATORY STATEMENT</w:t>
      </w:r>
    </w:p>
    <w:p w:rsidR="006B3A2D" w:rsidRDefault="006B3A2D" w:rsidP="006B3A2D">
      <w:pPr>
        <w:jc w:val="center"/>
        <w:rPr>
          <w:b/>
          <w:sz w:val="28"/>
        </w:rPr>
      </w:pPr>
    </w:p>
    <w:p w:rsidR="006B3A2D" w:rsidRDefault="006B3A2D" w:rsidP="006B3A2D">
      <w:pPr>
        <w:jc w:val="center"/>
        <w:rPr>
          <w:b/>
          <w:sz w:val="28"/>
        </w:rPr>
      </w:pPr>
    </w:p>
    <w:p w:rsidR="006B3A2D" w:rsidRPr="0085003F" w:rsidRDefault="006B3A2D" w:rsidP="006B3A2D">
      <w:pPr>
        <w:jc w:val="center"/>
        <w:rPr>
          <w:b/>
          <w:sz w:val="28"/>
          <w:u w:val="single"/>
        </w:rPr>
      </w:pPr>
      <w:r w:rsidRPr="0085003F">
        <w:rPr>
          <w:b/>
          <w:sz w:val="28"/>
          <w:u w:val="single"/>
        </w:rPr>
        <w:t>Se</w:t>
      </w:r>
      <w:r w:rsidR="001B5CF4" w:rsidRPr="0085003F">
        <w:rPr>
          <w:b/>
          <w:sz w:val="28"/>
          <w:u w:val="single"/>
        </w:rPr>
        <w:t xml:space="preserve">lect Legislative Instrument </w:t>
      </w:r>
      <w:r w:rsidR="0085003F">
        <w:rPr>
          <w:b/>
          <w:sz w:val="28"/>
          <w:u w:val="single"/>
        </w:rPr>
        <w:t xml:space="preserve">No. 256, </w:t>
      </w:r>
      <w:r w:rsidR="001B5CF4" w:rsidRPr="0085003F">
        <w:rPr>
          <w:b/>
          <w:sz w:val="28"/>
          <w:u w:val="single"/>
        </w:rPr>
        <w:t>20</w:t>
      </w:r>
      <w:r w:rsidR="00746814" w:rsidRPr="0085003F">
        <w:rPr>
          <w:b/>
          <w:sz w:val="28"/>
          <w:u w:val="single"/>
        </w:rPr>
        <w:t>1</w:t>
      </w:r>
      <w:r w:rsidR="0008375D" w:rsidRPr="0085003F">
        <w:rPr>
          <w:b/>
          <w:sz w:val="28"/>
          <w:u w:val="single"/>
        </w:rPr>
        <w:t>3</w:t>
      </w:r>
    </w:p>
    <w:p w:rsidR="006B3A2D" w:rsidRDefault="006B3A2D" w:rsidP="006B3A2D">
      <w:pPr>
        <w:jc w:val="center"/>
        <w:rPr>
          <w:b/>
          <w:sz w:val="28"/>
        </w:rPr>
      </w:pPr>
    </w:p>
    <w:p w:rsidR="006B3A2D" w:rsidRDefault="006B3A2D" w:rsidP="006B3A2D">
      <w:pPr>
        <w:pStyle w:val="Heading3"/>
      </w:pPr>
      <w:r>
        <w:t>Issued by the authority of the</w:t>
      </w:r>
    </w:p>
    <w:p w:rsidR="006B3A2D" w:rsidRDefault="006B3A2D" w:rsidP="006B3A2D">
      <w:pPr>
        <w:pStyle w:val="Heading3"/>
      </w:pPr>
      <w:r>
        <w:t>Judges of the Federal Court of Australia</w:t>
      </w:r>
    </w:p>
    <w:p w:rsidR="006B3A2D" w:rsidRDefault="006B3A2D" w:rsidP="006B3A2D">
      <w:pPr>
        <w:jc w:val="center"/>
        <w:rPr>
          <w:b/>
          <w:sz w:val="28"/>
        </w:rPr>
      </w:pPr>
    </w:p>
    <w:p w:rsidR="006B3A2D" w:rsidRDefault="006B3A2D" w:rsidP="006B3A2D">
      <w:pPr>
        <w:jc w:val="center"/>
        <w:rPr>
          <w:b/>
          <w:sz w:val="28"/>
        </w:rPr>
      </w:pPr>
    </w:p>
    <w:p w:rsidR="006B3A2D" w:rsidRDefault="006B3A2D" w:rsidP="006B3A2D">
      <w:pPr>
        <w:jc w:val="center"/>
        <w:rPr>
          <w:b/>
          <w:sz w:val="28"/>
        </w:rPr>
      </w:pPr>
      <w:bookmarkStart w:id="0" w:name="_GoBack"/>
      <w:r>
        <w:rPr>
          <w:b/>
          <w:sz w:val="28"/>
        </w:rPr>
        <w:t>Federal C</w:t>
      </w:r>
      <w:r w:rsidR="00DD179D">
        <w:rPr>
          <w:b/>
          <w:sz w:val="28"/>
        </w:rPr>
        <w:t xml:space="preserve">ourt Amendment </w:t>
      </w:r>
      <w:r w:rsidR="00E47ED2">
        <w:rPr>
          <w:b/>
          <w:sz w:val="28"/>
        </w:rPr>
        <w:t xml:space="preserve">(Electronic Court File Measures No. 1) </w:t>
      </w:r>
      <w:r w:rsidR="00DD179D">
        <w:rPr>
          <w:b/>
          <w:sz w:val="28"/>
        </w:rPr>
        <w:t>Rules 20</w:t>
      </w:r>
      <w:r w:rsidR="003C524A">
        <w:rPr>
          <w:b/>
          <w:sz w:val="28"/>
        </w:rPr>
        <w:t>1</w:t>
      </w:r>
      <w:r w:rsidR="0008375D">
        <w:rPr>
          <w:b/>
          <w:sz w:val="28"/>
        </w:rPr>
        <w:t>3</w:t>
      </w:r>
    </w:p>
    <w:bookmarkEnd w:id="0"/>
    <w:p w:rsidR="006B3A2D" w:rsidRDefault="006B3A2D" w:rsidP="006B3A2D">
      <w:pPr>
        <w:rPr>
          <w:b/>
        </w:rPr>
      </w:pPr>
    </w:p>
    <w:p w:rsidR="006B3A2D" w:rsidRDefault="006B3A2D" w:rsidP="006B3A2D">
      <w:pPr>
        <w:rPr>
          <w:b/>
        </w:rPr>
      </w:pPr>
    </w:p>
    <w:p w:rsidR="006B3A2D" w:rsidRDefault="006B3A2D" w:rsidP="006B3A2D">
      <w:r>
        <w:t xml:space="preserve">Section 59 of the </w:t>
      </w:r>
      <w:r>
        <w:rPr>
          <w:i/>
        </w:rPr>
        <w:t xml:space="preserve">Federal Court of Australia Act 1976 </w:t>
      </w:r>
      <w:r>
        <w:t>permits the Judges of the Court or a majority of them, to make rules of Court not inconsistent with the Act</w:t>
      </w:r>
      <w:r w:rsidR="00175829">
        <w:t xml:space="preserve">.  </w:t>
      </w:r>
      <w:r>
        <w:t>These rules may provide for the practice and procedure to be followed in the Court and in Registries of the Court</w:t>
      </w:r>
      <w:r w:rsidR="00175829">
        <w:t xml:space="preserve">.  </w:t>
      </w:r>
      <w:r>
        <w:t>They may extend to all matters incidental to any such practice or procedure that are necessary or convenient to be prescribed for the conduct of any business of the Court.</w:t>
      </w:r>
    </w:p>
    <w:p w:rsidR="006B3A2D" w:rsidRDefault="006B3A2D" w:rsidP="006B3A2D"/>
    <w:p w:rsidR="006B3A2D" w:rsidRDefault="006B3A2D" w:rsidP="006B3A2D">
      <w:r>
        <w:t>Under s</w:t>
      </w:r>
      <w:r w:rsidR="00F548F9">
        <w:t>ubsection 59</w:t>
      </w:r>
      <w:r>
        <w:t xml:space="preserve">(4) of the </w:t>
      </w:r>
      <w:r>
        <w:rPr>
          <w:i/>
        </w:rPr>
        <w:t>Federal Court of Australia Act</w:t>
      </w:r>
      <w:r>
        <w:t xml:space="preserve"> </w:t>
      </w:r>
      <w:r>
        <w:rPr>
          <w:i/>
        </w:rPr>
        <w:t>1976</w:t>
      </w:r>
      <w:r>
        <w:t xml:space="preserve">, the </w:t>
      </w:r>
      <w:r>
        <w:rPr>
          <w:i/>
        </w:rPr>
        <w:t xml:space="preserve">Legislative Instruments Act 2003 </w:t>
      </w:r>
      <w:r>
        <w:t xml:space="preserve">(other than sections 5, 6, 7, 10, 11 and 16 of that Act) applies in relation to rules of court made by the Court under the </w:t>
      </w:r>
      <w:r>
        <w:rPr>
          <w:i/>
        </w:rPr>
        <w:t>Federal Court of Australia Act</w:t>
      </w:r>
      <w:r>
        <w:t xml:space="preserve"> </w:t>
      </w:r>
      <w:r>
        <w:rPr>
          <w:i/>
        </w:rPr>
        <w:t xml:space="preserve">1976 </w:t>
      </w:r>
      <w:r>
        <w:t xml:space="preserve">or another Act: </w:t>
      </w:r>
    </w:p>
    <w:p w:rsidR="006B3A2D" w:rsidRDefault="006B3A2D" w:rsidP="006B3A2D">
      <w:pPr>
        <w:numPr>
          <w:ilvl w:val="0"/>
          <w:numId w:val="1"/>
        </w:numPr>
      </w:pPr>
      <w:r>
        <w:t xml:space="preserve">as if a reference to a legislative instrument were a reference to a rule of court; and </w:t>
      </w:r>
    </w:p>
    <w:p w:rsidR="006B3A2D" w:rsidRDefault="006B3A2D" w:rsidP="006B3A2D">
      <w:pPr>
        <w:numPr>
          <w:ilvl w:val="0"/>
          <w:numId w:val="1"/>
        </w:numPr>
      </w:pPr>
      <w:r>
        <w:t xml:space="preserve">as if a reference to a rule-maker were a reference to the Chief Justice acting on behalf of the Judges of the Court; and </w:t>
      </w:r>
    </w:p>
    <w:p w:rsidR="006B3A2D" w:rsidRDefault="006B3A2D" w:rsidP="006B3A2D">
      <w:pPr>
        <w:numPr>
          <w:ilvl w:val="0"/>
          <w:numId w:val="1"/>
        </w:numPr>
      </w:pPr>
      <w:r>
        <w:t xml:space="preserve">subject to such further modifications or adaptations as are provided for in regulations made under section 59A of the </w:t>
      </w:r>
      <w:r>
        <w:rPr>
          <w:i/>
        </w:rPr>
        <w:t>Federal Court of Australia Act</w:t>
      </w:r>
      <w:r>
        <w:t xml:space="preserve"> </w:t>
      </w:r>
      <w:r>
        <w:rPr>
          <w:i/>
        </w:rPr>
        <w:t>1976</w:t>
      </w:r>
      <w:r>
        <w:t>.</w:t>
      </w:r>
    </w:p>
    <w:p w:rsidR="006B3A2D" w:rsidRDefault="006B3A2D" w:rsidP="006B3A2D">
      <w:pPr>
        <w:pStyle w:val="Header"/>
        <w:tabs>
          <w:tab w:val="clear" w:pos="8640"/>
          <w:tab w:val="left" w:pos="4320"/>
        </w:tabs>
      </w:pPr>
    </w:p>
    <w:p w:rsidR="006B3A2D" w:rsidRDefault="006B3A2D" w:rsidP="006B3A2D">
      <w:r>
        <w:t xml:space="preserve">The </w:t>
      </w:r>
      <w:r w:rsidR="00501DBE" w:rsidRPr="00010925">
        <w:t>Federal</w:t>
      </w:r>
      <w:r w:rsidR="00501DBE">
        <w:t xml:space="preserve"> </w:t>
      </w:r>
      <w:r w:rsidR="00501DBE" w:rsidRPr="00010925">
        <w:t>Court</w:t>
      </w:r>
      <w:r w:rsidR="00501DBE">
        <w:t xml:space="preserve"> </w:t>
      </w:r>
      <w:r w:rsidR="00501DBE" w:rsidRPr="00010925">
        <w:t>Rules</w:t>
      </w:r>
      <w:r w:rsidR="00501DBE">
        <w:t xml:space="preserve"> 2011 (FCR 2011)</w:t>
      </w:r>
      <w:r w:rsidR="00402097">
        <w:t xml:space="preserve"> </w:t>
      </w:r>
      <w:r>
        <w:t xml:space="preserve">came into operation on 1 August </w:t>
      </w:r>
      <w:r w:rsidR="00402097">
        <w:t>2011</w:t>
      </w:r>
      <w:r w:rsidR="001D42EF">
        <w:t>.  The</w:t>
      </w:r>
      <w:r w:rsidR="004C5609">
        <w:t>se</w:t>
      </w:r>
      <w:r w:rsidR="001D42EF">
        <w:t xml:space="preserve"> rules </w:t>
      </w:r>
      <w:r>
        <w:t>are reviewed regularly.</w:t>
      </w:r>
    </w:p>
    <w:p w:rsidR="006B3A2D" w:rsidRDefault="006B3A2D" w:rsidP="006B3A2D"/>
    <w:p w:rsidR="00D6479E" w:rsidRDefault="00D6479E" w:rsidP="00D6479E">
      <w:r>
        <w:t xml:space="preserve">Section 9 of the </w:t>
      </w:r>
      <w:r w:rsidRPr="001E68DC">
        <w:rPr>
          <w:i/>
        </w:rPr>
        <w:t>Legislative Instruments Act 2003</w:t>
      </w:r>
      <w:r>
        <w:t xml:space="preserve"> provides that Rules of Court made for the Federal Court of Australia are not legislative instruments for the purposes of that Act.  As a result the </w:t>
      </w:r>
      <w:r>
        <w:rPr>
          <w:i/>
        </w:rPr>
        <w:t>Human Rights (Parliamentary Scrutiny) Act 2011</w:t>
      </w:r>
      <w:r>
        <w:t xml:space="preserve"> does not apply to any such Rules of Court and no statement of compatibility for the purposes of that latter Act is included in this Explanatory Statement.</w:t>
      </w:r>
    </w:p>
    <w:p w:rsidR="00D6479E" w:rsidRDefault="00D6479E" w:rsidP="006B3A2D"/>
    <w:p w:rsidR="00B54B5F" w:rsidRDefault="004C5609" w:rsidP="00E154A6">
      <w:r>
        <w:rPr>
          <w:szCs w:val="24"/>
        </w:rPr>
        <w:t>A</w:t>
      </w:r>
      <w:r w:rsidRPr="000B630D">
        <w:rPr>
          <w:szCs w:val="24"/>
        </w:rPr>
        <w:t xml:space="preserve">t the Judges’ Meeting held </w:t>
      </w:r>
      <w:r>
        <w:rPr>
          <w:szCs w:val="24"/>
        </w:rPr>
        <w:t>o</w:t>
      </w:r>
      <w:r w:rsidRPr="000B630D">
        <w:rPr>
          <w:szCs w:val="24"/>
        </w:rPr>
        <w:t xml:space="preserve">n </w:t>
      </w:r>
      <w:r>
        <w:rPr>
          <w:szCs w:val="24"/>
        </w:rPr>
        <w:t>21 August</w:t>
      </w:r>
      <w:r w:rsidRPr="000B630D">
        <w:rPr>
          <w:szCs w:val="24"/>
        </w:rPr>
        <w:t xml:space="preserve"> 2013</w:t>
      </w:r>
      <w:r>
        <w:rPr>
          <w:szCs w:val="24"/>
        </w:rPr>
        <w:t>, t</w:t>
      </w:r>
      <w:r w:rsidR="00E154A6" w:rsidRPr="00010925">
        <w:t>he</w:t>
      </w:r>
      <w:r w:rsidR="00E154A6">
        <w:t xml:space="preserve"> </w:t>
      </w:r>
      <w:r w:rsidR="00E154A6" w:rsidRPr="00010925">
        <w:t>Judges</w:t>
      </w:r>
      <w:r w:rsidR="00E154A6">
        <w:t xml:space="preserve"> </w:t>
      </w:r>
      <w:r w:rsidR="00E154A6" w:rsidRPr="00010925">
        <w:t>agreed</w:t>
      </w:r>
      <w:r w:rsidR="00E154A6">
        <w:t xml:space="preserve"> </w:t>
      </w:r>
      <w:r w:rsidR="00E154A6" w:rsidRPr="00010925">
        <w:t>to</w:t>
      </w:r>
      <w:r w:rsidR="00E154A6">
        <w:t xml:space="preserve"> </w:t>
      </w:r>
      <w:r w:rsidR="00E154A6" w:rsidRPr="00010925">
        <w:t>amend</w:t>
      </w:r>
      <w:r w:rsidR="00E154A6">
        <w:t xml:space="preserve"> </w:t>
      </w:r>
      <w:r w:rsidR="00E154A6" w:rsidRPr="00010925">
        <w:t>the</w:t>
      </w:r>
      <w:r w:rsidR="00E154A6">
        <w:t xml:space="preserve"> </w:t>
      </w:r>
      <w:r w:rsidR="00501DBE">
        <w:t xml:space="preserve">FCR 2011 </w:t>
      </w:r>
      <w:r w:rsidR="002B626C">
        <w:t xml:space="preserve">to support the </w:t>
      </w:r>
      <w:r w:rsidR="0082687F">
        <w:t xml:space="preserve">first stage of the </w:t>
      </w:r>
      <w:r w:rsidR="002B626C">
        <w:t>implementation in the Federal Co</w:t>
      </w:r>
      <w:r w:rsidR="0082687F">
        <w:t xml:space="preserve">urt of an electronic court file.  That implementation is proposed </w:t>
      </w:r>
      <w:r w:rsidR="002B626C">
        <w:t>through a gradual transition</w:t>
      </w:r>
      <w:r w:rsidR="0082687F">
        <w:t xml:space="preserve"> over several stages.  During the transition the Court’s </w:t>
      </w:r>
      <w:r w:rsidR="002B626C">
        <w:t xml:space="preserve">rules must support </w:t>
      </w:r>
      <w:r w:rsidR="0082687F">
        <w:t xml:space="preserve">both </w:t>
      </w:r>
      <w:r w:rsidR="002B626C">
        <w:t xml:space="preserve">the existing paper based and the new electronic court files.  The amendments are to accommodate </w:t>
      </w:r>
      <w:r w:rsidR="00FE2FE0">
        <w:t xml:space="preserve">changes to </w:t>
      </w:r>
      <w:r w:rsidR="002B626C">
        <w:t xml:space="preserve">such things as </w:t>
      </w:r>
      <w:r w:rsidR="00FE2FE0">
        <w:t xml:space="preserve">use of stamps and seals; preparation and lodging of documents; redacting, amending and removing documents; </w:t>
      </w:r>
      <w:r w:rsidR="0082687F">
        <w:t>and producing documents for inspection or in compliance with a subpoena.</w:t>
      </w:r>
    </w:p>
    <w:p w:rsidR="000C6B47" w:rsidRDefault="0082687F" w:rsidP="000C6B47">
      <w:r>
        <w:lastRenderedPageBreak/>
        <w:t xml:space="preserve">The Court has been consulting with the legal profession </w:t>
      </w:r>
      <w:r w:rsidR="00ED6345">
        <w:t>about the implementation of t</w:t>
      </w:r>
      <w:r w:rsidR="001D42EF">
        <w:t>he electronic court file and the</w:t>
      </w:r>
      <w:r w:rsidR="00ED6345">
        <w:t xml:space="preserve"> impact </w:t>
      </w:r>
      <w:r w:rsidR="001D42EF">
        <w:t xml:space="preserve">this will have </w:t>
      </w:r>
      <w:r w:rsidR="00ED6345">
        <w:t xml:space="preserve">on practice and procedure since late 2011.  </w:t>
      </w:r>
      <w:r w:rsidR="000C6B47">
        <w:t xml:space="preserve">From mid-2013, this has extended to include discussions with high volume users of the Court at both a national and District Registry level.  A national strategy for communicating with Court users </w:t>
      </w:r>
      <w:r w:rsidR="002D1584">
        <w:t xml:space="preserve">generally </w:t>
      </w:r>
      <w:r w:rsidR="000C6B47">
        <w:t xml:space="preserve">during the transition from paper to electronic court file has been developed and </w:t>
      </w:r>
      <w:r w:rsidR="002D1584">
        <w:t xml:space="preserve">is </w:t>
      </w:r>
      <w:r w:rsidR="000C6B47">
        <w:t xml:space="preserve">now </w:t>
      </w:r>
      <w:r w:rsidR="002D1584">
        <w:t xml:space="preserve">in operation.  </w:t>
      </w:r>
      <w:r w:rsidR="000C6B47">
        <w:t>This strategy will c</w:t>
      </w:r>
      <w:r w:rsidR="002D1584">
        <w:t xml:space="preserve">ontinue until the </w:t>
      </w:r>
      <w:r w:rsidR="000C6B47">
        <w:t>transition</w:t>
      </w:r>
      <w:r w:rsidR="002D1584">
        <w:t xml:space="preserve"> is complete</w:t>
      </w:r>
      <w:r w:rsidR="000C6B47">
        <w:t>.  </w:t>
      </w:r>
    </w:p>
    <w:p w:rsidR="00B54B5F" w:rsidRDefault="00B54B5F" w:rsidP="00E154A6"/>
    <w:p w:rsidR="00661250" w:rsidRDefault="00661250" w:rsidP="00661250">
      <w:r>
        <w:t xml:space="preserve">Details of the Rules are in </w:t>
      </w:r>
      <w:r>
        <w:rPr>
          <w:b/>
          <w:bCs/>
        </w:rPr>
        <w:t>Attachment 1</w:t>
      </w:r>
      <w:r>
        <w:t xml:space="preserve">. </w:t>
      </w:r>
    </w:p>
    <w:p w:rsidR="00661250" w:rsidRDefault="00661250" w:rsidP="00661250"/>
    <w:p w:rsidR="00463A20" w:rsidRDefault="00661250" w:rsidP="00D27569">
      <w:pPr>
        <w:rPr>
          <w:szCs w:val="24"/>
        </w:rPr>
      </w:pPr>
      <w:r w:rsidRPr="00661250">
        <w:rPr>
          <w:szCs w:val="24"/>
        </w:rPr>
        <w:t>The</w:t>
      </w:r>
      <w:r w:rsidR="008B2523">
        <w:rPr>
          <w:szCs w:val="24"/>
        </w:rPr>
        <w:t>se</w:t>
      </w:r>
      <w:r w:rsidRPr="00661250">
        <w:rPr>
          <w:szCs w:val="24"/>
        </w:rPr>
        <w:t xml:space="preserve"> amendment</w:t>
      </w:r>
      <w:r w:rsidR="00A61740">
        <w:rPr>
          <w:szCs w:val="24"/>
        </w:rPr>
        <w:t>s</w:t>
      </w:r>
      <w:r w:rsidR="008B2523">
        <w:rPr>
          <w:szCs w:val="24"/>
        </w:rPr>
        <w:t xml:space="preserve"> </w:t>
      </w:r>
      <w:r w:rsidR="00946D58">
        <w:rPr>
          <w:szCs w:val="24"/>
        </w:rPr>
        <w:t xml:space="preserve">commence </w:t>
      </w:r>
      <w:r w:rsidR="00D27569">
        <w:rPr>
          <w:szCs w:val="24"/>
        </w:rPr>
        <w:t>on</w:t>
      </w:r>
      <w:r w:rsidR="00946D58">
        <w:rPr>
          <w:szCs w:val="24"/>
        </w:rPr>
        <w:t xml:space="preserve"> the day a</w:t>
      </w:r>
      <w:r w:rsidR="00D27569">
        <w:rPr>
          <w:szCs w:val="24"/>
        </w:rPr>
        <w:t>fter these Rules are registered</w:t>
      </w:r>
      <w:r w:rsidR="00612ABB">
        <w:rPr>
          <w:szCs w:val="24"/>
        </w:rPr>
        <w:t>.</w:t>
      </w:r>
      <w:r w:rsidR="000D1ACF">
        <w:rPr>
          <w:szCs w:val="24"/>
        </w:rPr>
        <w:t xml:space="preserve"> </w:t>
      </w:r>
    </w:p>
    <w:p w:rsidR="002F102B" w:rsidRDefault="002F102B" w:rsidP="00661250">
      <w:pPr>
        <w:rPr>
          <w:szCs w:val="24"/>
        </w:rPr>
      </w:pPr>
    </w:p>
    <w:p w:rsidR="002F102B" w:rsidRDefault="002F102B" w:rsidP="00661250">
      <w:pPr>
        <w:rPr>
          <w:szCs w:val="24"/>
        </w:rPr>
        <w:sectPr w:rsidR="002F102B" w:rsidSect="00463A20">
          <w:footerReference w:type="default" r:id="rId9"/>
          <w:pgSz w:w="12240" w:h="15840" w:code="1"/>
          <w:pgMar w:top="1440" w:right="1797" w:bottom="1080" w:left="1797" w:header="709" w:footer="709" w:gutter="0"/>
          <w:cols w:space="708"/>
          <w:titlePg/>
          <w:docGrid w:linePitch="360"/>
        </w:sectPr>
      </w:pPr>
    </w:p>
    <w:p w:rsidR="006B3A2D" w:rsidRPr="00CF0A8D" w:rsidRDefault="006B3A2D" w:rsidP="00CF0A8D">
      <w:pPr>
        <w:jc w:val="right"/>
        <w:rPr>
          <w:b/>
        </w:rPr>
      </w:pPr>
      <w:r w:rsidRPr="00CF0A8D">
        <w:rPr>
          <w:b/>
        </w:rPr>
        <w:lastRenderedPageBreak/>
        <w:t>ATTACHMENT 1</w:t>
      </w:r>
    </w:p>
    <w:p w:rsidR="006B3A2D" w:rsidRDefault="006B3A2D" w:rsidP="006B3A2D"/>
    <w:p w:rsidR="00AC65F5" w:rsidRDefault="006B3A2D" w:rsidP="006B3A2D">
      <w:pPr>
        <w:jc w:val="center"/>
        <w:rPr>
          <w:rFonts w:ascii="Arial" w:hAnsi="Arial" w:cs="Arial"/>
          <w:b/>
          <w:bCs/>
        </w:rPr>
      </w:pPr>
      <w:r>
        <w:rPr>
          <w:rFonts w:ascii="Arial" w:hAnsi="Arial" w:cs="Arial"/>
          <w:b/>
          <w:bCs/>
        </w:rPr>
        <w:t xml:space="preserve">Federal Court Amendment </w:t>
      </w:r>
      <w:r w:rsidR="00AC65F5">
        <w:rPr>
          <w:rFonts w:ascii="Arial" w:hAnsi="Arial" w:cs="Arial"/>
          <w:b/>
          <w:bCs/>
        </w:rPr>
        <w:t>(Electronic Court File Measures No. 1)</w:t>
      </w:r>
    </w:p>
    <w:p w:rsidR="006B3A2D" w:rsidRDefault="006B3A2D" w:rsidP="006B3A2D">
      <w:pPr>
        <w:jc w:val="center"/>
        <w:rPr>
          <w:rFonts w:ascii="Arial" w:hAnsi="Arial" w:cs="Arial"/>
          <w:b/>
          <w:bCs/>
        </w:rPr>
      </w:pPr>
      <w:r>
        <w:rPr>
          <w:rFonts w:ascii="Arial" w:hAnsi="Arial" w:cs="Arial"/>
          <w:b/>
          <w:bCs/>
        </w:rPr>
        <w:t>Rul</w:t>
      </w:r>
      <w:r w:rsidR="009F6FE5">
        <w:rPr>
          <w:rFonts w:ascii="Arial" w:hAnsi="Arial" w:cs="Arial"/>
          <w:b/>
          <w:bCs/>
        </w:rPr>
        <w:t>es 20</w:t>
      </w:r>
      <w:r w:rsidR="003C524A">
        <w:rPr>
          <w:rFonts w:ascii="Arial" w:hAnsi="Arial" w:cs="Arial"/>
          <w:b/>
          <w:bCs/>
        </w:rPr>
        <w:t>1</w:t>
      </w:r>
      <w:r w:rsidR="00BA3EBA">
        <w:rPr>
          <w:rFonts w:ascii="Arial" w:hAnsi="Arial" w:cs="Arial"/>
          <w:b/>
          <w:bCs/>
        </w:rPr>
        <w:t>3</w:t>
      </w:r>
    </w:p>
    <w:p w:rsidR="006B3A2D" w:rsidRPr="00E53498" w:rsidRDefault="006B3A2D" w:rsidP="00E53498"/>
    <w:p w:rsidR="006B3A2D" w:rsidRPr="000D1ACF" w:rsidRDefault="006B3A2D" w:rsidP="000D1ACF">
      <w:pPr>
        <w:rPr>
          <w:b/>
        </w:rPr>
      </w:pPr>
      <w:r w:rsidRPr="000D1ACF">
        <w:rPr>
          <w:b/>
        </w:rPr>
        <w:t>RULE 1</w:t>
      </w:r>
      <w:r w:rsidRPr="000D1ACF">
        <w:rPr>
          <w:b/>
        </w:rPr>
        <w:tab/>
        <w:t xml:space="preserve">Name of </w:t>
      </w:r>
      <w:r w:rsidR="00563392">
        <w:rPr>
          <w:b/>
        </w:rPr>
        <w:t>R</w:t>
      </w:r>
      <w:r w:rsidRPr="000D1ACF">
        <w:rPr>
          <w:b/>
        </w:rPr>
        <w:t>ules</w:t>
      </w:r>
    </w:p>
    <w:p w:rsidR="006B3A2D" w:rsidRDefault="006B3A2D" w:rsidP="006B3A2D">
      <w:pPr>
        <w:ind w:left="1560" w:hanging="1560"/>
      </w:pPr>
    </w:p>
    <w:p w:rsidR="006B3A2D" w:rsidRDefault="006B3A2D" w:rsidP="006B3A2D">
      <w:r>
        <w:t xml:space="preserve">This rule provides that the Rules are to be cited as the </w:t>
      </w:r>
      <w:r>
        <w:rPr>
          <w:i/>
        </w:rPr>
        <w:t>Fe</w:t>
      </w:r>
      <w:r w:rsidR="009F6FE5">
        <w:rPr>
          <w:i/>
        </w:rPr>
        <w:t xml:space="preserve">deral Court Amendment </w:t>
      </w:r>
      <w:r w:rsidR="00D27569">
        <w:rPr>
          <w:i/>
        </w:rPr>
        <w:t xml:space="preserve">(Electronic Court File Measures No. 1) </w:t>
      </w:r>
      <w:r w:rsidR="009F6FE5">
        <w:rPr>
          <w:i/>
        </w:rPr>
        <w:t>Rules 20</w:t>
      </w:r>
      <w:r w:rsidR="003C524A">
        <w:rPr>
          <w:i/>
        </w:rPr>
        <w:t>1</w:t>
      </w:r>
      <w:r w:rsidR="00BA3EBA">
        <w:rPr>
          <w:i/>
        </w:rPr>
        <w:t>3</w:t>
      </w:r>
      <w:r>
        <w:t>.</w:t>
      </w:r>
    </w:p>
    <w:p w:rsidR="006B3A2D" w:rsidRDefault="006B3A2D" w:rsidP="006B3A2D">
      <w:pPr>
        <w:ind w:left="1560" w:hanging="1560"/>
      </w:pPr>
    </w:p>
    <w:p w:rsidR="006B3A2D" w:rsidRPr="000D1ACF" w:rsidRDefault="006B3A2D" w:rsidP="000D1ACF">
      <w:pPr>
        <w:rPr>
          <w:b/>
        </w:rPr>
      </w:pPr>
      <w:r w:rsidRPr="000D1ACF">
        <w:rPr>
          <w:b/>
        </w:rPr>
        <w:t>RULE 2</w:t>
      </w:r>
      <w:r w:rsidRPr="000D1ACF">
        <w:rPr>
          <w:b/>
        </w:rPr>
        <w:tab/>
        <w:t>Commencement</w:t>
      </w:r>
    </w:p>
    <w:p w:rsidR="006B3A2D" w:rsidRDefault="006B3A2D" w:rsidP="006B3A2D">
      <w:pPr>
        <w:ind w:left="1560" w:hanging="1560"/>
      </w:pPr>
    </w:p>
    <w:p w:rsidR="00D36C07" w:rsidRDefault="00E63DD0" w:rsidP="00D36C07">
      <w:r>
        <w:t xml:space="preserve">This rule provides that these </w:t>
      </w:r>
      <w:r w:rsidR="004C5609">
        <w:t xml:space="preserve">Amendment </w:t>
      </w:r>
      <w:r>
        <w:t xml:space="preserve">Rules commence </w:t>
      </w:r>
      <w:r w:rsidR="004C5609">
        <w:t>on the day after the</w:t>
      </w:r>
      <w:r w:rsidR="003B40A9">
        <w:t xml:space="preserve"> Rules are registered</w:t>
      </w:r>
      <w:r w:rsidR="00D36C07">
        <w:t>.</w:t>
      </w:r>
    </w:p>
    <w:p w:rsidR="00E63DD0" w:rsidRDefault="00E63DD0" w:rsidP="006B3A2D">
      <w:pPr>
        <w:ind w:left="1560" w:hanging="1560"/>
      </w:pPr>
    </w:p>
    <w:p w:rsidR="004B4125" w:rsidRDefault="006B3A2D" w:rsidP="000D1ACF">
      <w:r w:rsidRPr="000D1ACF">
        <w:rPr>
          <w:b/>
        </w:rPr>
        <w:t>RULE 3</w:t>
      </w:r>
      <w:r w:rsidR="004B4125">
        <w:rPr>
          <w:b/>
        </w:rPr>
        <w:tab/>
        <w:t>Authority</w:t>
      </w:r>
    </w:p>
    <w:p w:rsidR="004B4125" w:rsidRDefault="004B4125" w:rsidP="000D1ACF"/>
    <w:p w:rsidR="004B4125" w:rsidRDefault="004C5609" w:rsidP="000D1ACF">
      <w:r>
        <w:t>This rule notes</w:t>
      </w:r>
      <w:r w:rsidR="00612ABB">
        <w:t xml:space="preserve"> that t</w:t>
      </w:r>
      <w:r w:rsidR="00563392">
        <w:t>he</w:t>
      </w:r>
      <w:r>
        <w:t xml:space="preserve"> Amendment</w:t>
      </w:r>
      <w:r w:rsidR="00563392">
        <w:t xml:space="preserve"> R</w:t>
      </w:r>
      <w:r w:rsidR="004B4125">
        <w:t xml:space="preserve">ules are made under the </w:t>
      </w:r>
      <w:r w:rsidR="004B4125">
        <w:rPr>
          <w:i/>
        </w:rPr>
        <w:t>Federal Court of Australia Act 1976</w:t>
      </w:r>
      <w:r w:rsidR="004B4125">
        <w:t xml:space="preserve"> (the Act).</w:t>
      </w:r>
    </w:p>
    <w:p w:rsidR="004B4125" w:rsidRPr="004B4125" w:rsidRDefault="004B4125" w:rsidP="000D1ACF"/>
    <w:p w:rsidR="004B4125" w:rsidRDefault="004B4125" w:rsidP="004B4125">
      <w:r w:rsidRPr="000D1ACF">
        <w:rPr>
          <w:b/>
        </w:rPr>
        <w:t xml:space="preserve">RULE </w:t>
      </w:r>
      <w:r w:rsidR="00516618">
        <w:rPr>
          <w:b/>
        </w:rPr>
        <w:t>4</w:t>
      </w:r>
      <w:r>
        <w:rPr>
          <w:b/>
        </w:rPr>
        <w:tab/>
        <w:t>Schedules(s)</w:t>
      </w:r>
    </w:p>
    <w:p w:rsidR="004B4125" w:rsidRDefault="004B4125" w:rsidP="004B4125"/>
    <w:p w:rsidR="004B4125" w:rsidRDefault="004B4125" w:rsidP="004B4125">
      <w:pPr>
        <w:rPr>
          <w:b/>
        </w:rPr>
      </w:pPr>
      <w:r>
        <w:t>Th</w:t>
      </w:r>
      <w:r w:rsidR="00516618">
        <w:t xml:space="preserve">is rule provided that </w:t>
      </w:r>
      <w:r>
        <w:t>e</w:t>
      </w:r>
      <w:r w:rsidR="00516618">
        <w:t>ach</w:t>
      </w:r>
      <w:r>
        <w:t xml:space="preserve"> instrument specified in the Schedule to th</w:t>
      </w:r>
      <w:r w:rsidR="004C5609">
        <w:t>e Amendment Rules</w:t>
      </w:r>
      <w:r>
        <w:t xml:space="preserve"> is amended or repealed as set out in the applicable</w:t>
      </w:r>
      <w:r w:rsidR="004C5609">
        <w:t xml:space="preserve"> items in the Schedule</w:t>
      </w:r>
      <w:r w:rsidR="00516618">
        <w:t>,</w:t>
      </w:r>
      <w:r w:rsidR="00FA49BF">
        <w:t xml:space="preserve"> and </w:t>
      </w:r>
      <w:r w:rsidR="00501DBE">
        <w:t xml:space="preserve">that </w:t>
      </w:r>
      <w:r w:rsidR="00FA49BF">
        <w:t>any other item in a Schedule to th</w:t>
      </w:r>
      <w:r w:rsidR="004C5609">
        <w:t>e Amendment Rule</w:t>
      </w:r>
      <w:r w:rsidR="00FA49BF">
        <w:t xml:space="preserve"> has effect according to its terms.</w:t>
      </w:r>
    </w:p>
    <w:p w:rsidR="004B4125" w:rsidRDefault="004B4125" w:rsidP="000D1ACF">
      <w:pPr>
        <w:rPr>
          <w:b/>
        </w:rPr>
      </w:pPr>
    </w:p>
    <w:p w:rsidR="006B3A2D" w:rsidRPr="000D1ACF" w:rsidRDefault="000D1ACF" w:rsidP="000D1ACF">
      <w:pPr>
        <w:rPr>
          <w:b/>
        </w:rPr>
      </w:pPr>
      <w:bookmarkStart w:id="1" w:name="OLE_LINK9"/>
      <w:bookmarkStart w:id="2" w:name="OLE_LINK10"/>
      <w:r>
        <w:rPr>
          <w:b/>
        </w:rPr>
        <w:t>SCHEDULE 1</w:t>
      </w:r>
    </w:p>
    <w:p w:rsidR="006B3A2D" w:rsidRDefault="006B3A2D" w:rsidP="006B3A2D">
      <w:pPr>
        <w:tabs>
          <w:tab w:val="left" w:pos="567"/>
        </w:tabs>
        <w:rPr>
          <w:u w:val="single"/>
        </w:rPr>
      </w:pPr>
    </w:p>
    <w:p w:rsidR="002B2525" w:rsidRDefault="002B2525" w:rsidP="002B2525">
      <w:pPr>
        <w:tabs>
          <w:tab w:val="left" w:pos="709"/>
        </w:tabs>
        <w:rPr>
          <w:u w:val="single"/>
        </w:rPr>
      </w:pPr>
      <w:bookmarkStart w:id="3" w:name="OLE_LINK3"/>
      <w:bookmarkStart w:id="4" w:name="OLE_LINK4"/>
      <w:r w:rsidRPr="000811FB">
        <w:rPr>
          <w:u w:val="single"/>
        </w:rPr>
        <w:t>[</w:t>
      </w:r>
      <w:r>
        <w:rPr>
          <w:u w:val="single"/>
        </w:rPr>
        <w:t>1</w:t>
      </w:r>
      <w:r w:rsidRPr="000811FB">
        <w:rPr>
          <w:u w:val="single"/>
        </w:rPr>
        <w:t>]</w:t>
      </w:r>
      <w:r w:rsidRPr="000811FB">
        <w:rPr>
          <w:u w:val="single"/>
        </w:rPr>
        <w:tab/>
      </w:r>
      <w:proofErr w:type="spellStart"/>
      <w:r w:rsidR="00B54B5F">
        <w:rPr>
          <w:u w:val="single"/>
        </w:rPr>
        <w:t>Subrule</w:t>
      </w:r>
      <w:proofErr w:type="spellEnd"/>
      <w:r w:rsidR="00B54B5F">
        <w:rPr>
          <w:u w:val="single"/>
        </w:rPr>
        <w:t xml:space="preserve"> 2.01(2)</w:t>
      </w:r>
    </w:p>
    <w:p w:rsidR="00841549" w:rsidRDefault="00841549" w:rsidP="00841549">
      <w:pPr>
        <w:tabs>
          <w:tab w:val="left" w:pos="709"/>
        </w:tabs>
      </w:pPr>
      <w:r>
        <w:rPr>
          <w:u w:val="single"/>
        </w:rPr>
        <w:t>[2]</w:t>
      </w:r>
      <w:r>
        <w:rPr>
          <w:u w:val="single"/>
        </w:rPr>
        <w:tab/>
      </w:r>
      <w:proofErr w:type="spellStart"/>
      <w:r>
        <w:rPr>
          <w:u w:val="single"/>
        </w:rPr>
        <w:t>Subrule</w:t>
      </w:r>
      <w:proofErr w:type="spellEnd"/>
      <w:r>
        <w:rPr>
          <w:u w:val="single"/>
        </w:rPr>
        <w:t xml:space="preserve"> 2.01(3)</w:t>
      </w:r>
    </w:p>
    <w:p w:rsidR="00FA49BF" w:rsidRDefault="00FA49BF" w:rsidP="002B2525">
      <w:pPr>
        <w:tabs>
          <w:tab w:val="left" w:pos="709"/>
        </w:tabs>
      </w:pPr>
    </w:p>
    <w:p w:rsidR="00841549" w:rsidRDefault="00CF2309" w:rsidP="002B2525">
      <w:pPr>
        <w:tabs>
          <w:tab w:val="left" w:pos="709"/>
        </w:tabs>
      </w:pPr>
      <w:r>
        <w:t xml:space="preserve">Subsection 37(6) of the Act permits the seal of the Court </w:t>
      </w:r>
      <w:r w:rsidR="00731074">
        <w:t xml:space="preserve">and the stamp of </w:t>
      </w:r>
      <w:r>
        <w:t>each District Registry to be affixed to documents as provided in that Act, any other Act or by the rules of court.</w:t>
      </w:r>
      <w:r w:rsidR="00F24368">
        <w:t xml:space="preserve"> </w:t>
      </w:r>
      <w:r>
        <w:t xml:space="preserve"> </w:t>
      </w:r>
      <w:r w:rsidR="00B54B5F">
        <w:t>Rule 2.01</w:t>
      </w:r>
      <w:r w:rsidR="00526883">
        <w:t xml:space="preserve"> deals with the </w:t>
      </w:r>
      <w:r w:rsidR="00B54B5F">
        <w:t>use of the</w:t>
      </w:r>
      <w:r w:rsidR="004C5609">
        <w:t xml:space="preserve"> seal and stamps of the Court.</w:t>
      </w:r>
    </w:p>
    <w:p w:rsidR="00841549" w:rsidRDefault="00841549" w:rsidP="002B2525">
      <w:pPr>
        <w:tabs>
          <w:tab w:val="left" w:pos="709"/>
        </w:tabs>
      </w:pPr>
    </w:p>
    <w:p w:rsidR="00B54B5F" w:rsidRDefault="00310867" w:rsidP="002B2525">
      <w:pPr>
        <w:tabs>
          <w:tab w:val="left" w:pos="709"/>
        </w:tabs>
      </w:pPr>
      <w:proofErr w:type="spellStart"/>
      <w:r>
        <w:t>Subrule</w:t>
      </w:r>
      <w:proofErr w:type="spellEnd"/>
      <w:r>
        <w:t xml:space="preserve"> 2.01(2) sets out the document that the</w:t>
      </w:r>
      <w:r w:rsidR="00B54B5F">
        <w:t xml:space="preserve"> stamp of a District Registr</w:t>
      </w:r>
      <w:r>
        <w:t>y must be affixed to, namely</w:t>
      </w:r>
      <w:r w:rsidR="00B54B5F">
        <w:t>:</w:t>
      </w:r>
    </w:p>
    <w:p w:rsidR="00B54B5F" w:rsidRDefault="00B54B5F" w:rsidP="00B54B5F">
      <w:pPr>
        <w:numPr>
          <w:ilvl w:val="0"/>
          <w:numId w:val="18"/>
        </w:numPr>
        <w:tabs>
          <w:tab w:val="left" w:pos="426"/>
        </w:tabs>
        <w:ind w:left="426" w:hanging="426"/>
      </w:pPr>
      <w:r>
        <w:t>an originating application, notice of address for service, interlocutory application, notice of appeal, subpoena, summons or warrant filed in the District Registry;</w:t>
      </w:r>
    </w:p>
    <w:p w:rsidR="00B54B5F" w:rsidRDefault="00B54B5F" w:rsidP="00B54B5F">
      <w:pPr>
        <w:numPr>
          <w:ilvl w:val="0"/>
          <w:numId w:val="18"/>
        </w:numPr>
        <w:tabs>
          <w:tab w:val="left" w:pos="426"/>
        </w:tabs>
        <w:ind w:left="426" w:hanging="426"/>
      </w:pPr>
      <w:r>
        <w:t xml:space="preserve">an order of the Court; </w:t>
      </w:r>
    </w:p>
    <w:p w:rsidR="003F376F" w:rsidRDefault="00B54B5F" w:rsidP="00B54B5F">
      <w:pPr>
        <w:numPr>
          <w:ilvl w:val="0"/>
          <w:numId w:val="18"/>
        </w:numPr>
        <w:tabs>
          <w:tab w:val="left" w:pos="426"/>
        </w:tabs>
        <w:ind w:left="426" w:hanging="426"/>
      </w:pPr>
      <w:r>
        <w:t>any other document as ordered by the Court</w:t>
      </w:r>
      <w:r w:rsidR="00DC0ABC">
        <w:t>.</w:t>
      </w:r>
    </w:p>
    <w:p w:rsidR="003F376F" w:rsidRDefault="003F376F" w:rsidP="002B2525">
      <w:pPr>
        <w:tabs>
          <w:tab w:val="left" w:pos="709"/>
        </w:tabs>
      </w:pPr>
    </w:p>
    <w:p w:rsidR="00FA49BF" w:rsidRDefault="00731074" w:rsidP="002B2525">
      <w:pPr>
        <w:tabs>
          <w:tab w:val="left" w:pos="709"/>
        </w:tabs>
      </w:pPr>
      <w:r>
        <w:t>The</w:t>
      </w:r>
      <w:r w:rsidR="00B54B5F">
        <w:t xml:space="preserve"> amendment </w:t>
      </w:r>
      <w:r>
        <w:t xml:space="preserve">to </w:t>
      </w:r>
      <w:proofErr w:type="spellStart"/>
      <w:r>
        <w:t>subrule</w:t>
      </w:r>
      <w:proofErr w:type="spellEnd"/>
      <w:r>
        <w:t xml:space="preserve"> 2.01(2) </w:t>
      </w:r>
      <w:r w:rsidR="00B54B5F">
        <w:t xml:space="preserve">is to insert </w:t>
      </w:r>
      <w:r w:rsidR="00F548F9">
        <w:t>the words: “seal of the Court or</w:t>
      </w:r>
      <w:r w:rsidR="00B54B5F">
        <w:t xml:space="preserve"> the” before the word “stamp”</w:t>
      </w:r>
      <w:r w:rsidR="00841549">
        <w:t>.  It is t</w:t>
      </w:r>
      <w:r w:rsidR="00DC0ABC">
        <w:t xml:space="preserve">o make it clear that </w:t>
      </w:r>
      <w:r w:rsidR="00310867">
        <w:t xml:space="preserve">the documents referred to in </w:t>
      </w:r>
      <w:proofErr w:type="spellStart"/>
      <w:r w:rsidR="00310867">
        <w:t>subrule</w:t>
      </w:r>
      <w:proofErr w:type="spellEnd"/>
      <w:r w:rsidR="00310867">
        <w:t xml:space="preserve"> 2.01(2) may </w:t>
      </w:r>
      <w:r>
        <w:t xml:space="preserve">have affixed to them </w:t>
      </w:r>
      <w:r w:rsidR="00CF2309">
        <w:t xml:space="preserve">either </w:t>
      </w:r>
      <w:r w:rsidR="00B95864">
        <w:t>the stamp of a</w:t>
      </w:r>
      <w:r w:rsidR="00310867">
        <w:t xml:space="preserve"> District Registry </w:t>
      </w:r>
      <w:r>
        <w:t>(</w:t>
      </w:r>
      <w:r w:rsidR="00B95864">
        <w:t>for convenient p</w:t>
      </w:r>
      <w:r>
        <w:t xml:space="preserve">rocessing in paper) </w:t>
      </w:r>
      <w:r w:rsidR="00310867">
        <w:t>or</w:t>
      </w:r>
      <w:r w:rsidR="00CF2309">
        <w:t xml:space="preserve"> the seal of the Court</w:t>
      </w:r>
      <w:r>
        <w:t xml:space="preserve"> </w:t>
      </w:r>
      <w:r w:rsidR="00B95864">
        <w:t>(</w:t>
      </w:r>
      <w:r>
        <w:t xml:space="preserve">for </w:t>
      </w:r>
      <w:r w:rsidR="00B95864">
        <w:t xml:space="preserve">convenient </w:t>
      </w:r>
      <w:r>
        <w:t>processing electronically)</w:t>
      </w:r>
      <w:r w:rsidR="00B95864">
        <w:t>.</w:t>
      </w:r>
    </w:p>
    <w:bookmarkEnd w:id="3"/>
    <w:bookmarkEnd w:id="4"/>
    <w:p w:rsidR="002B2525" w:rsidRPr="001E2204" w:rsidRDefault="002B2525" w:rsidP="002B2525">
      <w:pPr>
        <w:tabs>
          <w:tab w:val="left" w:pos="709"/>
        </w:tabs>
      </w:pPr>
    </w:p>
    <w:p w:rsidR="00841549" w:rsidRDefault="001E2204" w:rsidP="002B2525">
      <w:pPr>
        <w:tabs>
          <w:tab w:val="left" w:pos="709"/>
        </w:tabs>
      </w:pPr>
      <w:proofErr w:type="spellStart"/>
      <w:r w:rsidRPr="001E2204">
        <w:t>Subrule</w:t>
      </w:r>
      <w:proofErr w:type="spellEnd"/>
      <w:r w:rsidRPr="001E2204">
        <w:t xml:space="preserve"> 2.</w:t>
      </w:r>
      <w:r w:rsidR="00841549">
        <w:t>01</w:t>
      </w:r>
      <w:r w:rsidRPr="001E2204">
        <w:t xml:space="preserve">(3) </w:t>
      </w:r>
      <w:r w:rsidR="00841549">
        <w:t>lists what may be affixed to a document</w:t>
      </w:r>
      <w:r w:rsidR="00750963">
        <w:t>; either</w:t>
      </w:r>
      <w:r w:rsidR="00841549">
        <w:t xml:space="preserve"> by </w:t>
      </w:r>
      <w:r w:rsidR="00750963">
        <w:t>hand or by electronic means.  Included are</w:t>
      </w:r>
      <w:r w:rsidR="00841549">
        <w:t>:</w:t>
      </w:r>
    </w:p>
    <w:p w:rsidR="00841549" w:rsidRDefault="00841549" w:rsidP="00841549">
      <w:pPr>
        <w:numPr>
          <w:ilvl w:val="0"/>
          <w:numId w:val="19"/>
        </w:numPr>
        <w:tabs>
          <w:tab w:val="left" w:pos="426"/>
        </w:tabs>
        <w:ind w:left="426" w:hanging="426"/>
      </w:pPr>
      <w:r>
        <w:t>the seal of the Court;</w:t>
      </w:r>
    </w:p>
    <w:p w:rsidR="00841549" w:rsidRDefault="00841549" w:rsidP="00841549">
      <w:pPr>
        <w:numPr>
          <w:ilvl w:val="0"/>
          <w:numId w:val="19"/>
        </w:numPr>
        <w:tabs>
          <w:tab w:val="left" w:pos="426"/>
        </w:tabs>
        <w:ind w:left="426" w:hanging="426"/>
      </w:pPr>
      <w:r>
        <w:t>the signature of the Registrar;</w:t>
      </w:r>
    </w:p>
    <w:p w:rsidR="00841549" w:rsidRDefault="00841549" w:rsidP="00841549">
      <w:pPr>
        <w:numPr>
          <w:ilvl w:val="0"/>
          <w:numId w:val="19"/>
        </w:numPr>
        <w:tabs>
          <w:tab w:val="left" w:pos="426"/>
        </w:tabs>
        <w:ind w:left="426" w:hanging="426"/>
      </w:pPr>
      <w:r>
        <w:t>the stamp of the District Registrar;</w:t>
      </w:r>
    </w:p>
    <w:p w:rsidR="00841549" w:rsidRDefault="00841549" w:rsidP="00841549">
      <w:pPr>
        <w:numPr>
          <w:ilvl w:val="0"/>
          <w:numId w:val="19"/>
        </w:numPr>
        <w:tabs>
          <w:tab w:val="left" w:pos="426"/>
        </w:tabs>
        <w:ind w:left="426" w:hanging="426"/>
      </w:pPr>
      <w:r>
        <w:t xml:space="preserve">the signature of a District Registrar or Deputy </w:t>
      </w:r>
      <w:r w:rsidR="00750963">
        <w:t xml:space="preserve">District </w:t>
      </w:r>
      <w:r>
        <w:t>Registrar.</w:t>
      </w:r>
    </w:p>
    <w:p w:rsidR="00841549" w:rsidRDefault="00841549" w:rsidP="00841549"/>
    <w:p w:rsidR="009C55A7" w:rsidRDefault="00750963" w:rsidP="002B2525">
      <w:pPr>
        <w:tabs>
          <w:tab w:val="left" w:pos="709"/>
        </w:tabs>
      </w:pPr>
      <w:r>
        <w:t xml:space="preserve">Subsection 37(1) of the Act permits writs, commissions and process issued by the Court to be signed (including by way of electronic signature) by not only the Registrar or a District Registrar but also any officer of the Court acting with the authority of the Registrar or a District Registrar.  </w:t>
      </w:r>
      <w:r w:rsidR="00B95864">
        <w:t>The</w:t>
      </w:r>
      <w:r w:rsidR="009C55A7">
        <w:t xml:space="preserve"> amendment </w:t>
      </w:r>
      <w:r w:rsidR="00B95864">
        <w:t xml:space="preserve">to </w:t>
      </w:r>
      <w:proofErr w:type="spellStart"/>
      <w:r w:rsidR="00B95864">
        <w:t>subrule</w:t>
      </w:r>
      <w:proofErr w:type="spellEnd"/>
      <w:r w:rsidR="00B95864">
        <w:t xml:space="preserve"> 2.01(3) </w:t>
      </w:r>
      <w:r w:rsidR="005931C7">
        <w:t xml:space="preserve">inserts a </w:t>
      </w:r>
      <w:r>
        <w:t>new paragraph (e) at the end of the existing</w:t>
      </w:r>
      <w:r w:rsidR="005931C7">
        <w:t xml:space="preserve"> list</w:t>
      </w:r>
      <w:r>
        <w:t xml:space="preserve"> </w:t>
      </w:r>
      <w:r w:rsidR="005931C7">
        <w:t xml:space="preserve">to include </w:t>
      </w:r>
      <w:r>
        <w:t>the signature of such an officer as something which can be affixed to a document by hand or electronic means.</w:t>
      </w:r>
      <w:r w:rsidR="005931C7">
        <w:t xml:space="preserve">  This </w:t>
      </w:r>
      <w:r w:rsidR="00D94684">
        <w:t xml:space="preserve">aligns the sealing and signing provisions of the rules more closely with those of the Act and </w:t>
      </w:r>
      <w:r w:rsidR="005931C7">
        <w:t xml:space="preserve">reinforces the </w:t>
      </w:r>
      <w:r w:rsidR="00D94684">
        <w:t xml:space="preserve">flexibility that both allow for either physical or </w:t>
      </w:r>
      <w:r w:rsidR="005931C7">
        <w:t>electronic signing.</w:t>
      </w:r>
    </w:p>
    <w:p w:rsidR="009C55A7" w:rsidRDefault="009C55A7" w:rsidP="002B2525">
      <w:pPr>
        <w:tabs>
          <w:tab w:val="left" w:pos="709"/>
        </w:tabs>
      </w:pPr>
    </w:p>
    <w:p w:rsidR="006B1133" w:rsidRPr="00DF657F" w:rsidRDefault="006B1133" w:rsidP="006B1133">
      <w:pPr>
        <w:tabs>
          <w:tab w:val="left" w:pos="709"/>
        </w:tabs>
        <w:rPr>
          <w:i/>
        </w:rPr>
      </w:pPr>
      <w:r w:rsidRPr="000811FB">
        <w:rPr>
          <w:u w:val="single"/>
        </w:rPr>
        <w:t>[</w:t>
      </w:r>
      <w:r w:rsidR="002B2525">
        <w:rPr>
          <w:u w:val="single"/>
        </w:rPr>
        <w:t>3</w:t>
      </w:r>
      <w:r w:rsidRPr="000811FB">
        <w:rPr>
          <w:u w:val="single"/>
        </w:rPr>
        <w:t>]</w:t>
      </w:r>
      <w:r w:rsidRPr="000811FB">
        <w:rPr>
          <w:u w:val="single"/>
        </w:rPr>
        <w:tab/>
      </w:r>
      <w:bookmarkEnd w:id="1"/>
      <w:bookmarkEnd w:id="2"/>
      <w:r w:rsidR="005931C7">
        <w:rPr>
          <w:u w:val="single"/>
        </w:rPr>
        <w:t>R</w:t>
      </w:r>
      <w:r w:rsidR="00DF657F">
        <w:rPr>
          <w:u w:val="single"/>
        </w:rPr>
        <w:t xml:space="preserve">ule </w:t>
      </w:r>
      <w:r w:rsidR="005931C7">
        <w:rPr>
          <w:u w:val="single"/>
        </w:rPr>
        <w:t>2</w:t>
      </w:r>
      <w:r w:rsidR="00FA49BF">
        <w:rPr>
          <w:u w:val="single"/>
        </w:rPr>
        <w:t>.</w:t>
      </w:r>
      <w:r w:rsidR="005931C7">
        <w:rPr>
          <w:u w:val="single"/>
        </w:rPr>
        <w:t>11 (note</w:t>
      </w:r>
      <w:r w:rsidR="00FA49BF">
        <w:rPr>
          <w:u w:val="single"/>
        </w:rPr>
        <w:t xml:space="preserve"> 2</w:t>
      </w:r>
      <w:r w:rsidR="00427D13">
        <w:rPr>
          <w:u w:val="single"/>
        </w:rPr>
        <w:t>)</w:t>
      </w:r>
    </w:p>
    <w:p w:rsidR="005309FB" w:rsidRDefault="005309FB" w:rsidP="006B1133">
      <w:pPr>
        <w:tabs>
          <w:tab w:val="left" w:pos="709"/>
        </w:tabs>
        <w:rPr>
          <w:u w:val="single"/>
        </w:rPr>
      </w:pPr>
    </w:p>
    <w:p w:rsidR="00E2587F" w:rsidRDefault="007859C4" w:rsidP="006B1133">
      <w:pPr>
        <w:tabs>
          <w:tab w:val="left" w:pos="709"/>
        </w:tabs>
      </w:pPr>
      <w:bookmarkStart w:id="5" w:name="OLE_LINK1"/>
      <w:bookmarkStart w:id="6" w:name="OLE_LINK2"/>
      <w:r>
        <w:t xml:space="preserve">Rule </w:t>
      </w:r>
      <w:r w:rsidR="009E172F">
        <w:t>2</w:t>
      </w:r>
      <w:r>
        <w:t>.</w:t>
      </w:r>
      <w:r w:rsidR="009E172F">
        <w:t>11</w:t>
      </w:r>
      <w:r>
        <w:t xml:space="preserve"> </w:t>
      </w:r>
      <w:r w:rsidR="009E172F">
        <w:t>makes general provisions about documents.  It states that a document that is to be filed in a proceeding must be in accordance with any approved form</w:t>
      </w:r>
      <w:r w:rsidR="00E2587F">
        <w:t xml:space="preserve"> and the Court’s requirements.  A document can be filed only if it is accepted in the Court after </w:t>
      </w:r>
      <w:r w:rsidR="003559E8">
        <w:t>lodg</w:t>
      </w:r>
      <w:r w:rsidR="00E2587F">
        <w:t>ment (see rule 2.27)</w:t>
      </w:r>
      <w:r w:rsidR="00975FDF">
        <w:t xml:space="preserve">.  A person </w:t>
      </w:r>
      <w:r w:rsidR="003559E8">
        <w:t>l</w:t>
      </w:r>
      <w:r w:rsidR="00975FDF">
        <w:t>odge</w:t>
      </w:r>
      <w:r w:rsidR="003559E8">
        <w:t>s</w:t>
      </w:r>
      <w:r w:rsidR="00975FDF">
        <w:t xml:space="preserve"> a document by presenting, posting or faxing it to a Registry or sending it by electronic communication using the Court’</w:t>
      </w:r>
      <w:r w:rsidR="00F50690">
        <w:t>s</w:t>
      </w:r>
      <w:r w:rsidR="00975FDF">
        <w:t xml:space="preserve"> website (see </w:t>
      </w:r>
      <w:proofErr w:type="spellStart"/>
      <w:r w:rsidR="00975FDF">
        <w:t>subrule</w:t>
      </w:r>
      <w:proofErr w:type="spellEnd"/>
      <w:r w:rsidR="00975FDF">
        <w:t xml:space="preserve"> 2.21(1)).  Some documents must be lodged a</w:t>
      </w:r>
      <w:r w:rsidR="003559E8">
        <w:t>t</w:t>
      </w:r>
      <w:r w:rsidR="00975FDF">
        <w:t xml:space="preserve"> the “proper registry”.</w:t>
      </w:r>
    </w:p>
    <w:p w:rsidR="00E2587F" w:rsidRDefault="00E2587F" w:rsidP="006B1133">
      <w:pPr>
        <w:tabs>
          <w:tab w:val="left" w:pos="709"/>
        </w:tabs>
      </w:pPr>
    </w:p>
    <w:p w:rsidR="007859C4" w:rsidRDefault="009E172F" w:rsidP="006B1133">
      <w:pPr>
        <w:tabs>
          <w:tab w:val="left" w:pos="709"/>
        </w:tabs>
      </w:pPr>
      <w:r>
        <w:t xml:space="preserve">There are two notes </w:t>
      </w:r>
      <w:r w:rsidR="00975FDF">
        <w:t>to Rule 2.11</w:t>
      </w:r>
      <w:r>
        <w:t>.  The first note states that “Proper Registry” is defined in the Dictionary.  The second note states that the Court’s requirements in relation to the preparation</w:t>
      </w:r>
      <w:r w:rsidR="00795EB5">
        <w:t xml:space="preserve"> of documents are set out in practice notes issued by the Chief Justice.</w:t>
      </w:r>
    </w:p>
    <w:p w:rsidR="009E172F" w:rsidRDefault="009E172F" w:rsidP="006B1133">
      <w:pPr>
        <w:tabs>
          <w:tab w:val="left" w:pos="709"/>
        </w:tabs>
      </w:pPr>
    </w:p>
    <w:p w:rsidR="00B5316B" w:rsidRDefault="005B2733" w:rsidP="006B1133">
      <w:pPr>
        <w:tabs>
          <w:tab w:val="left" w:pos="709"/>
        </w:tabs>
      </w:pPr>
      <w:r>
        <w:t>This amendment</w:t>
      </w:r>
      <w:r w:rsidR="00B5316B">
        <w:t xml:space="preserve"> </w:t>
      </w:r>
      <w:r w:rsidR="00795EB5">
        <w:t xml:space="preserve">replaces in Note 2 the phrase: “the preparation of documents” with the phrase: “preparing and lodging documents”.  </w:t>
      </w:r>
    </w:p>
    <w:p w:rsidR="00B5316B" w:rsidRDefault="00B5316B" w:rsidP="006B1133">
      <w:pPr>
        <w:tabs>
          <w:tab w:val="left" w:pos="709"/>
        </w:tabs>
      </w:pPr>
    </w:p>
    <w:p w:rsidR="00E9751C" w:rsidRDefault="00E9751C" w:rsidP="006B1133">
      <w:pPr>
        <w:tabs>
          <w:tab w:val="left" w:pos="709"/>
        </w:tabs>
      </w:pPr>
      <w:r>
        <w:t xml:space="preserve">The amendment </w:t>
      </w:r>
      <w:r w:rsidR="00610D38">
        <w:t xml:space="preserve">to </w:t>
      </w:r>
      <w:r w:rsidR="00975FDF">
        <w:t>the note</w:t>
      </w:r>
      <w:r w:rsidR="00E2587F">
        <w:t xml:space="preserve"> </w:t>
      </w:r>
      <w:r w:rsidR="00D94684">
        <w:t xml:space="preserve">clarifies that </w:t>
      </w:r>
      <w:r w:rsidR="00F668F2">
        <w:t xml:space="preserve">the Court’s </w:t>
      </w:r>
      <w:r w:rsidR="00795EB5">
        <w:t xml:space="preserve">requirements </w:t>
      </w:r>
      <w:r w:rsidR="00F668F2">
        <w:t xml:space="preserve">in relation to documents which </w:t>
      </w:r>
      <w:r w:rsidR="00D94684">
        <w:t xml:space="preserve">can be set out in practice notes </w:t>
      </w:r>
      <w:r w:rsidR="00795EB5">
        <w:t>i</w:t>
      </w:r>
      <w:r w:rsidR="003559E8">
        <w:t>ssued</w:t>
      </w:r>
      <w:r w:rsidR="00F668F2">
        <w:t xml:space="preserve"> by the Chief Justice </w:t>
      </w:r>
      <w:r w:rsidR="00975FDF">
        <w:t>relate no</w:t>
      </w:r>
      <w:r w:rsidR="003559E8">
        <w:t>t only to the preparation of</w:t>
      </w:r>
      <w:r w:rsidR="00975FDF">
        <w:t xml:space="preserve"> documents but also to </w:t>
      </w:r>
      <w:r w:rsidR="003559E8">
        <w:t>their lodgment.</w:t>
      </w:r>
    </w:p>
    <w:p w:rsidR="007859C4" w:rsidRDefault="007859C4" w:rsidP="006B1133">
      <w:pPr>
        <w:tabs>
          <w:tab w:val="left" w:pos="709"/>
        </w:tabs>
        <w:rPr>
          <w:u w:val="single"/>
        </w:rPr>
      </w:pPr>
    </w:p>
    <w:p w:rsidR="00564CE1" w:rsidRPr="00FC343F" w:rsidRDefault="00564CE1" w:rsidP="00564CE1">
      <w:pPr>
        <w:tabs>
          <w:tab w:val="left" w:pos="709"/>
        </w:tabs>
        <w:rPr>
          <w:i/>
        </w:rPr>
      </w:pPr>
      <w:r>
        <w:rPr>
          <w:u w:val="single"/>
        </w:rPr>
        <w:t>[4]</w:t>
      </w:r>
      <w:r>
        <w:rPr>
          <w:u w:val="single"/>
        </w:rPr>
        <w:tab/>
      </w:r>
      <w:r w:rsidR="005931C7">
        <w:rPr>
          <w:u w:val="single"/>
        </w:rPr>
        <w:t>Rule 2.21 (note)</w:t>
      </w:r>
    </w:p>
    <w:p w:rsidR="00564CE1" w:rsidRPr="00564CE1" w:rsidRDefault="00564CE1" w:rsidP="006B1133">
      <w:pPr>
        <w:tabs>
          <w:tab w:val="left" w:pos="709"/>
        </w:tabs>
      </w:pPr>
    </w:p>
    <w:p w:rsidR="004305E5" w:rsidRDefault="003559E8" w:rsidP="006B1133">
      <w:pPr>
        <w:tabs>
          <w:tab w:val="left" w:pos="709"/>
        </w:tabs>
      </w:pPr>
      <w:r>
        <w:t xml:space="preserve">As noted </w:t>
      </w:r>
      <w:r w:rsidR="00CE5A0D">
        <w:t xml:space="preserve">in [3] </w:t>
      </w:r>
      <w:r>
        <w:t>above, r</w:t>
      </w:r>
      <w:r w:rsidR="00564CE1" w:rsidRPr="00564CE1">
        <w:t xml:space="preserve">ule </w:t>
      </w:r>
      <w:r w:rsidR="00795EB5">
        <w:t>2.21 outlines how a document is to be lodged with the Court</w:t>
      </w:r>
      <w:r w:rsidR="00564CE1">
        <w:t>.</w:t>
      </w:r>
    </w:p>
    <w:p w:rsidR="00564CE1" w:rsidRDefault="00564CE1" w:rsidP="006B1133">
      <w:pPr>
        <w:tabs>
          <w:tab w:val="left" w:pos="709"/>
        </w:tabs>
      </w:pPr>
    </w:p>
    <w:p w:rsidR="004305E5" w:rsidRDefault="004305E5" w:rsidP="006B1133">
      <w:pPr>
        <w:tabs>
          <w:tab w:val="left" w:pos="709"/>
        </w:tabs>
      </w:pPr>
      <w:r>
        <w:t>The note at the foot of rule 2.21 states that “Proper Registry” is defined in the Dictionary.</w:t>
      </w:r>
    </w:p>
    <w:p w:rsidR="004305E5" w:rsidRPr="00564CE1" w:rsidRDefault="004305E5" w:rsidP="006B1133">
      <w:pPr>
        <w:tabs>
          <w:tab w:val="left" w:pos="709"/>
        </w:tabs>
      </w:pPr>
    </w:p>
    <w:p w:rsidR="003559E8" w:rsidRDefault="00564CE1" w:rsidP="00610D38">
      <w:pPr>
        <w:tabs>
          <w:tab w:val="left" w:pos="709"/>
        </w:tabs>
      </w:pPr>
      <w:r w:rsidRPr="00564CE1">
        <w:t xml:space="preserve">This amendment </w:t>
      </w:r>
      <w:r w:rsidR="003559E8">
        <w:t xml:space="preserve">renumbers the existing note as “Note 1” and </w:t>
      </w:r>
      <w:r w:rsidR="00610D38">
        <w:t xml:space="preserve">inserts </w:t>
      </w:r>
      <w:r w:rsidR="003559E8">
        <w:t>after it a second note.</w:t>
      </w:r>
      <w:r w:rsidR="00610D38">
        <w:t xml:space="preserve">  The new note is </w:t>
      </w:r>
      <w:r w:rsidR="003559E8">
        <w:t xml:space="preserve">identical to </w:t>
      </w:r>
      <w:r w:rsidR="00610D38">
        <w:t xml:space="preserve">the amended Note 2 </w:t>
      </w:r>
      <w:r w:rsidR="003559E8">
        <w:t xml:space="preserve">to </w:t>
      </w:r>
      <w:r w:rsidR="00610D38">
        <w:t>rule 2.11</w:t>
      </w:r>
      <w:r w:rsidR="00C95BC5">
        <w:t xml:space="preserve"> </w:t>
      </w:r>
      <w:r w:rsidR="003559E8">
        <w:t xml:space="preserve">(see </w:t>
      </w:r>
      <w:r w:rsidR="00CE5A0D">
        <w:t xml:space="preserve">[3] </w:t>
      </w:r>
      <w:r w:rsidR="003559E8">
        <w:t>above), reinforcing that the Court’s requirements in relation to documents which can be set out in practice notes issued by the Chief Justice can relate to both the preparation and lodg</w:t>
      </w:r>
      <w:r w:rsidR="00B1494C">
        <w:t>ing</w:t>
      </w:r>
      <w:r w:rsidR="003559E8">
        <w:t xml:space="preserve"> of documents.  </w:t>
      </w:r>
    </w:p>
    <w:p w:rsidR="003559E8" w:rsidRDefault="003559E8" w:rsidP="00610D38">
      <w:pPr>
        <w:tabs>
          <w:tab w:val="left" w:pos="709"/>
        </w:tabs>
      </w:pPr>
    </w:p>
    <w:p w:rsidR="00FC343F" w:rsidRPr="00FC343F" w:rsidRDefault="00B1494C" w:rsidP="006B1133">
      <w:pPr>
        <w:tabs>
          <w:tab w:val="left" w:pos="709"/>
        </w:tabs>
        <w:rPr>
          <w:i/>
        </w:rPr>
      </w:pPr>
      <w:r>
        <w:rPr>
          <w:u w:val="single"/>
        </w:rPr>
        <w:t xml:space="preserve"> </w:t>
      </w:r>
      <w:r w:rsidR="009C3950">
        <w:rPr>
          <w:u w:val="single"/>
        </w:rPr>
        <w:t>[</w:t>
      </w:r>
      <w:r w:rsidR="00564CE1">
        <w:rPr>
          <w:u w:val="single"/>
        </w:rPr>
        <w:t>5</w:t>
      </w:r>
      <w:r w:rsidR="00FC343F">
        <w:rPr>
          <w:u w:val="single"/>
        </w:rPr>
        <w:t>]</w:t>
      </w:r>
      <w:r w:rsidR="00FC343F">
        <w:rPr>
          <w:u w:val="single"/>
        </w:rPr>
        <w:tab/>
      </w:r>
      <w:r w:rsidR="005931C7">
        <w:rPr>
          <w:u w:val="single"/>
        </w:rPr>
        <w:t>At the end of Division 2.3</w:t>
      </w:r>
    </w:p>
    <w:p w:rsidR="006B1133" w:rsidRDefault="006B1133" w:rsidP="006B1133">
      <w:pPr>
        <w:tabs>
          <w:tab w:val="left" w:pos="709"/>
        </w:tabs>
      </w:pPr>
    </w:p>
    <w:bookmarkEnd w:id="5"/>
    <w:bookmarkEnd w:id="6"/>
    <w:p w:rsidR="005B0853" w:rsidRDefault="00E9751C" w:rsidP="00C95BC5">
      <w:pPr>
        <w:tabs>
          <w:tab w:val="left" w:pos="709"/>
        </w:tabs>
      </w:pPr>
      <w:r>
        <w:t xml:space="preserve">Division </w:t>
      </w:r>
      <w:r w:rsidR="00C95BC5">
        <w:t>2</w:t>
      </w:r>
      <w:r>
        <w:t>.</w:t>
      </w:r>
      <w:r w:rsidR="00C95BC5">
        <w:t>3</w:t>
      </w:r>
      <w:r>
        <w:t xml:space="preserve"> deals with </w:t>
      </w:r>
      <w:r w:rsidR="00C95BC5">
        <w:t>lodging and filing of documents</w:t>
      </w:r>
      <w:r w:rsidR="00B1494C">
        <w:t xml:space="preserve"> generally</w:t>
      </w:r>
      <w:r>
        <w:t xml:space="preserve">.  </w:t>
      </w:r>
    </w:p>
    <w:p w:rsidR="00C95BC5" w:rsidRDefault="00C95BC5" w:rsidP="00C95BC5">
      <w:pPr>
        <w:tabs>
          <w:tab w:val="left" w:pos="709"/>
        </w:tabs>
      </w:pPr>
    </w:p>
    <w:p w:rsidR="005D4E9D" w:rsidRDefault="005B0853" w:rsidP="005D4E9D">
      <w:pPr>
        <w:tabs>
          <w:tab w:val="left" w:pos="709"/>
        </w:tabs>
      </w:pPr>
      <w:r>
        <w:t xml:space="preserve">This amendment </w:t>
      </w:r>
      <w:r w:rsidR="00C95BC5">
        <w:t>inserts at the end of the division two new rules.</w:t>
      </w:r>
      <w:r w:rsidR="00B1494C">
        <w:t xml:space="preserve">  </w:t>
      </w:r>
      <w:r w:rsidR="00C95BC5">
        <w:t xml:space="preserve">Rule 2.28 provides </w:t>
      </w:r>
      <w:r w:rsidR="001E349E">
        <w:t>for removal from the Court file of a document which has</w:t>
      </w:r>
      <w:r w:rsidR="00C95BC5">
        <w:t xml:space="preserve"> </w:t>
      </w:r>
      <w:r w:rsidR="00F50690">
        <w:t>be</w:t>
      </w:r>
      <w:r w:rsidR="00705C1C">
        <w:t>e</w:t>
      </w:r>
      <w:r w:rsidR="00F50690">
        <w:t xml:space="preserve">n </w:t>
      </w:r>
      <w:r w:rsidR="00C95BC5">
        <w:t xml:space="preserve">accepted for filing </w:t>
      </w:r>
      <w:r w:rsidR="001E349E">
        <w:t xml:space="preserve">in certain circumstances </w:t>
      </w:r>
      <w:r w:rsidR="00C95BC5">
        <w:t xml:space="preserve">and </w:t>
      </w:r>
      <w:r w:rsidR="001E349E">
        <w:t xml:space="preserve">for the </w:t>
      </w:r>
      <w:r w:rsidR="00C95BC5">
        <w:t>storage</w:t>
      </w:r>
      <w:r w:rsidR="001E349E">
        <w:t xml:space="preserve"> of any such document after removal</w:t>
      </w:r>
      <w:r w:rsidR="00C95BC5">
        <w:t xml:space="preserve">.  </w:t>
      </w:r>
      <w:r w:rsidR="005D4E9D">
        <w:t>Rule</w:t>
      </w:r>
      <w:r w:rsidR="001E349E">
        <w:t xml:space="preserve"> 2.29 provides for the removal from the Court file of a document and its replacement with a redacted copy in certain circumstances and the </w:t>
      </w:r>
      <w:r w:rsidR="005D4E9D">
        <w:t xml:space="preserve">storage of </w:t>
      </w:r>
      <w:r w:rsidR="001E349E">
        <w:t xml:space="preserve">any such </w:t>
      </w:r>
      <w:r w:rsidR="005D4E9D">
        <w:t>document</w:t>
      </w:r>
      <w:r w:rsidR="001E349E">
        <w:t xml:space="preserve"> after removal</w:t>
      </w:r>
      <w:r w:rsidR="005D4E9D">
        <w:t>.</w:t>
      </w:r>
    </w:p>
    <w:p w:rsidR="005D4E9D" w:rsidRDefault="005D4E9D" w:rsidP="00792549">
      <w:pPr>
        <w:tabs>
          <w:tab w:val="left" w:pos="709"/>
        </w:tabs>
      </w:pPr>
    </w:p>
    <w:p w:rsidR="00732553" w:rsidRDefault="003A0A70" w:rsidP="00792549">
      <w:pPr>
        <w:tabs>
          <w:tab w:val="left" w:pos="709"/>
        </w:tabs>
      </w:pPr>
      <w:r>
        <w:t xml:space="preserve">Under </w:t>
      </w:r>
      <w:proofErr w:type="spellStart"/>
      <w:r>
        <w:t>subrule</w:t>
      </w:r>
      <w:r w:rsidR="005D4E9D">
        <w:t>s</w:t>
      </w:r>
      <w:proofErr w:type="spellEnd"/>
      <w:r>
        <w:t xml:space="preserve"> 2.28(1) </w:t>
      </w:r>
      <w:r w:rsidR="005D4E9D">
        <w:t xml:space="preserve">and 2.29(1) </w:t>
      </w:r>
      <w:r w:rsidR="001E349E">
        <w:t>a docume</w:t>
      </w:r>
      <w:r w:rsidR="00732553">
        <w:t>nt will be removed or removed and</w:t>
      </w:r>
      <w:r w:rsidR="001E349E">
        <w:t xml:space="preserve"> replaced</w:t>
      </w:r>
      <w:r w:rsidR="00732553">
        <w:t>:</w:t>
      </w:r>
    </w:p>
    <w:p w:rsidR="00732553" w:rsidRDefault="00C95BC5" w:rsidP="00732553">
      <w:pPr>
        <w:numPr>
          <w:ilvl w:val="0"/>
          <w:numId w:val="20"/>
        </w:numPr>
        <w:tabs>
          <w:tab w:val="left" w:pos="709"/>
        </w:tabs>
      </w:pPr>
      <w:r>
        <w:t xml:space="preserve">if the Court </w:t>
      </w:r>
      <w:r w:rsidR="001E349E">
        <w:t>orders</w:t>
      </w:r>
      <w:r>
        <w:t xml:space="preserve"> that the document be removed from the Court file</w:t>
      </w:r>
      <w:r w:rsidR="001E349E">
        <w:t xml:space="preserve"> or</w:t>
      </w:r>
      <w:r w:rsidR="005D4E9D">
        <w:t xml:space="preserve"> </w:t>
      </w:r>
      <w:r w:rsidR="00732553">
        <w:t xml:space="preserve">that it </w:t>
      </w:r>
      <w:r w:rsidR="00F548F9">
        <w:t xml:space="preserve">be </w:t>
      </w:r>
      <w:r w:rsidR="005D4E9D">
        <w:t>removed and replaced w</w:t>
      </w:r>
      <w:r w:rsidR="00732553">
        <w:t xml:space="preserve">ith a redacted copy, </w:t>
      </w:r>
      <w:r>
        <w:t>on it</w:t>
      </w:r>
      <w:r w:rsidR="003A0A70">
        <w:t>s</w:t>
      </w:r>
      <w:r>
        <w:t xml:space="preserve"> own initiative or on the application of a party under rule 6.01 or </w:t>
      </w:r>
      <w:proofErr w:type="spellStart"/>
      <w:r>
        <w:t>subrul</w:t>
      </w:r>
      <w:r w:rsidR="003A0A70">
        <w:t>e</w:t>
      </w:r>
      <w:proofErr w:type="spellEnd"/>
      <w:r>
        <w:t xml:space="preserve"> 16.21(2)</w:t>
      </w:r>
      <w:r w:rsidR="00732553">
        <w:t>; or</w:t>
      </w:r>
    </w:p>
    <w:p w:rsidR="00262950" w:rsidRDefault="003A0A70" w:rsidP="00732553">
      <w:pPr>
        <w:numPr>
          <w:ilvl w:val="0"/>
          <w:numId w:val="20"/>
        </w:numPr>
        <w:tabs>
          <w:tab w:val="left" w:pos="709"/>
        </w:tabs>
      </w:pPr>
      <w:r>
        <w:t xml:space="preserve">for an affidavit, </w:t>
      </w:r>
      <w:r w:rsidR="00732553">
        <w:t xml:space="preserve">if </w:t>
      </w:r>
      <w:r>
        <w:t>the Court order</w:t>
      </w:r>
      <w:r w:rsidR="001E349E">
        <w:t>s</w:t>
      </w:r>
      <w:r>
        <w:t xml:space="preserve"> that the affidavit</w:t>
      </w:r>
      <w:r w:rsidR="00732553">
        <w:t xml:space="preserve"> be removed from the Court file</w:t>
      </w:r>
      <w:r w:rsidR="00262950">
        <w:t xml:space="preserve"> or removed and replaced with a redacted copy</w:t>
      </w:r>
      <w:r w:rsidR="00732553">
        <w:t xml:space="preserve">, </w:t>
      </w:r>
      <w:r>
        <w:t>on its own initiative or on the application of</w:t>
      </w:r>
      <w:r w:rsidR="00732553">
        <w:t xml:space="preserve"> a party under </w:t>
      </w:r>
      <w:proofErr w:type="spellStart"/>
      <w:r w:rsidR="00732553">
        <w:t>subrule</w:t>
      </w:r>
      <w:proofErr w:type="spellEnd"/>
      <w:r w:rsidR="00732553">
        <w:t xml:space="preserve"> 29.03(2)</w:t>
      </w:r>
      <w:r w:rsidR="001E349E">
        <w:t>;</w:t>
      </w:r>
      <w:r>
        <w:t xml:space="preserve"> </w:t>
      </w:r>
      <w:r w:rsidR="00732553">
        <w:t>or</w:t>
      </w:r>
    </w:p>
    <w:p w:rsidR="00732553" w:rsidRDefault="00732553" w:rsidP="00732553">
      <w:pPr>
        <w:numPr>
          <w:ilvl w:val="0"/>
          <w:numId w:val="20"/>
        </w:numPr>
        <w:tabs>
          <w:tab w:val="left" w:pos="709"/>
        </w:tabs>
      </w:pPr>
      <w:r>
        <w:t xml:space="preserve">if </w:t>
      </w:r>
      <w:r w:rsidR="003A0A70">
        <w:t>the Court is satisfied that</w:t>
      </w:r>
      <w:r>
        <w:t>:</w:t>
      </w:r>
    </w:p>
    <w:p w:rsidR="00732553" w:rsidRDefault="005D4E9D" w:rsidP="00262950">
      <w:pPr>
        <w:numPr>
          <w:ilvl w:val="1"/>
          <w:numId w:val="20"/>
        </w:numPr>
        <w:tabs>
          <w:tab w:val="left" w:pos="709"/>
        </w:tabs>
      </w:pPr>
      <w:r>
        <w:t>for paragraph 2.28(1)(c)</w:t>
      </w:r>
      <w:r w:rsidR="00732553">
        <w:t xml:space="preserve"> -</w:t>
      </w:r>
      <w:r>
        <w:t xml:space="preserve"> </w:t>
      </w:r>
      <w:r w:rsidR="003A0A70">
        <w:t>the document is otherwise an abuse of process of the Court or should not, under rule 2.27, have been accepted for filing</w:t>
      </w:r>
      <w:r w:rsidR="00732553">
        <w:t>; and</w:t>
      </w:r>
    </w:p>
    <w:p w:rsidR="00C95BC5" w:rsidRDefault="005D4E9D" w:rsidP="00262950">
      <w:pPr>
        <w:numPr>
          <w:ilvl w:val="1"/>
          <w:numId w:val="20"/>
        </w:numPr>
        <w:tabs>
          <w:tab w:val="left" w:pos="709"/>
        </w:tabs>
      </w:pPr>
      <w:r>
        <w:t>for paragraph 2.29(</w:t>
      </w:r>
      <w:r w:rsidR="00F076DA">
        <w:t>1</w:t>
      </w:r>
      <w:r>
        <w:t>)</w:t>
      </w:r>
      <w:r w:rsidR="00F076DA">
        <w:t>(c)</w:t>
      </w:r>
      <w:r w:rsidR="00732553">
        <w:t xml:space="preserve"> -</w:t>
      </w:r>
      <w:r w:rsidR="00F076DA">
        <w:t xml:space="preserve"> any part of the document is otherwise an abuse of process of the Court and it is reasonably practicable for that part of the document to be redacted.</w:t>
      </w:r>
    </w:p>
    <w:p w:rsidR="003A0A70" w:rsidRDefault="003A0A70" w:rsidP="00792549">
      <w:pPr>
        <w:tabs>
          <w:tab w:val="left" w:pos="709"/>
        </w:tabs>
      </w:pPr>
    </w:p>
    <w:p w:rsidR="00BC5CE2" w:rsidRDefault="003A0A70" w:rsidP="00792549">
      <w:pPr>
        <w:tabs>
          <w:tab w:val="left" w:pos="709"/>
        </w:tabs>
      </w:pPr>
      <w:proofErr w:type="spellStart"/>
      <w:r>
        <w:t>Subrule</w:t>
      </w:r>
      <w:r w:rsidR="00262950">
        <w:t>s</w:t>
      </w:r>
      <w:proofErr w:type="spellEnd"/>
      <w:r>
        <w:t xml:space="preserve"> 2.28(2) </w:t>
      </w:r>
      <w:r w:rsidR="00262950">
        <w:t xml:space="preserve">and 2.29(2) respectively </w:t>
      </w:r>
      <w:r>
        <w:t>provide that a party m</w:t>
      </w:r>
      <w:r w:rsidR="00BC5CE2">
        <w:t>a</w:t>
      </w:r>
      <w:r>
        <w:t>y apply to the Court for an order</w:t>
      </w:r>
      <w:r w:rsidR="00BC5CE2">
        <w:t>:</w:t>
      </w:r>
    </w:p>
    <w:p w:rsidR="00BC5CE2" w:rsidRDefault="003A0A70" w:rsidP="00BC5CE2">
      <w:pPr>
        <w:numPr>
          <w:ilvl w:val="0"/>
          <w:numId w:val="21"/>
        </w:numPr>
        <w:tabs>
          <w:tab w:val="left" w:pos="709"/>
        </w:tabs>
      </w:pPr>
      <w:r>
        <w:t xml:space="preserve">under subparagraph </w:t>
      </w:r>
      <w:r w:rsidR="00262950">
        <w:t>2.28</w:t>
      </w:r>
      <w:r>
        <w:t>(1)(c)(</w:t>
      </w:r>
      <w:proofErr w:type="spellStart"/>
      <w:r>
        <w:t>i</w:t>
      </w:r>
      <w:proofErr w:type="spellEnd"/>
      <w:r>
        <w:t xml:space="preserve">) </w:t>
      </w:r>
      <w:r w:rsidR="00262950">
        <w:t>or (ii) that a document be removed from the Court file</w:t>
      </w:r>
      <w:r w:rsidR="00BC5CE2">
        <w:t>; and</w:t>
      </w:r>
    </w:p>
    <w:p w:rsidR="003A0A70" w:rsidRDefault="00BC5CE2" w:rsidP="00BC5CE2">
      <w:pPr>
        <w:numPr>
          <w:ilvl w:val="0"/>
          <w:numId w:val="21"/>
        </w:numPr>
        <w:tabs>
          <w:tab w:val="left" w:pos="709"/>
        </w:tabs>
      </w:pPr>
      <w:r>
        <w:t>un</w:t>
      </w:r>
      <w:r w:rsidR="00262950">
        <w:t xml:space="preserve">der </w:t>
      </w:r>
      <w:proofErr w:type="spellStart"/>
      <w:r w:rsidR="00262950">
        <w:t>under</w:t>
      </w:r>
      <w:proofErr w:type="spellEnd"/>
      <w:r w:rsidR="00262950">
        <w:t xml:space="preserve"> subparagraph 2.29(1)(c)</w:t>
      </w:r>
      <w:r w:rsidR="00262950" w:rsidRPr="00262950">
        <w:t xml:space="preserve"> </w:t>
      </w:r>
      <w:r w:rsidR="00262950">
        <w:t>that a document be removed from the Court file and replaced with a redacted copy.</w:t>
      </w:r>
    </w:p>
    <w:p w:rsidR="003A0A70" w:rsidRDefault="003A0A70" w:rsidP="00792549">
      <w:pPr>
        <w:tabs>
          <w:tab w:val="left" w:pos="709"/>
        </w:tabs>
      </w:pPr>
    </w:p>
    <w:p w:rsidR="00BC5CE2" w:rsidRDefault="003A0A70" w:rsidP="00792549">
      <w:pPr>
        <w:tabs>
          <w:tab w:val="left" w:pos="709"/>
        </w:tabs>
      </w:pPr>
      <w:proofErr w:type="spellStart"/>
      <w:r>
        <w:t>Subrule</w:t>
      </w:r>
      <w:r w:rsidR="00F076DA">
        <w:t>s</w:t>
      </w:r>
      <w:proofErr w:type="spellEnd"/>
      <w:r>
        <w:t xml:space="preserve"> 2.28(3) </w:t>
      </w:r>
      <w:r w:rsidR="00BC5CE2">
        <w:t xml:space="preserve">and 2.29(4) </w:t>
      </w:r>
      <w:r>
        <w:t>provide that a document remo</w:t>
      </w:r>
      <w:r w:rsidR="00BC5CE2">
        <w:t xml:space="preserve">ved from a Court file under the </w:t>
      </w:r>
      <w:r>
        <w:t>rule</w:t>
      </w:r>
      <w:r w:rsidR="00F50690">
        <w:t>,</w:t>
      </w:r>
      <w:r>
        <w:t xml:space="preserve"> </w:t>
      </w:r>
      <w:r w:rsidR="00BC5CE2">
        <w:t>as relevant</w:t>
      </w:r>
      <w:r w:rsidR="00F50690">
        <w:t>,</w:t>
      </w:r>
      <w:r w:rsidR="00BC5CE2">
        <w:t xml:space="preserve"> </w:t>
      </w:r>
      <w:r>
        <w:t>must be stored</w:t>
      </w:r>
      <w:r w:rsidR="00BC5CE2">
        <w:t>:</w:t>
      </w:r>
    </w:p>
    <w:p w:rsidR="00BC5CE2" w:rsidRDefault="003A0A70" w:rsidP="00BC5CE2">
      <w:pPr>
        <w:numPr>
          <w:ilvl w:val="0"/>
          <w:numId w:val="22"/>
        </w:numPr>
        <w:tabs>
          <w:tab w:val="left" w:pos="709"/>
        </w:tabs>
      </w:pPr>
      <w:r>
        <w:t>if an</w:t>
      </w:r>
      <w:r w:rsidR="00BC5CE2">
        <w:t>y</w:t>
      </w:r>
      <w:r>
        <w:t xml:space="preserve"> order m</w:t>
      </w:r>
      <w:r w:rsidR="00BC5CE2">
        <w:t xml:space="preserve">ade under the relevant rule </w:t>
      </w:r>
      <w:r>
        <w:t xml:space="preserve">specifies a way to store the document, </w:t>
      </w:r>
      <w:r w:rsidR="00BC5CE2">
        <w:t xml:space="preserve">then  </w:t>
      </w:r>
      <w:r>
        <w:t xml:space="preserve">in the way </w:t>
      </w:r>
      <w:r w:rsidR="00BC5CE2">
        <w:t xml:space="preserve">that is </w:t>
      </w:r>
      <w:r>
        <w:t>specified</w:t>
      </w:r>
      <w:r w:rsidR="00BC5CE2">
        <w:t>; or</w:t>
      </w:r>
    </w:p>
    <w:p w:rsidR="003A0A70" w:rsidRDefault="003A0A70" w:rsidP="00BC5CE2">
      <w:pPr>
        <w:numPr>
          <w:ilvl w:val="0"/>
          <w:numId w:val="22"/>
        </w:numPr>
        <w:tabs>
          <w:tab w:val="left" w:pos="709"/>
        </w:tabs>
      </w:pPr>
      <w:r>
        <w:t>o</w:t>
      </w:r>
      <w:r w:rsidR="00BC5CE2">
        <w:t xml:space="preserve">therwise </w:t>
      </w:r>
      <w:r>
        <w:t>as directed by the District Registrar.</w:t>
      </w:r>
    </w:p>
    <w:p w:rsidR="003A0A70" w:rsidRDefault="003A0A70" w:rsidP="00792549">
      <w:pPr>
        <w:tabs>
          <w:tab w:val="left" w:pos="709"/>
        </w:tabs>
      </w:pPr>
    </w:p>
    <w:p w:rsidR="00A30427" w:rsidRDefault="00F076DA" w:rsidP="00792549">
      <w:pPr>
        <w:tabs>
          <w:tab w:val="left" w:pos="709"/>
        </w:tabs>
      </w:pPr>
      <w:proofErr w:type="spellStart"/>
      <w:r>
        <w:t>Subrule</w:t>
      </w:r>
      <w:proofErr w:type="spellEnd"/>
      <w:r>
        <w:t xml:space="preserve"> 2.29(3)</w:t>
      </w:r>
      <w:r w:rsidR="00D47BE3">
        <w:t xml:space="preserve"> provides that if any part</w:t>
      </w:r>
      <w:r w:rsidR="00A30427">
        <w:t xml:space="preserve"> or parts</w:t>
      </w:r>
      <w:r w:rsidR="00D47BE3">
        <w:t xml:space="preserve"> of a document are </w:t>
      </w:r>
      <w:r w:rsidR="00BC5CE2">
        <w:t xml:space="preserve">struck out or removed under </w:t>
      </w:r>
      <w:r w:rsidR="00D47BE3">
        <w:t>rule</w:t>
      </w:r>
      <w:r w:rsidR="00A30427">
        <w:t xml:space="preserve"> 2.29</w:t>
      </w:r>
    </w:p>
    <w:p w:rsidR="00A30427" w:rsidRDefault="00A30427" w:rsidP="00A30427">
      <w:pPr>
        <w:numPr>
          <w:ilvl w:val="0"/>
          <w:numId w:val="23"/>
        </w:numPr>
        <w:tabs>
          <w:tab w:val="left" w:pos="709"/>
        </w:tabs>
      </w:pPr>
      <w:r>
        <w:t xml:space="preserve">the </w:t>
      </w:r>
      <w:r w:rsidR="00D47BE3">
        <w:t>corresponding part</w:t>
      </w:r>
      <w:r>
        <w:t xml:space="preserve"> or parts </w:t>
      </w:r>
      <w:r w:rsidR="00D47BE3">
        <w:t xml:space="preserve">of the redacted copy of the document </w:t>
      </w:r>
      <w:r w:rsidR="00F50690">
        <w:t>replacing</w:t>
      </w:r>
      <w:r>
        <w:t xml:space="preserve"> it </w:t>
      </w:r>
      <w:r w:rsidR="00D47BE3">
        <w:t xml:space="preserve">must be unable to </w:t>
      </w:r>
      <w:r>
        <w:t xml:space="preserve">be </w:t>
      </w:r>
      <w:r w:rsidR="00D47BE3">
        <w:t>read in any way</w:t>
      </w:r>
      <w:r>
        <w:t>;</w:t>
      </w:r>
      <w:r w:rsidR="00D47BE3">
        <w:t xml:space="preserve"> and</w:t>
      </w:r>
    </w:p>
    <w:p w:rsidR="00F076DA" w:rsidRDefault="00D47BE3" w:rsidP="00A30427">
      <w:pPr>
        <w:numPr>
          <w:ilvl w:val="0"/>
          <w:numId w:val="23"/>
        </w:numPr>
        <w:tabs>
          <w:tab w:val="left" w:pos="709"/>
        </w:tabs>
      </w:pPr>
      <w:r>
        <w:t>th</w:t>
      </w:r>
      <w:r w:rsidR="00A30427">
        <w:t>at</w:t>
      </w:r>
      <w:r>
        <w:t xml:space="preserve"> redacted copy must be marked with the date on which the </w:t>
      </w:r>
      <w:r w:rsidR="00A30427">
        <w:t xml:space="preserve">relevant </w:t>
      </w:r>
      <w:r>
        <w:t>order was made and each date on which redaction was performed.</w:t>
      </w:r>
    </w:p>
    <w:p w:rsidR="00F076DA" w:rsidRDefault="00F076DA" w:rsidP="00792549">
      <w:pPr>
        <w:tabs>
          <w:tab w:val="left" w:pos="709"/>
        </w:tabs>
      </w:pPr>
    </w:p>
    <w:p w:rsidR="001C4397" w:rsidRDefault="00D47BE3" w:rsidP="00792549">
      <w:pPr>
        <w:tabs>
          <w:tab w:val="left" w:pos="709"/>
        </w:tabs>
      </w:pPr>
      <w:r>
        <w:t>The insertion of the rule</w:t>
      </w:r>
      <w:r w:rsidR="00A30427">
        <w:t>s</w:t>
      </w:r>
      <w:r>
        <w:t xml:space="preserve"> 2.28 </w:t>
      </w:r>
      <w:r w:rsidR="00A30427">
        <w:t xml:space="preserve">and 2.29 remove any doubt about the powers of the Court </w:t>
      </w:r>
      <w:r w:rsidR="0045275D">
        <w:t xml:space="preserve">in regard to the removal of a document </w:t>
      </w:r>
      <w:r w:rsidR="001C4397">
        <w:t>from a Court file and, if appropriate, its replacement with a redacted copy.  These rule</w:t>
      </w:r>
      <w:r w:rsidR="00F548F9">
        <w:t>s clarify the circumstances where</w:t>
      </w:r>
      <w:r w:rsidR="001C4397">
        <w:t xml:space="preserve"> orders for removal or removal and replacement may be made and sought and the way any document which is removed must be stored.</w:t>
      </w:r>
    </w:p>
    <w:p w:rsidR="00D47BE3" w:rsidRDefault="00D47BE3" w:rsidP="00792549">
      <w:pPr>
        <w:tabs>
          <w:tab w:val="left" w:pos="709"/>
        </w:tabs>
      </w:pPr>
    </w:p>
    <w:p w:rsidR="004B34D5" w:rsidRDefault="004B34D5" w:rsidP="00792549">
      <w:pPr>
        <w:tabs>
          <w:tab w:val="left" w:pos="709"/>
        </w:tabs>
      </w:pPr>
      <w:r>
        <w:rPr>
          <w:u w:val="single"/>
        </w:rPr>
        <w:t>[6]</w:t>
      </w:r>
      <w:r>
        <w:rPr>
          <w:u w:val="single"/>
        </w:rPr>
        <w:tab/>
      </w:r>
      <w:r w:rsidR="005931C7">
        <w:rPr>
          <w:u w:val="single"/>
        </w:rPr>
        <w:t>Division 2.3</w:t>
      </w:r>
    </w:p>
    <w:p w:rsidR="004B34D5" w:rsidRDefault="004B34D5" w:rsidP="00792549">
      <w:pPr>
        <w:tabs>
          <w:tab w:val="left" w:pos="709"/>
        </w:tabs>
      </w:pPr>
    </w:p>
    <w:p w:rsidR="001C4397" w:rsidRDefault="001C4397" w:rsidP="00792549">
      <w:pPr>
        <w:tabs>
          <w:tab w:val="left" w:pos="709"/>
        </w:tabs>
      </w:pPr>
      <w:r>
        <w:t xml:space="preserve">Rule numbers were purposely left blank at the end of each Division of the </w:t>
      </w:r>
      <w:r w:rsidR="00501DBE">
        <w:t>FCR 2011</w:t>
      </w:r>
      <w:r>
        <w:t xml:space="preserve"> </w:t>
      </w:r>
      <w:r w:rsidR="00F50690">
        <w:t>for future rules.  A</w:t>
      </w:r>
      <w:r w:rsidR="00514E88">
        <w:t xml:space="preserve">ppropriate </w:t>
      </w:r>
      <w:r w:rsidR="00D0025C">
        <w:t>notation</w:t>
      </w:r>
      <w:r w:rsidR="00514E88">
        <w:t xml:space="preserve">s </w:t>
      </w:r>
      <w:r w:rsidR="00F50690">
        <w:t xml:space="preserve">were </w:t>
      </w:r>
      <w:r w:rsidR="00514E88">
        <w:t>included of the numbers reserved</w:t>
      </w:r>
      <w:r w:rsidR="00D0025C">
        <w:t>.</w:t>
      </w:r>
    </w:p>
    <w:p w:rsidR="000C6B47" w:rsidRDefault="000C6B47" w:rsidP="00792549">
      <w:pPr>
        <w:tabs>
          <w:tab w:val="left" w:pos="709"/>
        </w:tabs>
      </w:pPr>
    </w:p>
    <w:p w:rsidR="000C6B47" w:rsidRDefault="000C6B47" w:rsidP="00792549">
      <w:pPr>
        <w:tabs>
          <w:tab w:val="left" w:pos="709"/>
        </w:tabs>
      </w:pPr>
      <w:r>
        <w:t xml:space="preserve">Following </w:t>
      </w:r>
      <w:r w:rsidR="00D0025C">
        <w:t xml:space="preserve">use of </w:t>
      </w:r>
      <w:r w:rsidR="00514E88">
        <w:t xml:space="preserve">rule </w:t>
      </w:r>
      <w:r w:rsidR="00D0025C">
        <w:t xml:space="preserve">numbers </w:t>
      </w:r>
      <w:r>
        <w:t xml:space="preserve">2.28 and 2.29 </w:t>
      </w:r>
      <w:r w:rsidR="00514E88">
        <w:t xml:space="preserve">for new rules </w:t>
      </w:r>
      <w:r>
        <w:t xml:space="preserve">as </w:t>
      </w:r>
      <w:r w:rsidR="00CE5A0D">
        <w:t xml:space="preserve">discussed at [5] </w:t>
      </w:r>
      <w:r>
        <w:t>above, this amen</w:t>
      </w:r>
      <w:r w:rsidR="00D0025C">
        <w:t xml:space="preserve">dment removes the existing notation </w:t>
      </w:r>
      <w:r w:rsidR="00514E88">
        <w:t xml:space="preserve">at the end of Division 2.3 </w:t>
      </w:r>
      <w:r>
        <w:t>that “Rules 2.28 – 2.30 left blank” and inserts instead “Rule 2.30 left blank”.</w:t>
      </w:r>
    </w:p>
    <w:p w:rsidR="004B34D5" w:rsidRPr="004B34D5" w:rsidRDefault="004B34D5" w:rsidP="00792549">
      <w:pPr>
        <w:tabs>
          <w:tab w:val="left" w:pos="709"/>
        </w:tabs>
        <w:rPr>
          <w:szCs w:val="24"/>
        </w:rPr>
      </w:pPr>
    </w:p>
    <w:p w:rsidR="00B016A2" w:rsidRPr="00FC343F" w:rsidRDefault="00B56614" w:rsidP="00B016A2">
      <w:pPr>
        <w:tabs>
          <w:tab w:val="left" w:pos="709"/>
        </w:tabs>
        <w:rPr>
          <w:i/>
        </w:rPr>
      </w:pPr>
      <w:r>
        <w:rPr>
          <w:u w:val="single"/>
        </w:rPr>
        <w:t>[</w:t>
      </w:r>
      <w:r w:rsidR="002320EB">
        <w:rPr>
          <w:u w:val="single"/>
        </w:rPr>
        <w:t>7</w:t>
      </w:r>
      <w:r w:rsidR="00B016A2">
        <w:rPr>
          <w:u w:val="single"/>
        </w:rPr>
        <w:t>]</w:t>
      </w:r>
      <w:r w:rsidR="00B016A2">
        <w:rPr>
          <w:u w:val="single"/>
        </w:rPr>
        <w:tab/>
      </w:r>
      <w:r w:rsidR="005931C7">
        <w:rPr>
          <w:u w:val="single"/>
        </w:rPr>
        <w:t>Rule 7.28</w:t>
      </w:r>
    </w:p>
    <w:p w:rsidR="00F076DA" w:rsidRDefault="00F076DA" w:rsidP="00B016A2">
      <w:pPr>
        <w:tabs>
          <w:tab w:val="left" w:pos="709"/>
        </w:tabs>
      </w:pPr>
    </w:p>
    <w:p w:rsidR="00782335" w:rsidRDefault="00514E88" w:rsidP="00B016A2">
      <w:pPr>
        <w:tabs>
          <w:tab w:val="left" w:pos="709"/>
        </w:tabs>
      </w:pPr>
      <w:r>
        <w:t>Where the Court has ordered preliminary discovery before the start of a substantive proceeding and, as a result, a document is produced for inspection by a prospective applicant</w:t>
      </w:r>
      <w:r w:rsidR="00782335">
        <w:t xml:space="preserve">, rule 7.28 permits that </w:t>
      </w:r>
      <w:r>
        <w:t>prospective applicant</w:t>
      </w:r>
      <w:r w:rsidR="00782335">
        <w:t xml:space="preserve"> to copy the document at his or her own expense, subject to any reasonable conditions imposed by the person producing the document.</w:t>
      </w:r>
    </w:p>
    <w:p w:rsidR="003E293F" w:rsidRDefault="003E293F" w:rsidP="00B016A2">
      <w:pPr>
        <w:tabs>
          <w:tab w:val="left" w:pos="709"/>
        </w:tabs>
      </w:pPr>
    </w:p>
    <w:p w:rsidR="003E293F" w:rsidRDefault="00F548F9" w:rsidP="00B016A2">
      <w:pPr>
        <w:tabs>
          <w:tab w:val="left" w:pos="709"/>
        </w:tabs>
      </w:pPr>
      <w:r>
        <w:t>In the case of discovery</w:t>
      </w:r>
      <w:r w:rsidR="003E293F">
        <w:t xml:space="preserve"> </w:t>
      </w:r>
      <w:r w:rsidR="0019361E">
        <w:t xml:space="preserve">ordered </w:t>
      </w:r>
      <w:r w:rsidR="003E293F">
        <w:t xml:space="preserve">as between parties in </w:t>
      </w:r>
      <w:r w:rsidR="0019361E">
        <w:t xml:space="preserve">a </w:t>
      </w:r>
      <w:r w:rsidR="003E293F">
        <w:t>substantive proceedings, the equivalent provision (rule 20.34) permits a party to whom a document is produced for inspection to “copy or make an electronic image”</w:t>
      </w:r>
      <w:r w:rsidR="0019361E">
        <w:t xml:space="preserve"> of the document at his or her own expense, subject to any reasonable conditions imposed by the person producing the document.</w:t>
      </w:r>
    </w:p>
    <w:p w:rsidR="0019361E" w:rsidRDefault="0019361E" w:rsidP="00B016A2">
      <w:pPr>
        <w:tabs>
          <w:tab w:val="left" w:pos="709"/>
        </w:tabs>
      </w:pPr>
    </w:p>
    <w:p w:rsidR="0050421A" w:rsidRDefault="0019361E" w:rsidP="00B016A2">
      <w:pPr>
        <w:tabs>
          <w:tab w:val="left" w:pos="709"/>
        </w:tabs>
      </w:pPr>
      <w:r>
        <w:t xml:space="preserve">This amendment aligns these equivalent provisions by inserting into rule 7.28, with appropriate punctuation, the additional words “or makes an </w:t>
      </w:r>
      <w:r w:rsidR="00F548F9">
        <w:t>electronic image” after the word</w:t>
      </w:r>
      <w:r>
        <w:t xml:space="preserve"> “copy”.</w:t>
      </w:r>
    </w:p>
    <w:p w:rsidR="0050421A" w:rsidRDefault="0050421A" w:rsidP="00B016A2">
      <w:pPr>
        <w:tabs>
          <w:tab w:val="left" w:pos="709"/>
        </w:tabs>
      </w:pPr>
    </w:p>
    <w:p w:rsidR="00D0025C" w:rsidRDefault="00D014E5" w:rsidP="00B016A2">
      <w:pPr>
        <w:tabs>
          <w:tab w:val="left" w:pos="709"/>
        </w:tabs>
      </w:pPr>
      <w:r>
        <w:t>It establishes consistency in practice in comparable circumstances and reinforces the a</w:t>
      </w:r>
      <w:r w:rsidR="0050421A">
        <w:t>cceptability of electronically imaging</w:t>
      </w:r>
      <w:r w:rsidR="00F50690">
        <w:t xml:space="preserve"> of documents,</w:t>
      </w:r>
      <w:r w:rsidR="0050421A">
        <w:t xml:space="preserve"> rather than </w:t>
      </w:r>
      <w:r w:rsidR="00F50690">
        <w:t>photo</w:t>
      </w:r>
      <w:r w:rsidR="0050421A">
        <w:t>copying</w:t>
      </w:r>
      <w:r w:rsidR="00F50690">
        <w:t>,</w:t>
      </w:r>
      <w:r w:rsidR="0050421A">
        <w:t xml:space="preserve"> in conducting the inspection of documents for the purpose of litigation</w:t>
      </w:r>
      <w:r w:rsidR="006C7EE4">
        <w:t>.</w:t>
      </w:r>
    </w:p>
    <w:p w:rsidR="00D0025C" w:rsidRPr="00F076DA" w:rsidRDefault="00D0025C" w:rsidP="00B016A2">
      <w:pPr>
        <w:tabs>
          <w:tab w:val="left" w:pos="709"/>
        </w:tabs>
      </w:pPr>
    </w:p>
    <w:p w:rsidR="00FA49BF" w:rsidRPr="00245962" w:rsidRDefault="002320EB" w:rsidP="00B016A2">
      <w:pPr>
        <w:tabs>
          <w:tab w:val="left" w:pos="709"/>
        </w:tabs>
        <w:rPr>
          <w:u w:val="single"/>
        </w:rPr>
      </w:pPr>
      <w:r>
        <w:rPr>
          <w:u w:val="single"/>
        </w:rPr>
        <w:t>[8</w:t>
      </w:r>
      <w:r w:rsidR="00B56614" w:rsidRPr="00245962">
        <w:rPr>
          <w:u w:val="single"/>
        </w:rPr>
        <w:t>]</w:t>
      </w:r>
      <w:r w:rsidR="00B56614" w:rsidRPr="00245962">
        <w:rPr>
          <w:u w:val="single"/>
        </w:rPr>
        <w:tab/>
      </w:r>
      <w:proofErr w:type="spellStart"/>
      <w:r w:rsidR="005931C7">
        <w:rPr>
          <w:u w:val="single"/>
        </w:rPr>
        <w:t>Subr</w:t>
      </w:r>
      <w:r w:rsidR="00245962" w:rsidRPr="00245962">
        <w:rPr>
          <w:u w:val="single"/>
        </w:rPr>
        <w:t>ule</w:t>
      </w:r>
      <w:proofErr w:type="spellEnd"/>
      <w:r w:rsidR="00245962" w:rsidRPr="00245962">
        <w:rPr>
          <w:u w:val="single"/>
        </w:rPr>
        <w:t xml:space="preserve"> </w:t>
      </w:r>
      <w:r w:rsidR="005931C7">
        <w:rPr>
          <w:u w:val="single"/>
        </w:rPr>
        <w:t>8</w:t>
      </w:r>
      <w:r w:rsidR="00245962" w:rsidRPr="00245962">
        <w:rPr>
          <w:u w:val="single"/>
        </w:rPr>
        <w:t>.2</w:t>
      </w:r>
      <w:r w:rsidR="005931C7">
        <w:rPr>
          <w:u w:val="single"/>
        </w:rPr>
        <w:t>3(1)</w:t>
      </w:r>
    </w:p>
    <w:p w:rsidR="00EA2145" w:rsidRPr="007E0426" w:rsidRDefault="00EA2145" w:rsidP="00EA2145">
      <w:pPr>
        <w:tabs>
          <w:tab w:val="left" w:pos="709"/>
        </w:tabs>
        <w:rPr>
          <w:szCs w:val="24"/>
          <w:u w:val="single"/>
        </w:rPr>
      </w:pPr>
      <w:r w:rsidRPr="007E0426">
        <w:rPr>
          <w:szCs w:val="24"/>
          <w:u w:val="single"/>
        </w:rPr>
        <w:t>[</w:t>
      </w:r>
      <w:r>
        <w:rPr>
          <w:szCs w:val="24"/>
          <w:u w:val="single"/>
        </w:rPr>
        <w:t>9</w:t>
      </w:r>
      <w:r w:rsidRPr="007E0426">
        <w:rPr>
          <w:szCs w:val="24"/>
          <w:u w:val="single"/>
        </w:rPr>
        <w:t>]</w:t>
      </w:r>
      <w:r w:rsidRPr="007E0426">
        <w:rPr>
          <w:szCs w:val="24"/>
          <w:u w:val="single"/>
        </w:rPr>
        <w:tab/>
      </w:r>
      <w:proofErr w:type="spellStart"/>
      <w:r>
        <w:rPr>
          <w:szCs w:val="24"/>
          <w:u w:val="single"/>
        </w:rPr>
        <w:t>Subrule</w:t>
      </w:r>
      <w:proofErr w:type="spellEnd"/>
      <w:r>
        <w:rPr>
          <w:szCs w:val="24"/>
          <w:u w:val="single"/>
        </w:rPr>
        <w:t xml:space="preserve"> 8.23(2)</w:t>
      </w:r>
    </w:p>
    <w:p w:rsidR="006C3D1D" w:rsidRDefault="006C3D1D" w:rsidP="00B016A2">
      <w:pPr>
        <w:tabs>
          <w:tab w:val="left" w:pos="709"/>
        </w:tabs>
      </w:pPr>
    </w:p>
    <w:p w:rsidR="00EA2145" w:rsidRDefault="0050421A" w:rsidP="00B016A2">
      <w:pPr>
        <w:tabs>
          <w:tab w:val="left" w:pos="709"/>
        </w:tabs>
      </w:pPr>
      <w:r>
        <w:t xml:space="preserve">Rule 8.23 sets out the procedure which must be followed </w:t>
      </w:r>
      <w:r w:rsidR="00D96DD0">
        <w:t>in</w:t>
      </w:r>
      <w:r>
        <w:t xml:space="preserve"> amend</w:t>
      </w:r>
      <w:r w:rsidR="00D96DD0">
        <w:t>ing</w:t>
      </w:r>
      <w:r>
        <w:t xml:space="preserve"> an originating application if </w:t>
      </w:r>
      <w:r w:rsidR="00D96DD0">
        <w:t xml:space="preserve">the Court gives </w:t>
      </w:r>
      <w:r>
        <w:t>leave to do so</w:t>
      </w:r>
      <w:r w:rsidR="00EA2145">
        <w:t>.</w:t>
      </w:r>
    </w:p>
    <w:p w:rsidR="00EA2145" w:rsidRDefault="00EA2145" w:rsidP="00B016A2">
      <w:pPr>
        <w:tabs>
          <w:tab w:val="left" w:pos="709"/>
        </w:tabs>
      </w:pPr>
    </w:p>
    <w:p w:rsidR="00EA2145" w:rsidRDefault="00EA2145" w:rsidP="00B016A2">
      <w:pPr>
        <w:tabs>
          <w:tab w:val="left" w:pos="709"/>
        </w:tabs>
      </w:pPr>
      <w:proofErr w:type="spellStart"/>
      <w:r>
        <w:t>Subrule</w:t>
      </w:r>
      <w:proofErr w:type="spellEnd"/>
      <w:r>
        <w:t xml:space="preserve"> 8.23(1) provides that </w:t>
      </w:r>
      <w:r w:rsidR="00D96DD0">
        <w:t xml:space="preserve">all required alterations </w:t>
      </w:r>
      <w:r>
        <w:t xml:space="preserve">must be made </w:t>
      </w:r>
      <w:r w:rsidR="00D96DD0">
        <w:t>on the originating application on the Court file along with a notation of the date when those amendments were made and the date when it was or</w:t>
      </w:r>
      <w:r w:rsidR="00B0203D">
        <w:t xml:space="preserve">dered that the amendments </w:t>
      </w:r>
      <w:r w:rsidR="00D96DD0">
        <w:t>be made</w:t>
      </w:r>
      <w:r>
        <w:t>.</w:t>
      </w:r>
    </w:p>
    <w:p w:rsidR="0050421A" w:rsidRDefault="00EA2145" w:rsidP="00B016A2">
      <w:pPr>
        <w:tabs>
          <w:tab w:val="left" w:pos="709"/>
        </w:tabs>
      </w:pPr>
      <w:proofErr w:type="spellStart"/>
      <w:r>
        <w:t>Subrule</w:t>
      </w:r>
      <w:proofErr w:type="spellEnd"/>
      <w:r>
        <w:t xml:space="preserve"> 8.23(2) provides that</w:t>
      </w:r>
      <w:r w:rsidR="00D96DD0">
        <w:t xml:space="preserve">, if the amendments are so numerous or lengthy to make them </w:t>
      </w:r>
      <w:r>
        <w:t xml:space="preserve">difficult to read, </w:t>
      </w:r>
      <w:r w:rsidR="00D96DD0">
        <w:t>an amended originating application with the amendments clearly distinguished and otherwise marked with details of  the date</w:t>
      </w:r>
      <w:r w:rsidR="00B0203D">
        <w:t>s</w:t>
      </w:r>
      <w:r w:rsidR="00D96DD0">
        <w:t xml:space="preserve"> of amendment and order </w:t>
      </w:r>
      <w:r w:rsidR="00B0203D">
        <w:t xml:space="preserve">for amendment </w:t>
      </w:r>
      <w:r w:rsidR="00D96DD0">
        <w:t>as</w:t>
      </w:r>
      <w:r>
        <w:t xml:space="preserve"> required by </w:t>
      </w:r>
      <w:proofErr w:type="spellStart"/>
      <w:r>
        <w:t>subrule</w:t>
      </w:r>
      <w:proofErr w:type="spellEnd"/>
      <w:r>
        <w:t xml:space="preserve"> 8.23(1) must be filed.</w:t>
      </w:r>
    </w:p>
    <w:p w:rsidR="00EA2145" w:rsidRDefault="00EA2145" w:rsidP="00B016A2">
      <w:pPr>
        <w:tabs>
          <w:tab w:val="left" w:pos="709"/>
        </w:tabs>
      </w:pPr>
    </w:p>
    <w:p w:rsidR="00EA2145" w:rsidRDefault="00EA2145" w:rsidP="00B016A2">
      <w:pPr>
        <w:tabs>
          <w:tab w:val="left" w:pos="709"/>
        </w:tabs>
      </w:pPr>
      <w:r>
        <w:t xml:space="preserve">The amendment to </w:t>
      </w:r>
      <w:proofErr w:type="spellStart"/>
      <w:r>
        <w:t>subrule</w:t>
      </w:r>
      <w:proofErr w:type="spellEnd"/>
      <w:r>
        <w:t xml:space="preserve"> 8.23(1) inserts the punctuation and words</w:t>
      </w:r>
      <w:r w:rsidR="006C7EE4">
        <w:t xml:space="preserve"> </w:t>
      </w:r>
      <w:r w:rsidR="00E5348D">
        <w:t>“, if reasonably practicable</w:t>
      </w:r>
      <w:r>
        <w:t xml:space="preserve"> to do so” to make it clear that its requirements apply only where alteration by hand on the originating application is practicable.</w:t>
      </w:r>
    </w:p>
    <w:p w:rsidR="00EA2145" w:rsidRDefault="00EA2145" w:rsidP="00B016A2">
      <w:pPr>
        <w:tabs>
          <w:tab w:val="left" w:pos="709"/>
        </w:tabs>
      </w:pPr>
    </w:p>
    <w:p w:rsidR="00EA2145" w:rsidRDefault="00EA2145" w:rsidP="00B016A2">
      <w:pPr>
        <w:tabs>
          <w:tab w:val="left" w:pos="709"/>
        </w:tabs>
      </w:pPr>
      <w:r>
        <w:t xml:space="preserve">The amendment to </w:t>
      </w:r>
      <w:proofErr w:type="spellStart"/>
      <w:r>
        <w:t>subrule</w:t>
      </w:r>
      <w:proofErr w:type="spellEnd"/>
      <w:r>
        <w:t xml:space="preserve"> 8.23(2) inserts</w:t>
      </w:r>
      <w:r w:rsidR="006C7EE4">
        <w:t>,</w:t>
      </w:r>
      <w:r w:rsidR="009D4CD9">
        <w:t xml:space="preserve"> after the words “so numerous or lengthy to make it difficult to read”</w:t>
      </w:r>
      <w:r w:rsidR="006C7EE4">
        <w:t>,</w:t>
      </w:r>
      <w:r w:rsidR="009D4CD9">
        <w:t xml:space="preserve"> the words “or if the originating application was lodged by electronic communication” to make it clear that in all circumstances where the originating application to be amended was electronically filed it can be amended only through the filing of an amended originating application.</w:t>
      </w:r>
    </w:p>
    <w:p w:rsidR="007E0426" w:rsidRDefault="007E0426" w:rsidP="00792549">
      <w:pPr>
        <w:tabs>
          <w:tab w:val="left" w:pos="709"/>
        </w:tabs>
        <w:rPr>
          <w:szCs w:val="24"/>
        </w:rPr>
      </w:pPr>
    </w:p>
    <w:p w:rsidR="004F665A" w:rsidRDefault="004F665A" w:rsidP="004F665A">
      <w:pPr>
        <w:tabs>
          <w:tab w:val="left" w:pos="709"/>
        </w:tabs>
      </w:pPr>
      <w:r>
        <w:rPr>
          <w:u w:val="single"/>
        </w:rPr>
        <w:t>[</w:t>
      </w:r>
      <w:r w:rsidR="00761C34">
        <w:rPr>
          <w:u w:val="single"/>
        </w:rPr>
        <w:t>10</w:t>
      </w:r>
      <w:r>
        <w:rPr>
          <w:u w:val="single"/>
        </w:rPr>
        <w:t>]</w:t>
      </w:r>
      <w:r>
        <w:rPr>
          <w:u w:val="single"/>
        </w:rPr>
        <w:tab/>
      </w:r>
      <w:proofErr w:type="spellStart"/>
      <w:r w:rsidR="00FA49BF">
        <w:rPr>
          <w:u w:val="single"/>
        </w:rPr>
        <w:t>Subrule</w:t>
      </w:r>
      <w:proofErr w:type="spellEnd"/>
      <w:r>
        <w:rPr>
          <w:u w:val="single"/>
        </w:rPr>
        <w:t xml:space="preserve"> </w:t>
      </w:r>
      <w:r w:rsidR="005931C7">
        <w:rPr>
          <w:u w:val="single"/>
        </w:rPr>
        <w:t>16</w:t>
      </w:r>
      <w:r w:rsidR="007E0426">
        <w:rPr>
          <w:u w:val="single"/>
        </w:rPr>
        <w:t>.</w:t>
      </w:r>
      <w:r w:rsidR="005931C7">
        <w:rPr>
          <w:u w:val="single"/>
        </w:rPr>
        <w:t>59</w:t>
      </w:r>
      <w:r>
        <w:rPr>
          <w:u w:val="single"/>
        </w:rPr>
        <w:t>(</w:t>
      </w:r>
      <w:r w:rsidR="005931C7">
        <w:rPr>
          <w:u w:val="single"/>
        </w:rPr>
        <w:t>1</w:t>
      </w:r>
      <w:r>
        <w:rPr>
          <w:u w:val="single"/>
        </w:rPr>
        <w:t>)</w:t>
      </w:r>
    </w:p>
    <w:p w:rsidR="00001766" w:rsidRDefault="009C3950" w:rsidP="00792549">
      <w:pPr>
        <w:tabs>
          <w:tab w:val="left" w:pos="709"/>
        </w:tabs>
        <w:rPr>
          <w:u w:val="single"/>
        </w:rPr>
      </w:pPr>
      <w:r>
        <w:rPr>
          <w:u w:val="single"/>
        </w:rPr>
        <w:t>[</w:t>
      </w:r>
      <w:r w:rsidR="00E40E19">
        <w:rPr>
          <w:u w:val="single"/>
        </w:rPr>
        <w:t>11</w:t>
      </w:r>
      <w:r w:rsidR="00001766">
        <w:rPr>
          <w:u w:val="single"/>
        </w:rPr>
        <w:t>]</w:t>
      </w:r>
      <w:r w:rsidR="00001766">
        <w:rPr>
          <w:u w:val="single"/>
        </w:rPr>
        <w:tab/>
      </w:r>
      <w:proofErr w:type="spellStart"/>
      <w:r w:rsidR="00FA49BF">
        <w:rPr>
          <w:u w:val="single"/>
        </w:rPr>
        <w:t>Subrule</w:t>
      </w:r>
      <w:proofErr w:type="spellEnd"/>
      <w:r w:rsidR="00EA7833">
        <w:rPr>
          <w:u w:val="single"/>
        </w:rPr>
        <w:t xml:space="preserve"> </w:t>
      </w:r>
      <w:r w:rsidR="005931C7">
        <w:rPr>
          <w:u w:val="single"/>
        </w:rPr>
        <w:t>16</w:t>
      </w:r>
      <w:r w:rsidR="00FA49BF">
        <w:rPr>
          <w:u w:val="single"/>
        </w:rPr>
        <w:t>.</w:t>
      </w:r>
      <w:r w:rsidR="005931C7">
        <w:rPr>
          <w:u w:val="single"/>
        </w:rPr>
        <w:t>59</w:t>
      </w:r>
      <w:r w:rsidR="00EA7833">
        <w:rPr>
          <w:u w:val="single"/>
        </w:rPr>
        <w:t>(</w:t>
      </w:r>
      <w:r w:rsidR="005931C7">
        <w:rPr>
          <w:u w:val="single"/>
        </w:rPr>
        <w:t>2</w:t>
      </w:r>
      <w:r w:rsidR="00EA7833">
        <w:rPr>
          <w:u w:val="single"/>
        </w:rPr>
        <w:t>)</w:t>
      </w:r>
    </w:p>
    <w:p w:rsidR="00531EC8" w:rsidRDefault="00531EC8" w:rsidP="00792549">
      <w:pPr>
        <w:tabs>
          <w:tab w:val="left" w:pos="709"/>
        </w:tabs>
        <w:rPr>
          <w:u w:val="single"/>
        </w:rPr>
      </w:pPr>
    </w:p>
    <w:p w:rsidR="00B0203D" w:rsidRDefault="00B0203D" w:rsidP="00B0203D">
      <w:pPr>
        <w:tabs>
          <w:tab w:val="left" w:pos="709"/>
        </w:tabs>
      </w:pPr>
      <w:r>
        <w:t>Rule 16.59 sets out the procedure which must be followed in amending a pleading.</w:t>
      </w:r>
    </w:p>
    <w:p w:rsidR="00B0203D" w:rsidRDefault="00B0203D" w:rsidP="00B0203D">
      <w:pPr>
        <w:tabs>
          <w:tab w:val="left" w:pos="709"/>
        </w:tabs>
      </w:pPr>
    </w:p>
    <w:p w:rsidR="00B0203D" w:rsidRDefault="00B0203D" w:rsidP="00B0203D">
      <w:pPr>
        <w:tabs>
          <w:tab w:val="left" w:pos="709"/>
        </w:tabs>
      </w:pPr>
      <w:proofErr w:type="spellStart"/>
      <w:r>
        <w:t>Subrule</w:t>
      </w:r>
      <w:proofErr w:type="spellEnd"/>
      <w:r>
        <w:t xml:space="preserve"> 16.59(1) provides that all required alterations must be made on the pleading on the Court file along with a notation of the date when those amendments were made and, if made with the leave of the Court,  the date when it was ordered that the amendments be made.</w:t>
      </w:r>
    </w:p>
    <w:p w:rsidR="00B0203D" w:rsidRDefault="00B0203D" w:rsidP="00B0203D">
      <w:pPr>
        <w:tabs>
          <w:tab w:val="left" w:pos="709"/>
        </w:tabs>
      </w:pPr>
    </w:p>
    <w:p w:rsidR="00B0203D" w:rsidRDefault="00B0203D" w:rsidP="00B0203D">
      <w:pPr>
        <w:tabs>
          <w:tab w:val="left" w:pos="709"/>
        </w:tabs>
      </w:pPr>
      <w:proofErr w:type="spellStart"/>
      <w:r>
        <w:t>Subrule</w:t>
      </w:r>
      <w:proofErr w:type="spellEnd"/>
      <w:r>
        <w:t xml:space="preserve"> 16.59(2) provides that, if the amendments are so numerous or lengthy to make them difficult to read, an amended pleading with the amendments clearly distinguished and otherwise marked with details of the dates of amendment and (if appropriate) order for amendment as required by </w:t>
      </w:r>
      <w:proofErr w:type="spellStart"/>
      <w:r>
        <w:t>subrule</w:t>
      </w:r>
      <w:proofErr w:type="spellEnd"/>
      <w:r>
        <w:t xml:space="preserve"> 16.59(1) must be filed.</w:t>
      </w:r>
    </w:p>
    <w:p w:rsidR="00B0203D" w:rsidRDefault="00B0203D" w:rsidP="00B0203D">
      <w:pPr>
        <w:tabs>
          <w:tab w:val="left" w:pos="709"/>
        </w:tabs>
      </w:pPr>
    </w:p>
    <w:p w:rsidR="00B0203D" w:rsidRDefault="00B0203D" w:rsidP="00B0203D">
      <w:pPr>
        <w:tabs>
          <w:tab w:val="left" w:pos="709"/>
        </w:tabs>
      </w:pPr>
      <w:r>
        <w:t xml:space="preserve">The amendment to </w:t>
      </w:r>
      <w:proofErr w:type="spellStart"/>
      <w:r>
        <w:t>subrule</w:t>
      </w:r>
      <w:proofErr w:type="spellEnd"/>
      <w:r>
        <w:t xml:space="preserve"> 16.59(1) inserts the punctuation and words</w:t>
      </w:r>
      <w:r w:rsidR="006C7EE4">
        <w:t xml:space="preserve"> </w:t>
      </w:r>
      <w:r w:rsidR="00E5348D">
        <w:t>“, if reasonably practicable</w:t>
      </w:r>
      <w:r>
        <w:t xml:space="preserve"> to do so” to make it clear that its requirements apply only where alteration by hand on the pleading is practicable.</w:t>
      </w:r>
    </w:p>
    <w:p w:rsidR="00B0203D" w:rsidRDefault="00B0203D" w:rsidP="00B0203D">
      <w:pPr>
        <w:tabs>
          <w:tab w:val="left" w:pos="709"/>
        </w:tabs>
      </w:pPr>
    </w:p>
    <w:p w:rsidR="00B0203D" w:rsidRDefault="00B0203D" w:rsidP="00B0203D">
      <w:pPr>
        <w:tabs>
          <w:tab w:val="left" w:pos="709"/>
        </w:tabs>
      </w:pPr>
      <w:r>
        <w:t xml:space="preserve">The amendment to </w:t>
      </w:r>
      <w:proofErr w:type="spellStart"/>
      <w:r>
        <w:t>subrule</w:t>
      </w:r>
      <w:proofErr w:type="spellEnd"/>
      <w:r>
        <w:t xml:space="preserve"> 16.59(2) inserts</w:t>
      </w:r>
      <w:r w:rsidR="006C7EE4">
        <w:t>,</w:t>
      </w:r>
      <w:r>
        <w:t xml:space="preserve"> after the words “so numerous or lengthy to make it difficult to read”</w:t>
      </w:r>
      <w:r w:rsidR="006C7EE4">
        <w:t xml:space="preserve">, </w:t>
      </w:r>
      <w:r>
        <w:t>the words “or if the pleading was lodged by electronic communication” to make it clear that in all circumstances where the pleading to be amended was electronically filed it can be amended only through the filing of an amended pleading.</w:t>
      </w:r>
    </w:p>
    <w:p w:rsidR="00401F15" w:rsidRPr="00401F15" w:rsidRDefault="00401F15" w:rsidP="00792549">
      <w:pPr>
        <w:tabs>
          <w:tab w:val="left" w:pos="709"/>
        </w:tabs>
      </w:pPr>
    </w:p>
    <w:p w:rsidR="00405033" w:rsidRDefault="009C3950" w:rsidP="00405033">
      <w:pPr>
        <w:tabs>
          <w:tab w:val="left" w:pos="709"/>
        </w:tabs>
        <w:rPr>
          <w:u w:val="single"/>
        </w:rPr>
      </w:pPr>
      <w:r>
        <w:rPr>
          <w:u w:val="single"/>
        </w:rPr>
        <w:t>[1</w:t>
      </w:r>
      <w:r w:rsidR="00E40E19">
        <w:rPr>
          <w:u w:val="single"/>
        </w:rPr>
        <w:t>2</w:t>
      </w:r>
      <w:r w:rsidR="00405033">
        <w:rPr>
          <w:u w:val="single"/>
        </w:rPr>
        <w:t>]</w:t>
      </w:r>
      <w:r w:rsidR="00405033">
        <w:rPr>
          <w:u w:val="single"/>
        </w:rPr>
        <w:tab/>
      </w:r>
      <w:r w:rsidR="005931C7">
        <w:rPr>
          <w:u w:val="single"/>
        </w:rPr>
        <w:t>Paragraph</w:t>
      </w:r>
      <w:r w:rsidR="00FA49BF">
        <w:rPr>
          <w:u w:val="single"/>
        </w:rPr>
        <w:t xml:space="preserve"> 2</w:t>
      </w:r>
      <w:r w:rsidR="005931C7">
        <w:rPr>
          <w:u w:val="single"/>
        </w:rPr>
        <w:t>4</w:t>
      </w:r>
      <w:r w:rsidR="00FA49BF">
        <w:rPr>
          <w:u w:val="single"/>
        </w:rPr>
        <w:t>.</w:t>
      </w:r>
      <w:r w:rsidR="005931C7">
        <w:rPr>
          <w:u w:val="single"/>
        </w:rPr>
        <w:t>17</w:t>
      </w:r>
      <w:r w:rsidR="00FA49BF">
        <w:rPr>
          <w:u w:val="single"/>
        </w:rPr>
        <w:t>(</w:t>
      </w:r>
      <w:r w:rsidR="005931C7">
        <w:rPr>
          <w:u w:val="single"/>
        </w:rPr>
        <w:t>7</w:t>
      </w:r>
      <w:r w:rsidR="00FA49BF">
        <w:rPr>
          <w:u w:val="single"/>
        </w:rPr>
        <w:t>)</w:t>
      </w:r>
      <w:r w:rsidR="005931C7">
        <w:rPr>
          <w:u w:val="single"/>
        </w:rPr>
        <w:t>(b)</w:t>
      </w:r>
    </w:p>
    <w:p w:rsidR="00ED4795" w:rsidRPr="00157255" w:rsidRDefault="00157255" w:rsidP="00792549">
      <w:pPr>
        <w:tabs>
          <w:tab w:val="left" w:pos="709"/>
        </w:tabs>
        <w:rPr>
          <w:u w:val="single"/>
        </w:rPr>
      </w:pPr>
      <w:r w:rsidRPr="00157255">
        <w:rPr>
          <w:u w:val="single"/>
        </w:rPr>
        <w:t>[13]</w:t>
      </w:r>
      <w:r w:rsidRPr="00157255">
        <w:rPr>
          <w:u w:val="single"/>
        </w:rPr>
        <w:tab/>
        <w:t>At the end of rule 24.17</w:t>
      </w:r>
    </w:p>
    <w:p w:rsidR="00157255" w:rsidRDefault="00157255" w:rsidP="00792549">
      <w:pPr>
        <w:tabs>
          <w:tab w:val="left" w:pos="709"/>
        </w:tabs>
      </w:pPr>
    </w:p>
    <w:p w:rsidR="00B273A0" w:rsidRDefault="00B273A0" w:rsidP="00792549">
      <w:pPr>
        <w:tabs>
          <w:tab w:val="left" w:pos="709"/>
        </w:tabs>
      </w:pPr>
      <w:r>
        <w:t>Rule 24.17 deal</w:t>
      </w:r>
      <w:r w:rsidR="00E5348D">
        <w:t>s</w:t>
      </w:r>
      <w:r>
        <w:t xml:space="preserve"> with compliance with a subpoena.</w:t>
      </w:r>
    </w:p>
    <w:p w:rsidR="00B273A0" w:rsidRDefault="00B273A0" w:rsidP="00792549">
      <w:pPr>
        <w:tabs>
          <w:tab w:val="left" w:pos="709"/>
        </w:tabs>
      </w:pPr>
    </w:p>
    <w:p w:rsidR="00157255" w:rsidRDefault="006948F7" w:rsidP="00792549">
      <w:pPr>
        <w:tabs>
          <w:tab w:val="left" w:pos="709"/>
        </w:tabs>
      </w:pPr>
      <w:proofErr w:type="spellStart"/>
      <w:r>
        <w:t>Subrule</w:t>
      </w:r>
      <w:proofErr w:type="spellEnd"/>
      <w:r>
        <w:t xml:space="preserve"> 24.17(5) permits a person who has been properly served with a subpoena to produce </w:t>
      </w:r>
      <w:r w:rsidR="001D6730">
        <w:t xml:space="preserve">a </w:t>
      </w:r>
      <w:r>
        <w:t>document</w:t>
      </w:r>
      <w:r w:rsidR="001D6730">
        <w:t xml:space="preserve"> or thing</w:t>
      </w:r>
      <w:r>
        <w:t xml:space="preserve"> to comply with that subpoena by producing</w:t>
      </w:r>
      <w:r w:rsidR="001D6730">
        <w:t xml:space="preserve"> the </w:t>
      </w:r>
      <w:r w:rsidR="00D525AA">
        <w:t xml:space="preserve">appropriate </w:t>
      </w:r>
      <w:r w:rsidR="001D6730">
        <w:t xml:space="preserve">document or thing </w:t>
      </w:r>
      <w:r w:rsidR="00D525AA">
        <w:t xml:space="preserve">to </w:t>
      </w:r>
      <w:r w:rsidR="001D6730">
        <w:t xml:space="preserve">the Registrar at the </w:t>
      </w:r>
      <w:r w:rsidR="00157255">
        <w:t xml:space="preserve">Court’s </w:t>
      </w:r>
      <w:r w:rsidR="001D6730">
        <w:t>relevant</w:t>
      </w:r>
      <w:r w:rsidR="00157255">
        <w:t xml:space="preserve"> District Registry.  </w:t>
      </w:r>
      <w:proofErr w:type="spellStart"/>
      <w:r w:rsidR="00B273A0">
        <w:t>Subrule</w:t>
      </w:r>
      <w:proofErr w:type="spellEnd"/>
      <w:r w:rsidR="00B273A0">
        <w:t xml:space="preserve"> 24.17 (6)</w:t>
      </w:r>
      <w:r>
        <w:t xml:space="preserve"> </w:t>
      </w:r>
      <w:r w:rsidR="00157255">
        <w:t xml:space="preserve">permits </w:t>
      </w:r>
      <w:r>
        <w:t xml:space="preserve">a person who has been properly served with a subpoena to produce </w:t>
      </w:r>
      <w:r w:rsidR="00157255">
        <w:t xml:space="preserve">a </w:t>
      </w:r>
      <w:r>
        <w:t xml:space="preserve">document to comply with that subpoena by producing a copy of </w:t>
      </w:r>
      <w:r w:rsidR="00157255">
        <w:t xml:space="preserve">the </w:t>
      </w:r>
      <w:r>
        <w:t>relevant document, unless the subpoena specifically required the production of original documents.</w:t>
      </w:r>
      <w:r w:rsidR="00D525AA">
        <w:t xml:space="preserve">  </w:t>
      </w:r>
      <w:proofErr w:type="spellStart"/>
      <w:r w:rsidR="00157255">
        <w:t>Subrule</w:t>
      </w:r>
      <w:proofErr w:type="spellEnd"/>
      <w:r w:rsidR="00157255">
        <w:t xml:space="preserve"> 24</w:t>
      </w:r>
      <w:r w:rsidR="002673B6">
        <w:t>.17</w:t>
      </w:r>
      <w:r w:rsidR="00157255">
        <w:t xml:space="preserve">(7) provides that that copy can be </w:t>
      </w:r>
      <w:r w:rsidR="00D525AA">
        <w:t>either a photocopy or in an electronic form that the party at whose request the subpoena had been issued indicates will be acceptable.</w:t>
      </w:r>
    </w:p>
    <w:p w:rsidR="00D525AA" w:rsidRDefault="00D525AA" w:rsidP="00792549">
      <w:pPr>
        <w:tabs>
          <w:tab w:val="left" w:pos="709"/>
        </w:tabs>
      </w:pPr>
    </w:p>
    <w:p w:rsidR="00D525AA" w:rsidRDefault="00D525AA" w:rsidP="00792549">
      <w:pPr>
        <w:tabs>
          <w:tab w:val="left" w:pos="709"/>
        </w:tabs>
      </w:pPr>
      <w:r>
        <w:t xml:space="preserve">The amendment to </w:t>
      </w:r>
      <w:proofErr w:type="spellStart"/>
      <w:r>
        <w:t>subrule</w:t>
      </w:r>
      <w:proofErr w:type="spellEnd"/>
      <w:r>
        <w:t xml:space="preserve"> 24</w:t>
      </w:r>
      <w:r w:rsidR="002673B6">
        <w:t>.17</w:t>
      </w:r>
      <w:r>
        <w:t xml:space="preserve">(7) substitutes “officer” for “party” to move the responsibility for indicating what electronic formats are acceptable to the officer of the Court who issues the subpoena.  </w:t>
      </w:r>
      <w:r w:rsidR="00572134">
        <w:t>The formats which in future will be indicated will be those which are compatible wit</w:t>
      </w:r>
      <w:r w:rsidR="006C7EE4">
        <w:t>h the electronic court file to e</w:t>
      </w:r>
      <w:r w:rsidR="00572134">
        <w:t xml:space="preserve">nsure that any copy of a document received </w:t>
      </w:r>
      <w:r w:rsidR="006C7EE4">
        <w:t xml:space="preserve">by the Court </w:t>
      </w:r>
      <w:r w:rsidR="00572134">
        <w:t xml:space="preserve">from a person complying with a subpoena can, if </w:t>
      </w:r>
      <w:r w:rsidR="002673B6">
        <w:t xml:space="preserve">and when </w:t>
      </w:r>
      <w:r w:rsidR="00572134">
        <w:t>required, be managed in the electronic court file.</w:t>
      </w:r>
    </w:p>
    <w:p w:rsidR="00572134" w:rsidRDefault="00572134" w:rsidP="00792549">
      <w:pPr>
        <w:tabs>
          <w:tab w:val="left" w:pos="709"/>
        </w:tabs>
      </w:pPr>
    </w:p>
    <w:p w:rsidR="00572134" w:rsidRDefault="00572134" w:rsidP="00792549">
      <w:pPr>
        <w:tabs>
          <w:tab w:val="left" w:pos="709"/>
        </w:tabs>
      </w:pPr>
      <w:r>
        <w:t>The second amendment inserts at the end of rule 24</w:t>
      </w:r>
      <w:r w:rsidR="002673B6">
        <w:t xml:space="preserve">.17 </w:t>
      </w:r>
      <w:r>
        <w:t xml:space="preserve">new </w:t>
      </w:r>
      <w:proofErr w:type="spellStart"/>
      <w:r>
        <w:t>subrule</w:t>
      </w:r>
      <w:proofErr w:type="spellEnd"/>
      <w:r>
        <w:t xml:space="preserve"> 24</w:t>
      </w:r>
      <w:r w:rsidR="00E5348D">
        <w:t>.17</w:t>
      </w:r>
      <w:r>
        <w:t>(8)</w:t>
      </w:r>
      <w:r w:rsidR="002673B6">
        <w:t xml:space="preserve">.  That </w:t>
      </w:r>
      <w:proofErr w:type="spellStart"/>
      <w:r w:rsidR="002673B6">
        <w:t>subrule</w:t>
      </w:r>
      <w:proofErr w:type="spellEnd"/>
      <w:r w:rsidR="002673B6">
        <w:t xml:space="preserve"> requires that, where a person properly served with a subpoena to produce a document complies with that subpoena by producing a photocopy of the document, the party at whose request the subpoena was issued will make an electronic image of the photocopy produced at that party’s expense and lodge that image with the Registrar at the Court.  This will ensure that such a document can, if and when required, also be managed in the electronic court file.</w:t>
      </w:r>
    </w:p>
    <w:p w:rsidR="00F076DA" w:rsidRPr="00F076DA" w:rsidRDefault="00F076DA" w:rsidP="00022651">
      <w:pPr>
        <w:tabs>
          <w:tab w:val="left" w:pos="709"/>
        </w:tabs>
      </w:pPr>
    </w:p>
    <w:p w:rsidR="00022651" w:rsidRDefault="00E40E19" w:rsidP="00022651">
      <w:pPr>
        <w:tabs>
          <w:tab w:val="left" w:pos="709"/>
        </w:tabs>
        <w:rPr>
          <w:u w:val="single"/>
        </w:rPr>
      </w:pPr>
      <w:r>
        <w:rPr>
          <w:u w:val="single"/>
        </w:rPr>
        <w:t>[14</w:t>
      </w:r>
      <w:r w:rsidR="00022651">
        <w:rPr>
          <w:u w:val="single"/>
        </w:rPr>
        <w:t>]</w:t>
      </w:r>
      <w:r w:rsidR="00022651">
        <w:rPr>
          <w:u w:val="single"/>
        </w:rPr>
        <w:tab/>
      </w:r>
      <w:r w:rsidR="005931C7">
        <w:rPr>
          <w:u w:val="single"/>
        </w:rPr>
        <w:t>Paragraph 39</w:t>
      </w:r>
      <w:r w:rsidR="00022651">
        <w:rPr>
          <w:u w:val="single"/>
        </w:rPr>
        <w:t>.</w:t>
      </w:r>
      <w:r w:rsidR="005931C7">
        <w:rPr>
          <w:u w:val="single"/>
        </w:rPr>
        <w:t>35</w:t>
      </w:r>
      <w:r w:rsidR="00022651">
        <w:rPr>
          <w:u w:val="single"/>
        </w:rPr>
        <w:t>(1)(</w:t>
      </w:r>
      <w:r w:rsidR="005931C7">
        <w:rPr>
          <w:u w:val="single"/>
        </w:rPr>
        <w:t>b</w:t>
      </w:r>
      <w:r w:rsidR="00022651">
        <w:rPr>
          <w:u w:val="single"/>
        </w:rPr>
        <w:t>)</w:t>
      </w:r>
    </w:p>
    <w:p w:rsidR="00022651" w:rsidRDefault="00022651" w:rsidP="00022651">
      <w:pPr>
        <w:tabs>
          <w:tab w:val="left" w:pos="709"/>
        </w:tabs>
      </w:pPr>
    </w:p>
    <w:p w:rsidR="005E1ADC" w:rsidRDefault="00DF62F7" w:rsidP="002F6916">
      <w:pPr>
        <w:tabs>
          <w:tab w:val="left" w:pos="709"/>
        </w:tabs>
      </w:pPr>
      <w:r>
        <w:t>Rule 39.35 deals with the authentication of orders.</w:t>
      </w:r>
    </w:p>
    <w:p w:rsidR="00DF62F7" w:rsidRDefault="00DF62F7" w:rsidP="002F6916">
      <w:pPr>
        <w:tabs>
          <w:tab w:val="left" w:pos="709"/>
        </w:tabs>
      </w:pPr>
    </w:p>
    <w:p w:rsidR="00DF62F7" w:rsidRDefault="00DF62F7" w:rsidP="002F6916">
      <w:pPr>
        <w:tabs>
          <w:tab w:val="left" w:pos="709"/>
        </w:tabs>
      </w:pPr>
      <w:proofErr w:type="spellStart"/>
      <w:r>
        <w:t>Subrule</w:t>
      </w:r>
      <w:proofErr w:type="spellEnd"/>
      <w:r>
        <w:t xml:space="preserve"> 39.35(1) provides that an order is authenticated by:</w:t>
      </w:r>
    </w:p>
    <w:p w:rsidR="00DF62F7" w:rsidRDefault="00DF62F7" w:rsidP="00DF62F7">
      <w:pPr>
        <w:numPr>
          <w:ilvl w:val="0"/>
          <w:numId w:val="24"/>
        </w:numPr>
        <w:tabs>
          <w:tab w:val="left" w:pos="709"/>
        </w:tabs>
      </w:pPr>
      <w:r>
        <w:t>the Court or a Registrar</w:t>
      </w:r>
      <w:r w:rsidR="000129E4">
        <w:t xml:space="preserve"> signing it</w:t>
      </w:r>
      <w:r>
        <w:t>; and</w:t>
      </w:r>
    </w:p>
    <w:p w:rsidR="00DF62F7" w:rsidRDefault="000129E4" w:rsidP="00DF62F7">
      <w:pPr>
        <w:numPr>
          <w:ilvl w:val="0"/>
          <w:numId w:val="24"/>
        </w:numPr>
        <w:tabs>
          <w:tab w:val="left" w:pos="709"/>
        </w:tabs>
      </w:pPr>
      <w:r>
        <w:t>the Court, a person at the direction of the Court or a Registrar affixing the stamp of the Court to it.</w:t>
      </w:r>
    </w:p>
    <w:p w:rsidR="000129E4" w:rsidRDefault="000129E4" w:rsidP="000129E4">
      <w:pPr>
        <w:tabs>
          <w:tab w:val="left" w:pos="709"/>
        </w:tabs>
      </w:pPr>
    </w:p>
    <w:p w:rsidR="000129E4" w:rsidRDefault="000129E4" w:rsidP="000129E4">
      <w:pPr>
        <w:tabs>
          <w:tab w:val="left" w:pos="709"/>
        </w:tabs>
      </w:pPr>
      <w:r>
        <w:t xml:space="preserve">This amendment replaces the phrase “stamp of the Court” with “seal of the Court </w:t>
      </w:r>
      <w:r w:rsidR="006C7EE4">
        <w:t>or stamp of a District Registry</w:t>
      </w:r>
      <w:r>
        <w:t xml:space="preserve">” for consistency with </w:t>
      </w:r>
      <w:r w:rsidR="006C7EE4">
        <w:t xml:space="preserve">the amended </w:t>
      </w:r>
      <w:r>
        <w:t>rule 2.01 (which deals with use of seal and stamp of Court generally) as discussed at [1] and [2] above.</w:t>
      </w:r>
    </w:p>
    <w:p w:rsidR="00F076DA" w:rsidRPr="00FA49BF" w:rsidRDefault="00F076DA" w:rsidP="002F6916">
      <w:pPr>
        <w:tabs>
          <w:tab w:val="left" w:pos="709"/>
        </w:tabs>
      </w:pPr>
    </w:p>
    <w:p w:rsidR="00C4584D" w:rsidRPr="00C91601" w:rsidRDefault="00E40E19" w:rsidP="00C4584D">
      <w:pPr>
        <w:tabs>
          <w:tab w:val="left" w:pos="709"/>
        </w:tabs>
      </w:pPr>
      <w:r>
        <w:rPr>
          <w:u w:val="single"/>
        </w:rPr>
        <w:t>[15</w:t>
      </w:r>
      <w:r w:rsidR="00C4584D" w:rsidRPr="00374876">
        <w:rPr>
          <w:u w:val="single"/>
        </w:rPr>
        <w:t>]</w:t>
      </w:r>
      <w:r w:rsidR="00C4584D" w:rsidRPr="00374876">
        <w:rPr>
          <w:u w:val="single"/>
        </w:rPr>
        <w:tab/>
      </w:r>
      <w:r w:rsidR="005931C7">
        <w:rPr>
          <w:u w:val="single"/>
        </w:rPr>
        <w:t>Schedule 1</w:t>
      </w:r>
    </w:p>
    <w:p w:rsidR="000C3936" w:rsidRDefault="000C3936" w:rsidP="002F6916">
      <w:pPr>
        <w:tabs>
          <w:tab w:val="left" w:pos="709"/>
        </w:tabs>
      </w:pPr>
      <w:r w:rsidRPr="000C3936">
        <w:rPr>
          <w:u w:val="single"/>
        </w:rPr>
        <w:t>[16]</w:t>
      </w:r>
      <w:r w:rsidRPr="000C3936">
        <w:rPr>
          <w:u w:val="single"/>
        </w:rPr>
        <w:tab/>
      </w:r>
      <w:r w:rsidR="005931C7">
        <w:rPr>
          <w:u w:val="single"/>
        </w:rPr>
        <w:t>Schedule 1</w:t>
      </w:r>
    </w:p>
    <w:p w:rsidR="005931C7" w:rsidRDefault="005931C7" w:rsidP="002F6916">
      <w:pPr>
        <w:tabs>
          <w:tab w:val="left" w:pos="709"/>
        </w:tabs>
      </w:pPr>
    </w:p>
    <w:p w:rsidR="002673B6" w:rsidRDefault="00B74A1A" w:rsidP="002F6916">
      <w:pPr>
        <w:tabs>
          <w:tab w:val="left" w:pos="709"/>
        </w:tabs>
      </w:pPr>
      <w:r>
        <w:t>The expressions</w:t>
      </w:r>
      <w:r w:rsidR="004E5D9D">
        <w:t xml:space="preserve"> “</w:t>
      </w:r>
      <w:r w:rsidR="004E5D9D">
        <w:rPr>
          <w:i/>
        </w:rPr>
        <w:t>issuing officer</w:t>
      </w:r>
      <w:r w:rsidR="004E5D9D">
        <w:t>” and “</w:t>
      </w:r>
      <w:r w:rsidR="004E5D9D">
        <w:rPr>
          <w:i/>
        </w:rPr>
        <w:t>issuing party</w:t>
      </w:r>
      <w:r w:rsidR="004E5D9D">
        <w:t xml:space="preserve">” are defined in </w:t>
      </w:r>
      <w:proofErr w:type="spellStart"/>
      <w:r w:rsidR="004E5D9D">
        <w:t>subrule</w:t>
      </w:r>
      <w:proofErr w:type="spellEnd"/>
      <w:r w:rsidR="004E5D9D">
        <w:t xml:space="preserve"> 24.11</w:t>
      </w:r>
      <w:r w:rsidR="006B1EC7">
        <w:t>(1)</w:t>
      </w:r>
      <w:r w:rsidR="00081B8C">
        <w:t xml:space="preserve"> for the purposes of Division 24.2</w:t>
      </w:r>
      <w:r w:rsidR="004E5D9D">
        <w:t xml:space="preserve"> </w:t>
      </w:r>
      <w:r w:rsidR="00081B8C">
        <w:t xml:space="preserve">only.  That Division </w:t>
      </w:r>
      <w:r w:rsidR="004E5D9D">
        <w:t>deals with subpoena</w:t>
      </w:r>
      <w:r w:rsidR="00081B8C">
        <w:t xml:space="preserve">s.  It is </w:t>
      </w:r>
      <w:r w:rsidR="004E5D9D">
        <w:t xml:space="preserve">harmonised with the rules of other Australian courts dealing with subpoenas.  Harmonised rules </w:t>
      </w:r>
      <w:r w:rsidR="00081B8C">
        <w:t>operating</w:t>
      </w:r>
      <w:r w:rsidR="004E5D9D">
        <w:t xml:space="preserve"> across multiple-jurisdictions, of necessity, must use generic language and terminology</w:t>
      </w:r>
      <w:r w:rsidR="00081B8C">
        <w:t>.</w:t>
      </w:r>
    </w:p>
    <w:p w:rsidR="006B1EC7" w:rsidRPr="004E5D9D" w:rsidRDefault="006B1EC7" w:rsidP="002F6916">
      <w:pPr>
        <w:tabs>
          <w:tab w:val="left" w:pos="709"/>
        </w:tabs>
      </w:pPr>
    </w:p>
    <w:p w:rsidR="002673B6" w:rsidRDefault="006B1EC7" w:rsidP="002F6916">
      <w:pPr>
        <w:tabs>
          <w:tab w:val="left" w:pos="709"/>
        </w:tabs>
      </w:pPr>
      <w:r>
        <w:t>The expression “</w:t>
      </w:r>
      <w:r>
        <w:rPr>
          <w:i/>
        </w:rPr>
        <w:t>issuing party”</w:t>
      </w:r>
      <w:r>
        <w:t xml:space="preserve"> is also defined in </w:t>
      </w:r>
      <w:proofErr w:type="spellStart"/>
      <w:r>
        <w:t>subrule</w:t>
      </w:r>
      <w:proofErr w:type="spellEnd"/>
      <w:r>
        <w:t xml:space="preserve"> 28.46</w:t>
      </w:r>
      <w:r w:rsidR="000746A5">
        <w:t>(1)</w:t>
      </w:r>
      <w:r>
        <w:t xml:space="preserve"> for the purpose of an application to the Court for the issue of a subpoena under subsection 23(3) of the </w:t>
      </w:r>
      <w:r>
        <w:rPr>
          <w:i/>
        </w:rPr>
        <w:t>International Arbitration Act 1974</w:t>
      </w:r>
      <w:r>
        <w:t xml:space="preserve"> to attend for examination before an arbitral tribunal or to produce documents to an </w:t>
      </w:r>
      <w:r w:rsidR="000746A5">
        <w:t>arbitral tribunal or both.</w:t>
      </w:r>
    </w:p>
    <w:p w:rsidR="000746A5" w:rsidRPr="006B1EC7" w:rsidRDefault="000746A5" w:rsidP="002F6916">
      <w:pPr>
        <w:tabs>
          <w:tab w:val="left" w:pos="709"/>
        </w:tabs>
      </w:pPr>
    </w:p>
    <w:p w:rsidR="00B74A1A" w:rsidRDefault="00081B8C" w:rsidP="002F6916">
      <w:pPr>
        <w:tabs>
          <w:tab w:val="left" w:pos="709"/>
        </w:tabs>
      </w:pPr>
      <w:r>
        <w:t xml:space="preserve">Schedule 1 to the </w:t>
      </w:r>
      <w:r w:rsidR="00501DBE">
        <w:t xml:space="preserve">FCR </w:t>
      </w:r>
      <w:r>
        <w:t xml:space="preserve">2011 is a Dictionary of the </w:t>
      </w:r>
      <w:r w:rsidR="00B74A1A">
        <w:t xml:space="preserve">meanings of words and expressions used in those rules.  It includes “signpost definitions” to words and expressions which are defined elsewhere in the rules (see </w:t>
      </w:r>
      <w:proofErr w:type="spellStart"/>
      <w:r w:rsidR="00B74A1A">
        <w:t>subrule</w:t>
      </w:r>
      <w:proofErr w:type="spellEnd"/>
      <w:r w:rsidR="00B74A1A">
        <w:t xml:space="preserve"> 1.51(2)).</w:t>
      </w:r>
    </w:p>
    <w:p w:rsidR="00B74A1A" w:rsidRDefault="00B74A1A" w:rsidP="002F6916">
      <w:pPr>
        <w:tabs>
          <w:tab w:val="left" w:pos="709"/>
        </w:tabs>
      </w:pPr>
    </w:p>
    <w:p w:rsidR="000C3936" w:rsidRDefault="00B74A1A" w:rsidP="002F6916">
      <w:pPr>
        <w:tabs>
          <w:tab w:val="left" w:pos="709"/>
        </w:tabs>
      </w:pPr>
      <w:r>
        <w:t>For the assistance of court users</w:t>
      </w:r>
      <w:r w:rsidR="00DF62F7">
        <w:t xml:space="preserve"> dealing with D</w:t>
      </w:r>
      <w:r>
        <w:t>ivision 24.2</w:t>
      </w:r>
      <w:r w:rsidR="00DF62F7">
        <w:t xml:space="preserve"> </w:t>
      </w:r>
      <w:r w:rsidR="000746A5">
        <w:t>and rule 28.46 (particularly occasionally)</w:t>
      </w:r>
      <w:r>
        <w:t>, these amendments add signpost definitions of “</w:t>
      </w:r>
      <w:r>
        <w:rPr>
          <w:i/>
        </w:rPr>
        <w:t>issuing officer</w:t>
      </w:r>
      <w:r>
        <w:t>” and “</w:t>
      </w:r>
      <w:r>
        <w:rPr>
          <w:i/>
        </w:rPr>
        <w:t>issuing party</w:t>
      </w:r>
      <w:r>
        <w:t>” to the Dictionary</w:t>
      </w:r>
      <w:r w:rsidR="006C7EE4">
        <w:t xml:space="preserve"> so that the</w:t>
      </w:r>
      <w:r w:rsidR="00DF62F7">
        <w:t xml:space="preserve"> attention </w:t>
      </w:r>
      <w:r w:rsidR="006C7EE4">
        <w:t xml:space="preserve">of such users </w:t>
      </w:r>
      <w:r w:rsidR="00DF62F7">
        <w:t xml:space="preserve">may more quickly and easily be drawn to the definitions of these expressions in </w:t>
      </w:r>
      <w:proofErr w:type="spellStart"/>
      <w:r w:rsidR="00DF62F7">
        <w:t>subrule</w:t>
      </w:r>
      <w:r w:rsidR="000746A5">
        <w:t>s</w:t>
      </w:r>
      <w:proofErr w:type="spellEnd"/>
      <w:r w:rsidR="00DF62F7">
        <w:t xml:space="preserve"> 24.11</w:t>
      </w:r>
      <w:r w:rsidR="000746A5">
        <w:t>(1) and 28.46(1) as appropriate.</w:t>
      </w:r>
    </w:p>
    <w:p w:rsidR="00DF62F7" w:rsidRDefault="00DF62F7" w:rsidP="002F6916">
      <w:pPr>
        <w:tabs>
          <w:tab w:val="left" w:pos="709"/>
        </w:tabs>
      </w:pPr>
    </w:p>
    <w:p w:rsidR="002F6916" w:rsidRPr="009E172F" w:rsidRDefault="002F6916" w:rsidP="002F6916">
      <w:pPr>
        <w:tabs>
          <w:tab w:val="left" w:pos="709"/>
        </w:tabs>
      </w:pPr>
      <w:r>
        <w:rPr>
          <w:u w:val="single"/>
        </w:rPr>
        <w:t>[</w:t>
      </w:r>
      <w:r w:rsidR="00E40E19">
        <w:rPr>
          <w:u w:val="single"/>
        </w:rPr>
        <w:t>1</w:t>
      </w:r>
      <w:r w:rsidR="003810DF">
        <w:rPr>
          <w:u w:val="single"/>
        </w:rPr>
        <w:t>7</w:t>
      </w:r>
      <w:r w:rsidR="00402175">
        <w:rPr>
          <w:u w:val="single"/>
        </w:rPr>
        <w:t>]</w:t>
      </w:r>
      <w:r w:rsidR="00402175">
        <w:rPr>
          <w:u w:val="single"/>
        </w:rPr>
        <w:tab/>
      </w:r>
      <w:r w:rsidR="009E172F">
        <w:rPr>
          <w:u w:val="single"/>
        </w:rPr>
        <w:t xml:space="preserve">Schedule 1 (definition of </w:t>
      </w:r>
      <w:r w:rsidR="009E172F">
        <w:rPr>
          <w:i/>
          <w:u w:val="single"/>
        </w:rPr>
        <w:t>stamp</w:t>
      </w:r>
      <w:r w:rsidR="009E172F">
        <w:rPr>
          <w:u w:val="single"/>
        </w:rPr>
        <w:t>)</w:t>
      </w:r>
    </w:p>
    <w:p w:rsidR="00D47BE3" w:rsidRDefault="00D47BE3" w:rsidP="00EC6529">
      <w:pPr>
        <w:tabs>
          <w:tab w:val="left" w:pos="709"/>
        </w:tabs>
      </w:pPr>
    </w:p>
    <w:p w:rsidR="000129E4" w:rsidRDefault="00982675" w:rsidP="00EC6529">
      <w:pPr>
        <w:tabs>
          <w:tab w:val="left" w:pos="709"/>
        </w:tabs>
      </w:pPr>
      <w:r>
        <w:t>As noted in [15] and 16] above, Schedule 1 is a Dictionary.</w:t>
      </w:r>
    </w:p>
    <w:p w:rsidR="00982675" w:rsidRDefault="00982675" w:rsidP="00EC6529">
      <w:pPr>
        <w:tabs>
          <w:tab w:val="left" w:pos="709"/>
        </w:tabs>
      </w:pPr>
    </w:p>
    <w:p w:rsidR="00982675" w:rsidRDefault="00982675" w:rsidP="00EC6529">
      <w:pPr>
        <w:tabs>
          <w:tab w:val="left" w:pos="709"/>
        </w:tabs>
      </w:pPr>
      <w:r>
        <w:t>It defines “</w:t>
      </w:r>
      <w:r>
        <w:rPr>
          <w:i/>
        </w:rPr>
        <w:t>stamp</w:t>
      </w:r>
      <w:r>
        <w:t xml:space="preserve">” (for a document) to mean affix the stamp of a particular District Registry to the document under </w:t>
      </w:r>
      <w:proofErr w:type="spellStart"/>
      <w:r>
        <w:t>subrules</w:t>
      </w:r>
      <w:proofErr w:type="spellEnd"/>
      <w:r>
        <w:t xml:space="preserve"> 2.01(2) and (3).</w:t>
      </w:r>
    </w:p>
    <w:p w:rsidR="00982675" w:rsidRDefault="00982675" w:rsidP="00EC6529">
      <w:pPr>
        <w:tabs>
          <w:tab w:val="left" w:pos="709"/>
        </w:tabs>
      </w:pPr>
    </w:p>
    <w:p w:rsidR="00982675" w:rsidRPr="00CE5A0D" w:rsidRDefault="00982675" w:rsidP="00EC6529">
      <w:pPr>
        <w:tabs>
          <w:tab w:val="left" w:pos="709"/>
        </w:tabs>
      </w:pPr>
      <w:r>
        <w:t xml:space="preserve">This amendment inserts the words “the Court or” into that definition so that, consistent with the amendments </w:t>
      </w:r>
      <w:r w:rsidR="00CE5A0D">
        <w:t xml:space="preserve">discussed </w:t>
      </w:r>
      <w:r>
        <w:t>at [</w:t>
      </w:r>
      <w:r w:rsidR="00CE5A0D">
        <w:t>1], [2] and [14] above, “</w:t>
      </w:r>
      <w:r w:rsidR="00CE5A0D">
        <w:rPr>
          <w:i/>
        </w:rPr>
        <w:t>stamp</w:t>
      </w:r>
      <w:r w:rsidR="00CE5A0D">
        <w:t>” in that context will now include affixing the stamp of the Court to the document.</w:t>
      </w:r>
    </w:p>
    <w:p w:rsidR="000129E4" w:rsidRPr="00D47BE3" w:rsidRDefault="000129E4" w:rsidP="00EC6529">
      <w:pPr>
        <w:tabs>
          <w:tab w:val="left" w:pos="709"/>
        </w:tabs>
      </w:pPr>
    </w:p>
    <w:p w:rsidR="00EC6529" w:rsidRDefault="00E40E19" w:rsidP="00EC6529">
      <w:pPr>
        <w:tabs>
          <w:tab w:val="left" w:pos="709"/>
        </w:tabs>
      </w:pPr>
      <w:r>
        <w:rPr>
          <w:u w:val="single"/>
        </w:rPr>
        <w:t>[1</w:t>
      </w:r>
      <w:r w:rsidR="003810DF">
        <w:rPr>
          <w:u w:val="single"/>
        </w:rPr>
        <w:t>8</w:t>
      </w:r>
      <w:r w:rsidR="00EC6529">
        <w:rPr>
          <w:u w:val="single"/>
        </w:rPr>
        <w:t>]</w:t>
      </w:r>
      <w:r w:rsidR="00EC6529">
        <w:rPr>
          <w:u w:val="single"/>
        </w:rPr>
        <w:tab/>
      </w:r>
      <w:r w:rsidR="009E172F">
        <w:rPr>
          <w:u w:val="single"/>
        </w:rPr>
        <w:t>Schedule 2 (after table item 102)</w:t>
      </w:r>
    </w:p>
    <w:p w:rsidR="00003E0F" w:rsidRDefault="00003E0F" w:rsidP="00816290">
      <w:pPr>
        <w:tabs>
          <w:tab w:val="left" w:pos="567"/>
        </w:tabs>
      </w:pPr>
    </w:p>
    <w:p w:rsidR="00B8187C" w:rsidRDefault="00CE5A0D" w:rsidP="00816290">
      <w:pPr>
        <w:tabs>
          <w:tab w:val="left" w:pos="567"/>
        </w:tabs>
      </w:pPr>
      <w:r>
        <w:t xml:space="preserve">Schedule 2 to the </w:t>
      </w:r>
      <w:r w:rsidR="00501DBE">
        <w:t xml:space="preserve">FCR </w:t>
      </w:r>
      <w:r>
        <w:t>2011 sets out the powers of the Court that a Registrar can be directed to exercise.</w:t>
      </w:r>
    </w:p>
    <w:p w:rsidR="00CE5A0D" w:rsidRDefault="00CE5A0D" w:rsidP="00816290">
      <w:pPr>
        <w:tabs>
          <w:tab w:val="left" w:pos="567"/>
        </w:tabs>
      </w:pPr>
    </w:p>
    <w:p w:rsidR="00CE5A0D" w:rsidRDefault="00CE5A0D" w:rsidP="00816290">
      <w:pPr>
        <w:tabs>
          <w:tab w:val="left" w:pos="567"/>
        </w:tabs>
      </w:pPr>
      <w:r>
        <w:t>These amendments insert as additional powers that a Registrar may exercise the powers to make an order to remove from a court file documents accepted for filing and for redaction of a document on a court file under the new rules 2.28 and 2.29 discussed at [5] above.</w:t>
      </w:r>
    </w:p>
    <w:sectPr w:rsidR="00CE5A0D" w:rsidSect="00463A20">
      <w:pgSz w:w="12240" w:h="15840" w:code="1"/>
      <w:pgMar w:top="1440" w:right="1797" w:bottom="1259"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C00" w:rsidRDefault="004D3C00">
      <w:r>
        <w:separator/>
      </w:r>
    </w:p>
  </w:endnote>
  <w:endnote w:type="continuationSeparator" w:id="0">
    <w:p w:rsidR="004D3C00" w:rsidRDefault="004D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B1" w:rsidRPr="00211A41" w:rsidRDefault="00D165B1" w:rsidP="009A0F78">
    <w:pPr>
      <w:pStyle w:val="Footer"/>
      <w:jc w:val="center"/>
      <w:rPr>
        <w:sz w:val="18"/>
        <w:szCs w:val="18"/>
      </w:rPr>
    </w:pPr>
    <w:r w:rsidRPr="00211A41">
      <w:rPr>
        <w:sz w:val="18"/>
        <w:szCs w:val="18"/>
      </w:rPr>
      <w:t xml:space="preserve">Page </w:t>
    </w:r>
    <w:r w:rsidRPr="00211A41">
      <w:rPr>
        <w:rStyle w:val="PageNumber"/>
        <w:sz w:val="18"/>
        <w:szCs w:val="18"/>
      </w:rPr>
      <w:fldChar w:fldCharType="begin"/>
    </w:r>
    <w:r w:rsidRPr="00211A41">
      <w:rPr>
        <w:rStyle w:val="PageNumber"/>
        <w:sz w:val="18"/>
        <w:szCs w:val="18"/>
      </w:rPr>
      <w:instrText xml:space="preserve"> PAGE </w:instrText>
    </w:r>
    <w:r w:rsidRPr="00211A41">
      <w:rPr>
        <w:rStyle w:val="PageNumber"/>
        <w:sz w:val="18"/>
        <w:szCs w:val="18"/>
      </w:rPr>
      <w:fldChar w:fldCharType="separate"/>
    </w:r>
    <w:r w:rsidR="0085003F">
      <w:rPr>
        <w:rStyle w:val="PageNumber"/>
        <w:noProof/>
        <w:sz w:val="18"/>
        <w:szCs w:val="18"/>
      </w:rPr>
      <w:t>2</w:t>
    </w:r>
    <w:r w:rsidRPr="00211A41">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C00" w:rsidRDefault="004D3C00">
      <w:r>
        <w:separator/>
      </w:r>
    </w:p>
  </w:footnote>
  <w:footnote w:type="continuationSeparator" w:id="0">
    <w:p w:rsidR="004D3C00" w:rsidRDefault="004D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55C"/>
    <w:multiLevelType w:val="hybridMultilevel"/>
    <w:tmpl w:val="8DACA4A4"/>
    <w:lvl w:ilvl="0" w:tplc="EB5E23B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6F7AED"/>
    <w:multiLevelType w:val="hybridMultilevel"/>
    <w:tmpl w:val="D512A798"/>
    <w:lvl w:ilvl="0" w:tplc="8AD447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D82328"/>
    <w:multiLevelType w:val="hybridMultilevel"/>
    <w:tmpl w:val="091A8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BE194F"/>
    <w:multiLevelType w:val="hybridMultilevel"/>
    <w:tmpl w:val="4C4C5CF6"/>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CFE1115"/>
    <w:multiLevelType w:val="hybridMultilevel"/>
    <w:tmpl w:val="1180A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9031A5"/>
    <w:multiLevelType w:val="hybridMultilevel"/>
    <w:tmpl w:val="5230722E"/>
    <w:lvl w:ilvl="0" w:tplc="DB909B6E">
      <w:start w:val="1"/>
      <w:numFmt w:val="lowerLetter"/>
      <w:lvlText w:val="(%1)"/>
      <w:lvlJc w:val="left"/>
      <w:pPr>
        <w:tabs>
          <w:tab w:val="num" w:pos="1065"/>
        </w:tabs>
        <w:ind w:left="1065" w:hanging="705"/>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7F303E0"/>
    <w:multiLevelType w:val="hybridMultilevel"/>
    <w:tmpl w:val="A2901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687EE5"/>
    <w:multiLevelType w:val="hybridMultilevel"/>
    <w:tmpl w:val="E87EED8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nsid w:val="2D361A93"/>
    <w:multiLevelType w:val="hybridMultilevel"/>
    <w:tmpl w:val="EFD683F8"/>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03934D3"/>
    <w:multiLevelType w:val="hybridMultilevel"/>
    <w:tmpl w:val="8452ADF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32B258A"/>
    <w:multiLevelType w:val="hybridMultilevel"/>
    <w:tmpl w:val="91586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86527AA"/>
    <w:multiLevelType w:val="hybridMultilevel"/>
    <w:tmpl w:val="CAF0CCCE"/>
    <w:lvl w:ilvl="0" w:tplc="4E045516">
      <w:start w:val="1"/>
      <w:numFmt w:val="bullet"/>
      <w:lvlText w:val=""/>
      <w:lvlJc w:val="left"/>
      <w:pPr>
        <w:tabs>
          <w:tab w:val="num" w:pos="1440"/>
        </w:tabs>
        <w:ind w:left="144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B95783A"/>
    <w:multiLevelType w:val="hybridMultilevel"/>
    <w:tmpl w:val="1D3AA136"/>
    <w:lvl w:ilvl="0" w:tplc="21A0807A">
      <w:start w:val="1"/>
      <w:numFmt w:val="lowerLetter"/>
      <w:lvlText w:val="(%1)"/>
      <w:lvlJc w:val="left"/>
      <w:pPr>
        <w:tabs>
          <w:tab w:val="num" w:pos="567"/>
        </w:tabs>
        <w:ind w:left="567" w:hanging="567"/>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F0AC9"/>
    <w:multiLevelType w:val="hybridMultilevel"/>
    <w:tmpl w:val="DDD0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E81C0A"/>
    <w:multiLevelType w:val="hybridMultilevel"/>
    <w:tmpl w:val="CB842232"/>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F1E19AD"/>
    <w:multiLevelType w:val="hybridMultilevel"/>
    <w:tmpl w:val="92B6DDE8"/>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9EB0ED6"/>
    <w:multiLevelType w:val="hybridMultilevel"/>
    <w:tmpl w:val="B6BCFFF0"/>
    <w:lvl w:ilvl="0" w:tplc="4E045516">
      <w:start w:val="1"/>
      <w:numFmt w:val="bullet"/>
      <w:lvlText w:val=""/>
      <w:lvlJc w:val="left"/>
      <w:pPr>
        <w:tabs>
          <w:tab w:val="num" w:pos="1440"/>
        </w:tabs>
        <w:ind w:left="144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F257FAD"/>
    <w:multiLevelType w:val="hybridMultilevel"/>
    <w:tmpl w:val="06D4353A"/>
    <w:lvl w:ilvl="0" w:tplc="172A25BC">
      <w:start w:val="1"/>
      <w:numFmt w:val="low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5678767E"/>
    <w:multiLevelType w:val="multilevel"/>
    <w:tmpl w:val="06D4353A"/>
    <w:lvl w:ilvl="0">
      <w:start w:val="1"/>
      <w:numFmt w:val="low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FD41C59"/>
    <w:multiLevelType w:val="hybridMultilevel"/>
    <w:tmpl w:val="72300AC0"/>
    <w:lvl w:ilvl="0" w:tplc="983A9598">
      <w:start w:val="1"/>
      <w:numFmt w:val="bullet"/>
      <w:lvlText w:val=""/>
      <w:lvlJc w:val="left"/>
      <w:pPr>
        <w:tabs>
          <w:tab w:val="num" w:pos="780"/>
        </w:tabs>
        <w:ind w:left="780" w:hanging="360"/>
      </w:pPr>
      <w:rPr>
        <w:rFonts w:ascii="Symbol" w:hAnsi="Symbol"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035230C"/>
    <w:multiLevelType w:val="hybridMultilevel"/>
    <w:tmpl w:val="8BB4F0DA"/>
    <w:lvl w:ilvl="0" w:tplc="59D47818">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1">
    <w:nsid w:val="6F4A387D"/>
    <w:multiLevelType w:val="hybridMultilevel"/>
    <w:tmpl w:val="C4383F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2266976"/>
    <w:multiLevelType w:val="hybridMultilevel"/>
    <w:tmpl w:val="48B0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70842E7"/>
    <w:multiLevelType w:val="hybridMultilevel"/>
    <w:tmpl w:val="961E9E6A"/>
    <w:lvl w:ilvl="0" w:tplc="B5982302">
      <w:start w:val="1"/>
      <w:numFmt w:val="decimal"/>
      <w:lvlText w:val="%1."/>
      <w:lvlJc w:val="left"/>
      <w:pPr>
        <w:tabs>
          <w:tab w:val="num" w:pos="2127"/>
        </w:tabs>
        <w:ind w:left="2127" w:hanging="567"/>
      </w:pPr>
      <w:rPr>
        <w:rFonts w:hint="default"/>
        <w:sz w:val="24"/>
        <w:szCs w:val="24"/>
      </w:rPr>
    </w:lvl>
    <w:lvl w:ilvl="1" w:tplc="04090003">
      <w:start w:val="1"/>
      <w:numFmt w:val="decimal"/>
      <w:lvlText w:val="%2."/>
      <w:lvlJc w:val="left"/>
      <w:pPr>
        <w:tabs>
          <w:tab w:val="num" w:pos="3000"/>
        </w:tabs>
        <w:ind w:left="3000" w:hanging="360"/>
      </w:pPr>
    </w:lvl>
    <w:lvl w:ilvl="2" w:tplc="04090005">
      <w:start w:val="1"/>
      <w:numFmt w:val="decimal"/>
      <w:lvlText w:val="%3."/>
      <w:lvlJc w:val="left"/>
      <w:pPr>
        <w:tabs>
          <w:tab w:val="num" w:pos="3720"/>
        </w:tabs>
        <w:ind w:left="3720" w:hanging="360"/>
      </w:pPr>
    </w:lvl>
    <w:lvl w:ilvl="3" w:tplc="04090001">
      <w:start w:val="1"/>
      <w:numFmt w:val="decimal"/>
      <w:lvlText w:val="%4."/>
      <w:lvlJc w:val="left"/>
      <w:pPr>
        <w:tabs>
          <w:tab w:val="num" w:pos="4440"/>
        </w:tabs>
        <w:ind w:left="4440" w:hanging="360"/>
      </w:pPr>
    </w:lvl>
    <w:lvl w:ilvl="4" w:tplc="04090003">
      <w:start w:val="1"/>
      <w:numFmt w:val="decimal"/>
      <w:lvlText w:val="%5."/>
      <w:lvlJc w:val="left"/>
      <w:pPr>
        <w:tabs>
          <w:tab w:val="num" w:pos="5160"/>
        </w:tabs>
        <w:ind w:left="5160" w:hanging="360"/>
      </w:pPr>
    </w:lvl>
    <w:lvl w:ilvl="5" w:tplc="04090005">
      <w:start w:val="1"/>
      <w:numFmt w:val="decimal"/>
      <w:lvlText w:val="%6."/>
      <w:lvlJc w:val="left"/>
      <w:pPr>
        <w:tabs>
          <w:tab w:val="num" w:pos="5880"/>
        </w:tabs>
        <w:ind w:left="5880" w:hanging="360"/>
      </w:pPr>
    </w:lvl>
    <w:lvl w:ilvl="6" w:tplc="04090001">
      <w:start w:val="1"/>
      <w:numFmt w:val="decimal"/>
      <w:lvlText w:val="%7."/>
      <w:lvlJc w:val="left"/>
      <w:pPr>
        <w:tabs>
          <w:tab w:val="num" w:pos="6600"/>
        </w:tabs>
        <w:ind w:left="6600" w:hanging="360"/>
      </w:pPr>
    </w:lvl>
    <w:lvl w:ilvl="7" w:tplc="04090003">
      <w:start w:val="1"/>
      <w:numFmt w:val="decimal"/>
      <w:lvlText w:val="%8."/>
      <w:lvlJc w:val="left"/>
      <w:pPr>
        <w:tabs>
          <w:tab w:val="num" w:pos="7320"/>
        </w:tabs>
        <w:ind w:left="7320" w:hanging="360"/>
      </w:pPr>
    </w:lvl>
    <w:lvl w:ilvl="8" w:tplc="04090005">
      <w:start w:val="1"/>
      <w:numFmt w:val="decimal"/>
      <w:lvlText w:val="%9."/>
      <w:lvlJc w:val="left"/>
      <w:pPr>
        <w:tabs>
          <w:tab w:val="num" w:pos="8040"/>
        </w:tabs>
        <w:ind w:left="8040" w:hanging="360"/>
      </w:pPr>
    </w:lvl>
  </w:abstractNum>
  <w:num w:numId="1">
    <w:abstractNumId w:val="12"/>
  </w:num>
  <w:num w:numId="2">
    <w:abstractNumId w:val="7"/>
  </w:num>
  <w:num w:numId="3">
    <w:abstractNumId w:val="22"/>
  </w:num>
  <w:num w:numId="4">
    <w:abstractNumId w:val="9"/>
  </w:num>
  <w:num w:numId="5">
    <w:abstractNumId w:val="19"/>
  </w:num>
  <w:num w:numId="6">
    <w:abstractNumId w:val="15"/>
  </w:num>
  <w:num w:numId="7">
    <w:abstractNumId w:val="14"/>
  </w:num>
  <w:num w:numId="8">
    <w:abstractNumId w:val="17"/>
  </w:num>
  <w:num w:numId="9">
    <w:abstractNumId w:val="18"/>
  </w:num>
  <w:num w:numId="10">
    <w:abstractNumId w:val="3"/>
  </w:num>
  <w:num w:numId="11">
    <w:abstractNumId w:val="0"/>
  </w:num>
  <w:num w:numId="12">
    <w:abstractNumId w:val="8"/>
  </w:num>
  <w:num w:numId="13">
    <w:abstractNumId w:val="23"/>
  </w:num>
  <w:num w:numId="14">
    <w:abstractNumId w:val="21"/>
  </w:num>
  <w:num w:numId="15">
    <w:abstractNumId w:val="16"/>
  </w:num>
  <w:num w:numId="16">
    <w:abstractNumId w:val="5"/>
  </w:num>
  <w:num w:numId="17">
    <w:abstractNumId w:val="11"/>
  </w:num>
  <w:num w:numId="18">
    <w:abstractNumId w:val="20"/>
  </w:num>
  <w:num w:numId="19">
    <w:abstractNumId w:val="1"/>
  </w:num>
  <w:num w:numId="20">
    <w:abstractNumId w:val="2"/>
  </w:num>
  <w:num w:numId="21">
    <w:abstractNumId w:val="6"/>
  </w:num>
  <w:num w:numId="22">
    <w:abstractNumId w:val="10"/>
  </w:num>
  <w:num w:numId="23">
    <w:abstractNumId w:val="13"/>
  </w:num>
  <w:num w:numId="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2D"/>
    <w:rsid w:val="00000830"/>
    <w:rsid w:val="00001766"/>
    <w:rsid w:val="000019AF"/>
    <w:rsid w:val="000035A3"/>
    <w:rsid w:val="00003A94"/>
    <w:rsid w:val="00003E0F"/>
    <w:rsid w:val="00004B24"/>
    <w:rsid w:val="00005AB1"/>
    <w:rsid w:val="00006A26"/>
    <w:rsid w:val="00006F66"/>
    <w:rsid w:val="000075EA"/>
    <w:rsid w:val="000100DB"/>
    <w:rsid w:val="00011041"/>
    <w:rsid w:val="000129E4"/>
    <w:rsid w:val="000131EA"/>
    <w:rsid w:val="000155C5"/>
    <w:rsid w:val="000166E4"/>
    <w:rsid w:val="00021149"/>
    <w:rsid w:val="0002178C"/>
    <w:rsid w:val="00022651"/>
    <w:rsid w:val="00023239"/>
    <w:rsid w:val="00024603"/>
    <w:rsid w:val="000255C9"/>
    <w:rsid w:val="000265EE"/>
    <w:rsid w:val="000266DA"/>
    <w:rsid w:val="00026BE2"/>
    <w:rsid w:val="00032340"/>
    <w:rsid w:val="00035365"/>
    <w:rsid w:val="0003599F"/>
    <w:rsid w:val="00040506"/>
    <w:rsid w:val="000419A4"/>
    <w:rsid w:val="0004474B"/>
    <w:rsid w:val="000461E4"/>
    <w:rsid w:val="00050DA1"/>
    <w:rsid w:val="0005124B"/>
    <w:rsid w:val="0005250A"/>
    <w:rsid w:val="00052A3F"/>
    <w:rsid w:val="00053B30"/>
    <w:rsid w:val="000549A7"/>
    <w:rsid w:val="00060660"/>
    <w:rsid w:val="00060CB7"/>
    <w:rsid w:val="0006306E"/>
    <w:rsid w:val="00063516"/>
    <w:rsid w:val="00064B88"/>
    <w:rsid w:val="0006582D"/>
    <w:rsid w:val="000674A2"/>
    <w:rsid w:val="000676A6"/>
    <w:rsid w:val="0007072D"/>
    <w:rsid w:val="000721C1"/>
    <w:rsid w:val="00073C31"/>
    <w:rsid w:val="000746A5"/>
    <w:rsid w:val="00074B60"/>
    <w:rsid w:val="00080E3A"/>
    <w:rsid w:val="00081834"/>
    <w:rsid w:val="00081B8C"/>
    <w:rsid w:val="0008375D"/>
    <w:rsid w:val="0008563E"/>
    <w:rsid w:val="00090B28"/>
    <w:rsid w:val="00091CFE"/>
    <w:rsid w:val="0009283C"/>
    <w:rsid w:val="00094B65"/>
    <w:rsid w:val="00096FDF"/>
    <w:rsid w:val="000A0D8A"/>
    <w:rsid w:val="000A0F8A"/>
    <w:rsid w:val="000A23D2"/>
    <w:rsid w:val="000A2807"/>
    <w:rsid w:val="000A3FBE"/>
    <w:rsid w:val="000A5ECE"/>
    <w:rsid w:val="000B185C"/>
    <w:rsid w:val="000B3C9C"/>
    <w:rsid w:val="000B3F76"/>
    <w:rsid w:val="000B4446"/>
    <w:rsid w:val="000B630D"/>
    <w:rsid w:val="000C3936"/>
    <w:rsid w:val="000C4C75"/>
    <w:rsid w:val="000C4F63"/>
    <w:rsid w:val="000C5080"/>
    <w:rsid w:val="000C5AB7"/>
    <w:rsid w:val="000C6B47"/>
    <w:rsid w:val="000D1ACF"/>
    <w:rsid w:val="000D4245"/>
    <w:rsid w:val="000D636B"/>
    <w:rsid w:val="000D6AF9"/>
    <w:rsid w:val="000E06A4"/>
    <w:rsid w:val="000E20BB"/>
    <w:rsid w:val="000E4A0C"/>
    <w:rsid w:val="000E4CA3"/>
    <w:rsid w:val="000E6745"/>
    <w:rsid w:val="000E6C3F"/>
    <w:rsid w:val="000E7EDE"/>
    <w:rsid w:val="000F052F"/>
    <w:rsid w:val="001031C4"/>
    <w:rsid w:val="001037AB"/>
    <w:rsid w:val="00104B25"/>
    <w:rsid w:val="00105983"/>
    <w:rsid w:val="001078E1"/>
    <w:rsid w:val="00107C41"/>
    <w:rsid w:val="00107F4E"/>
    <w:rsid w:val="00110306"/>
    <w:rsid w:val="00110CDA"/>
    <w:rsid w:val="001124BC"/>
    <w:rsid w:val="00112B07"/>
    <w:rsid w:val="001158EF"/>
    <w:rsid w:val="00117242"/>
    <w:rsid w:val="00120458"/>
    <w:rsid w:val="001225DF"/>
    <w:rsid w:val="00122C54"/>
    <w:rsid w:val="00124584"/>
    <w:rsid w:val="00125A57"/>
    <w:rsid w:val="00126984"/>
    <w:rsid w:val="00130A54"/>
    <w:rsid w:val="00134441"/>
    <w:rsid w:val="0013500D"/>
    <w:rsid w:val="00136394"/>
    <w:rsid w:val="0014027D"/>
    <w:rsid w:val="001417B2"/>
    <w:rsid w:val="001419D6"/>
    <w:rsid w:val="00141F7D"/>
    <w:rsid w:val="0014288B"/>
    <w:rsid w:val="00142BDD"/>
    <w:rsid w:val="00142EDA"/>
    <w:rsid w:val="00144EB8"/>
    <w:rsid w:val="00146542"/>
    <w:rsid w:val="00146924"/>
    <w:rsid w:val="00150A64"/>
    <w:rsid w:val="00151E90"/>
    <w:rsid w:val="00155894"/>
    <w:rsid w:val="0015686B"/>
    <w:rsid w:val="00157255"/>
    <w:rsid w:val="00157BE4"/>
    <w:rsid w:val="00160D0A"/>
    <w:rsid w:val="00164F23"/>
    <w:rsid w:val="00166B1B"/>
    <w:rsid w:val="00174364"/>
    <w:rsid w:val="00174AF2"/>
    <w:rsid w:val="00175829"/>
    <w:rsid w:val="001765AF"/>
    <w:rsid w:val="00177775"/>
    <w:rsid w:val="00177DAA"/>
    <w:rsid w:val="00182399"/>
    <w:rsid w:val="00182FEA"/>
    <w:rsid w:val="00184DB3"/>
    <w:rsid w:val="001854F5"/>
    <w:rsid w:val="00192CB4"/>
    <w:rsid w:val="0019361E"/>
    <w:rsid w:val="0019710B"/>
    <w:rsid w:val="001A2473"/>
    <w:rsid w:val="001A3177"/>
    <w:rsid w:val="001A42D7"/>
    <w:rsid w:val="001A5A7F"/>
    <w:rsid w:val="001A6C6B"/>
    <w:rsid w:val="001A7B1D"/>
    <w:rsid w:val="001B09D3"/>
    <w:rsid w:val="001B2E46"/>
    <w:rsid w:val="001B5744"/>
    <w:rsid w:val="001B5CF4"/>
    <w:rsid w:val="001B6D6C"/>
    <w:rsid w:val="001B6D90"/>
    <w:rsid w:val="001B6F77"/>
    <w:rsid w:val="001C210A"/>
    <w:rsid w:val="001C387A"/>
    <w:rsid w:val="001C3BCB"/>
    <w:rsid w:val="001C4397"/>
    <w:rsid w:val="001C5C23"/>
    <w:rsid w:val="001D0ED1"/>
    <w:rsid w:val="001D1BD2"/>
    <w:rsid w:val="001D3BD4"/>
    <w:rsid w:val="001D42EF"/>
    <w:rsid w:val="001D48BB"/>
    <w:rsid w:val="001D6730"/>
    <w:rsid w:val="001D76F8"/>
    <w:rsid w:val="001E2204"/>
    <w:rsid w:val="001E349E"/>
    <w:rsid w:val="001E4F1B"/>
    <w:rsid w:val="001E54B7"/>
    <w:rsid w:val="001E65FB"/>
    <w:rsid w:val="001E7249"/>
    <w:rsid w:val="001F114D"/>
    <w:rsid w:val="001F1A29"/>
    <w:rsid w:val="001F3ACD"/>
    <w:rsid w:val="001F52C1"/>
    <w:rsid w:val="001F7841"/>
    <w:rsid w:val="00201C7A"/>
    <w:rsid w:val="0020232D"/>
    <w:rsid w:val="00203604"/>
    <w:rsid w:val="0020411C"/>
    <w:rsid w:val="002042B7"/>
    <w:rsid w:val="002045F1"/>
    <w:rsid w:val="002054EF"/>
    <w:rsid w:val="00205C41"/>
    <w:rsid w:val="00210FF0"/>
    <w:rsid w:val="00214E61"/>
    <w:rsid w:val="002173AC"/>
    <w:rsid w:val="002209EC"/>
    <w:rsid w:val="002223D9"/>
    <w:rsid w:val="00222BBC"/>
    <w:rsid w:val="00225747"/>
    <w:rsid w:val="002320EB"/>
    <w:rsid w:val="002363AB"/>
    <w:rsid w:val="00237362"/>
    <w:rsid w:val="0023778B"/>
    <w:rsid w:val="00243F63"/>
    <w:rsid w:val="00244DF6"/>
    <w:rsid w:val="00245962"/>
    <w:rsid w:val="002515DC"/>
    <w:rsid w:val="00254390"/>
    <w:rsid w:val="002544A0"/>
    <w:rsid w:val="00255F4E"/>
    <w:rsid w:val="00260528"/>
    <w:rsid w:val="00260C22"/>
    <w:rsid w:val="002617E5"/>
    <w:rsid w:val="00261FD3"/>
    <w:rsid w:val="00262950"/>
    <w:rsid w:val="002636E7"/>
    <w:rsid w:val="00264BE5"/>
    <w:rsid w:val="002663B6"/>
    <w:rsid w:val="002673B6"/>
    <w:rsid w:val="00267751"/>
    <w:rsid w:val="00272171"/>
    <w:rsid w:val="0027552C"/>
    <w:rsid w:val="00275559"/>
    <w:rsid w:val="0028240C"/>
    <w:rsid w:val="00283491"/>
    <w:rsid w:val="002855AC"/>
    <w:rsid w:val="00287045"/>
    <w:rsid w:val="00287734"/>
    <w:rsid w:val="0029032A"/>
    <w:rsid w:val="002910F2"/>
    <w:rsid w:val="00291D21"/>
    <w:rsid w:val="002957D5"/>
    <w:rsid w:val="00296D06"/>
    <w:rsid w:val="002979C3"/>
    <w:rsid w:val="00297EF2"/>
    <w:rsid w:val="002A0AD2"/>
    <w:rsid w:val="002A1189"/>
    <w:rsid w:val="002A2810"/>
    <w:rsid w:val="002A3ECB"/>
    <w:rsid w:val="002B220F"/>
    <w:rsid w:val="002B2525"/>
    <w:rsid w:val="002B2E1B"/>
    <w:rsid w:val="002B3FDD"/>
    <w:rsid w:val="002B4C8A"/>
    <w:rsid w:val="002B5743"/>
    <w:rsid w:val="002B626C"/>
    <w:rsid w:val="002B6299"/>
    <w:rsid w:val="002B7D3C"/>
    <w:rsid w:val="002C20D1"/>
    <w:rsid w:val="002C3323"/>
    <w:rsid w:val="002C6C1F"/>
    <w:rsid w:val="002D1584"/>
    <w:rsid w:val="002D227A"/>
    <w:rsid w:val="002D3FF0"/>
    <w:rsid w:val="002D56AF"/>
    <w:rsid w:val="002D610B"/>
    <w:rsid w:val="002D6426"/>
    <w:rsid w:val="002D6573"/>
    <w:rsid w:val="002D665E"/>
    <w:rsid w:val="002E1417"/>
    <w:rsid w:val="002E24AF"/>
    <w:rsid w:val="002E4C3A"/>
    <w:rsid w:val="002E72CC"/>
    <w:rsid w:val="002F102B"/>
    <w:rsid w:val="002F2EC4"/>
    <w:rsid w:val="002F3336"/>
    <w:rsid w:val="002F42D3"/>
    <w:rsid w:val="002F4E1D"/>
    <w:rsid w:val="002F55F5"/>
    <w:rsid w:val="002F63B1"/>
    <w:rsid w:val="002F6916"/>
    <w:rsid w:val="0030112C"/>
    <w:rsid w:val="00304B56"/>
    <w:rsid w:val="00305AF9"/>
    <w:rsid w:val="00310867"/>
    <w:rsid w:val="003116B1"/>
    <w:rsid w:val="00312CC5"/>
    <w:rsid w:val="003154A0"/>
    <w:rsid w:val="003167D5"/>
    <w:rsid w:val="003207F4"/>
    <w:rsid w:val="00321B94"/>
    <w:rsid w:val="00322E05"/>
    <w:rsid w:val="00323C60"/>
    <w:rsid w:val="003260F7"/>
    <w:rsid w:val="00326285"/>
    <w:rsid w:val="003262BF"/>
    <w:rsid w:val="003307A0"/>
    <w:rsid w:val="00332705"/>
    <w:rsid w:val="00332BCB"/>
    <w:rsid w:val="00333A7E"/>
    <w:rsid w:val="00333AAF"/>
    <w:rsid w:val="003343D6"/>
    <w:rsid w:val="003354BB"/>
    <w:rsid w:val="00337DA9"/>
    <w:rsid w:val="00341CB9"/>
    <w:rsid w:val="00343870"/>
    <w:rsid w:val="003439D0"/>
    <w:rsid w:val="003478AA"/>
    <w:rsid w:val="0035096C"/>
    <w:rsid w:val="00351AFF"/>
    <w:rsid w:val="00353D4A"/>
    <w:rsid w:val="0035569A"/>
    <w:rsid w:val="003559E8"/>
    <w:rsid w:val="00361071"/>
    <w:rsid w:val="00361DD8"/>
    <w:rsid w:val="003641E6"/>
    <w:rsid w:val="003700B2"/>
    <w:rsid w:val="003708E4"/>
    <w:rsid w:val="00372FD6"/>
    <w:rsid w:val="00374876"/>
    <w:rsid w:val="00375AFA"/>
    <w:rsid w:val="00375DE8"/>
    <w:rsid w:val="00376778"/>
    <w:rsid w:val="00380244"/>
    <w:rsid w:val="00380C32"/>
    <w:rsid w:val="003810DF"/>
    <w:rsid w:val="00381CAB"/>
    <w:rsid w:val="00382283"/>
    <w:rsid w:val="00387092"/>
    <w:rsid w:val="00392B48"/>
    <w:rsid w:val="00393773"/>
    <w:rsid w:val="00397A39"/>
    <w:rsid w:val="003A0A70"/>
    <w:rsid w:val="003A292E"/>
    <w:rsid w:val="003A30F7"/>
    <w:rsid w:val="003A3141"/>
    <w:rsid w:val="003A3BFA"/>
    <w:rsid w:val="003A448E"/>
    <w:rsid w:val="003B2768"/>
    <w:rsid w:val="003B40A9"/>
    <w:rsid w:val="003B42A5"/>
    <w:rsid w:val="003B5CBA"/>
    <w:rsid w:val="003B6256"/>
    <w:rsid w:val="003B7C2A"/>
    <w:rsid w:val="003C2E88"/>
    <w:rsid w:val="003C3150"/>
    <w:rsid w:val="003C524A"/>
    <w:rsid w:val="003C5349"/>
    <w:rsid w:val="003C53C6"/>
    <w:rsid w:val="003C540F"/>
    <w:rsid w:val="003C7021"/>
    <w:rsid w:val="003C7B0F"/>
    <w:rsid w:val="003D05C4"/>
    <w:rsid w:val="003D238A"/>
    <w:rsid w:val="003D299B"/>
    <w:rsid w:val="003D3F0D"/>
    <w:rsid w:val="003D7CE6"/>
    <w:rsid w:val="003D7DB9"/>
    <w:rsid w:val="003E07FB"/>
    <w:rsid w:val="003E0C98"/>
    <w:rsid w:val="003E144D"/>
    <w:rsid w:val="003E293F"/>
    <w:rsid w:val="003E5D80"/>
    <w:rsid w:val="003E6D26"/>
    <w:rsid w:val="003E73EA"/>
    <w:rsid w:val="003E7FAD"/>
    <w:rsid w:val="003F18A8"/>
    <w:rsid w:val="003F1D68"/>
    <w:rsid w:val="003F1FDD"/>
    <w:rsid w:val="003F285E"/>
    <w:rsid w:val="003F2E37"/>
    <w:rsid w:val="003F376F"/>
    <w:rsid w:val="003F40CD"/>
    <w:rsid w:val="003F41F7"/>
    <w:rsid w:val="003F47B0"/>
    <w:rsid w:val="003F4C80"/>
    <w:rsid w:val="003F4DE7"/>
    <w:rsid w:val="003F5866"/>
    <w:rsid w:val="003F6CB2"/>
    <w:rsid w:val="003F6F19"/>
    <w:rsid w:val="00400158"/>
    <w:rsid w:val="004001FE"/>
    <w:rsid w:val="00401F15"/>
    <w:rsid w:val="00402097"/>
    <w:rsid w:val="00402175"/>
    <w:rsid w:val="00402320"/>
    <w:rsid w:val="004039E2"/>
    <w:rsid w:val="00403D4B"/>
    <w:rsid w:val="00405033"/>
    <w:rsid w:val="004062F9"/>
    <w:rsid w:val="004104DC"/>
    <w:rsid w:val="00410CD1"/>
    <w:rsid w:val="0041252E"/>
    <w:rsid w:val="004145E8"/>
    <w:rsid w:val="00415AA1"/>
    <w:rsid w:val="00416CA9"/>
    <w:rsid w:val="00420217"/>
    <w:rsid w:val="00427D13"/>
    <w:rsid w:val="004305E5"/>
    <w:rsid w:val="00430C1F"/>
    <w:rsid w:val="00434C60"/>
    <w:rsid w:val="00435861"/>
    <w:rsid w:val="00436FD2"/>
    <w:rsid w:val="00440C3E"/>
    <w:rsid w:val="00442E58"/>
    <w:rsid w:val="004431CF"/>
    <w:rsid w:val="00443406"/>
    <w:rsid w:val="0044364E"/>
    <w:rsid w:val="00443664"/>
    <w:rsid w:val="0044499D"/>
    <w:rsid w:val="00444FC9"/>
    <w:rsid w:val="00445A1D"/>
    <w:rsid w:val="00445DD6"/>
    <w:rsid w:val="00447588"/>
    <w:rsid w:val="0045275D"/>
    <w:rsid w:val="00453239"/>
    <w:rsid w:val="00454CD5"/>
    <w:rsid w:val="004601A8"/>
    <w:rsid w:val="00460215"/>
    <w:rsid w:val="004603B5"/>
    <w:rsid w:val="00460C61"/>
    <w:rsid w:val="00463A20"/>
    <w:rsid w:val="00464D58"/>
    <w:rsid w:val="0046692C"/>
    <w:rsid w:val="00470634"/>
    <w:rsid w:val="00470846"/>
    <w:rsid w:val="00470B6A"/>
    <w:rsid w:val="00471C0A"/>
    <w:rsid w:val="0047282E"/>
    <w:rsid w:val="004759B9"/>
    <w:rsid w:val="004812E8"/>
    <w:rsid w:val="00484DF4"/>
    <w:rsid w:val="0048656E"/>
    <w:rsid w:val="004907CA"/>
    <w:rsid w:val="004947A6"/>
    <w:rsid w:val="0049491C"/>
    <w:rsid w:val="00496CC0"/>
    <w:rsid w:val="00497718"/>
    <w:rsid w:val="004A096A"/>
    <w:rsid w:val="004A15C7"/>
    <w:rsid w:val="004A219B"/>
    <w:rsid w:val="004A3253"/>
    <w:rsid w:val="004B0AAF"/>
    <w:rsid w:val="004B1E0C"/>
    <w:rsid w:val="004B24C5"/>
    <w:rsid w:val="004B26CF"/>
    <w:rsid w:val="004B27A9"/>
    <w:rsid w:val="004B34D5"/>
    <w:rsid w:val="004B4125"/>
    <w:rsid w:val="004B451E"/>
    <w:rsid w:val="004B4A4B"/>
    <w:rsid w:val="004B4D91"/>
    <w:rsid w:val="004B78FE"/>
    <w:rsid w:val="004B7C83"/>
    <w:rsid w:val="004C02EE"/>
    <w:rsid w:val="004C23C1"/>
    <w:rsid w:val="004C289B"/>
    <w:rsid w:val="004C2B40"/>
    <w:rsid w:val="004C2C52"/>
    <w:rsid w:val="004C3C6D"/>
    <w:rsid w:val="004C44BD"/>
    <w:rsid w:val="004C5609"/>
    <w:rsid w:val="004C6B6D"/>
    <w:rsid w:val="004C6CC8"/>
    <w:rsid w:val="004D0623"/>
    <w:rsid w:val="004D2816"/>
    <w:rsid w:val="004D3518"/>
    <w:rsid w:val="004D3C00"/>
    <w:rsid w:val="004D4B64"/>
    <w:rsid w:val="004D5FDB"/>
    <w:rsid w:val="004D7426"/>
    <w:rsid w:val="004E1BE6"/>
    <w:rsid w:val="004E4C4B"/>
    <w:rsid w:val="004E5D9D"/>
    <w:rsid w:val="004E7350"/>
    <w:rsid w:val="004E7C7D"/>
    <w:rsid w:val="004F0ABB"/>
    <w:rsid w:val="004F1291"/>
    <w:rsid w:val="004F1365"/>
    <w:rsid w:val="004F143F"/>
    <w:rsid w:val="004F4329"/>
    <w:rsid w:val="004F665A"/>
    <w:rsid w:val="004F71E4"/>
    <w:rsid w:val="00501DBE"/>
    <w:rsid w:val="00503021"/>
    <w:rsid w:val="005041EF"/>
    <w:rsid w:val="0050421A"/>
    <w:rsid w:val="00506268"/>
    <w:rsid w:val="00506BDC"/>
    <w:rsid w:val="005108AE"/>
    <w:rsid w:val="00510ABB"/>
    <w:rsid w:val="005134F6"/>
    <w:rsid w:val="00514B44"/>
    <w:rsid w:val="00514E88"/>
    <w:rsid w:val="00515C98"/>
    <w:rsid w:val="00516618"/>
    <w:rsid w:val="00524CCF"/>
    <w:rsid w:val="0052586A"/>
    <w:rsid w:val="00525C29"/>
    <w:rsid w:val="00526883"/>
    <w:rsid w:val="005309FB"/>
    <w:rsid w:val="00531EC8"/>
    <w:rsid w:val="00542D9E"/>
    <w:rsid w:val="00542F82"/>
    <w:rsid w:val="0054399E"/>
    <w:rsid w:val="00550686"/>
    <w:rsid w:val="005511B4"/>
    <w:rsid w:val="00553B04"/>
    <w:rsid w:val="005543BA"/>
    <w:rsid w:val="0055732E"/>
    <w:rsid w:val="005576EE"/>
    <w:rsid w:val="005600EA"/>
    <w:rsid w:val="00561FA4"/>
    <w:rsid w:val="00563392"/>
    <w:rsid w:val="00564CE1"/>
    <w:rsid w:val="00571797"/>
    <w:rsid w:val="00572134"/>
    <w:rsid w:val="0057268B"/>
    <w:rsid w:val="00574B2B"/>
    <w:rsid w:val="00577F56"/>
    <w:rsid w:val="00584505"/>
    <w:rsid w:val="00584617"/>
    <w:rsid w:val="00585118"/>
    <w:rsid w:val="00585594"/>
    <w:rsid w:val="005865F9"/>
    <w:rsid w:val="00586DAA"/>
    <w:rsid w:val="00592963"/>
    <w:rsid w:val="005931C7"/>
    <w:rsid w:val="00593F76"/>
    <w:rsid w:val="00594E3E"/>
    <w:rsid w:val="0059550D"/>
    <w:rsid w:val="005955FB"/>
    <w:rsid w:val="00595D5F"/>
    <w:rsid w:val="0059647E"/>
    <w:rsid w:val="00597522"/>
    <w:rsid w:val="005A02A2"/>
    <w:rsid w:val="005A11E9"/>
    <w:rsid w:val="005A346D"/>
    <w:rsid w:val="005A43CA"/>
    <w:rsid w:val="005A43E5"/>
    <w:rsid w:val="005A4BB1"/>
    <w:rsid w:val="005A5BDB"/>
    <w:rsid w:val="005A6A3D"/>
    <w:rsid w:val="005A769D"/>
    <w:rsid w:val="005A7C03"/>
    <w:rsid w:val="005B04BE"/>
    <w:rsid w:val="005B0853"/>
    <w:rsid w:val="005B2733"/>
    <w:rsid w:val="005B3F5C"/>
    <w:rsid w:val="005B408D"/>
    <w:rsid w:val="005B448B"/>
    <w:rsid w:val="005B53E8"/>
    <w:rsid w:val="005B5EE3"/>
    <w:rsid w:val="005B6226"/>
    <w:rsid w:val="005C2AD6"/>
    <w:rsid w:val="005C70F4"/>
    <w:rsid w:val="005D0183"/>
    <w:rsid w:val="005D0958"/>
    <w:rsid w:val="005D0D41"/>
    <w:rsid w:val="005D18A5"/>
    <w:rsid w:val="005D2A14"/>
    <w:rsid w:val="005D3C62"/>
    <w:rsid w:val="005D4E9D"/>
    <w:rsid w:val="005D5506"/>
    <w:rsid w:val="005E0900"/>
    <w:rsid w:val="005E1ADC"/>
    <w:rsid w:val="005E1E14"/>
    <w:rsid w:val="005E5382"/>
    <w:rsid w:val="005E60F4"/>
    <w:rsid w:val="005E6244"/>
    <w:rsid w:val="005E6510"/>
    <w:rsid w:val="005F334A"/>
    <w:rsid w:val="005F532B"/>
    <w:rsid w:val="00601A64"/>
    <w:rsid w:val="00610D38"/>
    <w:rsid w:val="006110B9"/>
    <w:rsid w:val="00611E76"/>
    <w:rsid w:val="00612ABB"/>
    <w:rsid w:val="00614BA2"/>
    <w:rsid w:val="00620503"/>
    <w:rsid w:val="006210CB"/>
    <w:rsid w:val="00623206"/>
    <w:rsid w:val="006234C9"/>
    <w:rsid w:val="006235F6"/>
    <w:rsid w:val="006236AC"/>
    <w:rsid w:val="006239E8"/>
    <w:rsid w:val="00625D76"/>
    <w:rsid w:val="00626C78"/>
    <w:rsid w:val="00631109"/>
    <w:rsid w:val="00633B49"/>
    <w:rsid w:val="006351E9"/>
    <w:rsid w:val="00635A5C"/>
    <w:rsid w:val="00635DFB"/>
    <w:rsid w:val="00637A1B"/>
    <w:rsid w:val="006438EE"/>
    <w:rsid w:val="00644BC0"/>
    <w:rsid w:val="00646C84"/>
    <w:rsid w:val="00653E17"/>
    <w:rsid w:val="00655431"/>
    <w:rsid w:val="006579FE"/>
    <w:rsid w:val="00661250"/>
    <w:rsid w:val="006632FA"/>
    <w:rsid w:val="00664B85"/>
    <w:rsid w:val="00664E4C"/>
    <w:rsid w:val="006651ED"/>
    <w:rsid w:val="00665DEA"/>
    <w:rsid w:val="006668AF"/>
    <w:rsid w:val="006707FA"/>
    <w:rsid w:val="00672C47"/>
    <w:rsid w:val="00677924"/>
    <w:rsid w:val="00686C8E"/>
    <w:rsid w:val="00687BFB"/>
    <w:rsid w:val="0069390A"/>
    <w:rsid w:val="006948F7"/>
    <w:rsid w:val="00695A4D"/>
    <w:rsid w:val="00695F90"/>
    <w:rsid w:val="00697C24"/>
    <w:rsid w:val="006A03F0"/>
    <w:rsid w:val="006A07B3"/>
    <w:rsid w:val="006A438A"/>
    <w:rsid w:val="006A5D5A"/>
    <w:rsid w:val="006B1133"/>
    <w:rsid w:val="006B1EC7"/>
    <w:rsid w:val="006B2402"/>
    <w:rsid w:val="006B33C8"/>
    <w:rsid w:val="006B3A2D"/>
    <w:rsid w:val="006B4370"/>
    <w:rsid w:val="006B45E9"/>
    <w:rsid w:val="006B712E"/>
    <w:rsid w:val="006C3D1D"/>
    <w:rsid w:val="006C3ED2"/>
    <w:rsid w:val="006C7098"/>
    <w:rsid w:val="006C7EE4"/>
    <w:rsid w:val="006D2A9C"/>
    <w:rsid w:val="006D2D6F"/>
    <w:rsid w:val="006D53C1"/>
    <w:rsid w:val="006E0B29"/>
    <w:rsid w:val="006E29A1"/>
    <w:rsid w:val="006E2A75"/>
    <w:rsid w:val="006E3934"/>
    <w:rsid w:val="006E4EE9"/>
    <w:rsid w:val="006E7788"/>
    <w:rsid w:val="006F00AA"/>
    <w:rsid w:val="006F1878"/>
    <w:rsid w:val="006F4268"/>
    <w:rsid w:val="006F459A"/>
    <w:rsid w:val="006F5A64"/>
    <w:rsid w:val="00702744"/>
    <w:rsid w:val="00702DD0"/>
    <w:rsid w:val="0070354E"/>
    <w:rsid w:val="00703BBF"/>
    <w:rsid w:val="00705C1C"/>
    <w:rsid w:val="00705D1F"/>
    <w:rsid w:val="0070655C"/>
    <w:rsid w:val="0070725C"/>
    <w:rsid w:val="00707BCE"/>
    <w:rsid w:val="00712185"/>
    <w:rsid w:val="00712AAE"/>
    <w:rsid w:val="00714E60"/>
    <w:rsid w:val="007225AB"/>
    <w:rsid w:val="007245A4"/>
    <w:rsid w:val="00730908"/>
    <w:rsid w:val="00731074"/>
    <w:rsid w:val="00732553"/>
    <w:rsid w:val="007376D3"/>
    <w:rsid w:val="00745886"/>
    <w:rsid w:val="00746814"/>
    <w:rsid w:val="007476E6"/>
    <w:rsid w:val="007502F5"/>
    <w:rsid w:val="00750963"/>
    <w:rsid w:val="00751C11"/>
    <w:rsid w:val="00753EEC"/>
    <w:rsid w:val="00754835"/>
    <w:rsid w:val="0075490E"/>
    <w:rsid w:val="00755DBC"/>
    <w:rsid w:val="007612BF"/>
    <w:rsid w:val="00761C34"/>
    <w:rsid w:val="00765A5E"/>
    <w:rsid w:val="0077097C"/>
    <w:rsid w:val="00771CF3"/>
    <w:rsid w:val="007734BA"/>
    <w:rsid w:val="00774A5F"/>
    <w:rsid w:val="00774FE4"/>
    <w:rsid w:val="007753C3"/>
    <w:rsid w:val="007768BF"/>
    <w:rsid w:val="00780BB6"/>
    <w:rsid w:val="00780D6A"/>
    <w:rsid w:val="00782335"/>
    <w:rsid w:val="007830B4"/>
    <w:rsid w:val="00783EBA"/>
    <w:rsid w:val="00784E1C"/>
    <w:rsid w:val="007859C4"/>
    <w:rsid w:val="00787685"/>
    <w:rsid w:val="007902DF"/>
    <w:rsid w:val="007904D4"/>
    <w:rsid w:val="00791278"/>
    <w:rsid w:val="0079175B"/>
    <w:rsid w:val="00792549"/>
    <w:rsid w:val="00793066"/>
    <w:rsid w:val="00794C87"/>
    <w:rsid w:val="00795BBC"/>
    <w:rsid w:val="00795EB5"/>
    <w:rsid w:val="0079798E"/>
    <w:rsid w:val="007A0721"/>
    <w:rsid w:val="007A15E4"/>
    <w:rsid w:val="007A463F"/>
    <w:rsid w:val="007A54B4"/>
    <w:rsid w:val="007A5FD6"/>
    <w:rsid w:val="007A707B"/>
    <w:rsid w:val="007B0233"/>
    <w:rsid w:val="007B33E3"/>
    <w:rsid w:val="007B4C4A"/>
    <w:rsid w:val="007B5705"/>
    <w:rsid w:val="007B6A92"/>
    <w:rsid w:val="007B7CB1"/>
    <w:rsid w:val="007B7E86"/>
    <w:rsid w:val="007C1BBB"/>
    <w:rsid w:val="007C1EC5"/>
    <w:rsid w:val="007C2507"/>
    <w:rsid w:val="007C3864"/>
    <w:rsid w:val="007C6446"/>
    <w:rsid w:val="007C6DF8"/>
    <w:rsid w:val="007C72CC"/>
    <w:rsid w:val="007C78FC"/>
    <w:rsid w:val="007D187A"/>
    <w:rsid w:val="007D2D21"/>
    <w:rsid w:val="007D2DD4"/>
    <w:rsid w:val="007D3076"/>
    <w:rsid w:val="007D45AD"/>
    <w:rsid w:val="007D5524"/>
    <w:rsid w:val="007D567A"/>
    <w:rsid w:val="007D64B4"/>
    <w:rsid w:val="007D6B89"/>
    <w:rsid w:val="007D74F8"/>
    <w:rsid w:val="007D7879"/>
    <w:rsid w:val="007D7B75"/>
    <w:rsid w:val="007E0426"/>
    <w:rsid w:val="007E1753"/>
    <w:rsid w:val="007E42A2"/>
    <w:rsid w:val="007E5A39"/>
    <w:rsid w:val="007E611F"/>
    <w:rsid w:val="007E687D"/>
    <w:rsid w:val="007E7CAA"/>
    <w:rsid w:val="007F15AD"/>
    <w:rsid w:val="007F3AEA"/>
    <w:rsid w:val="007F3B31"/>
    <w:rsid w:val="007F46BA"/>
    <w:rsid w:val="007F4AAC"/>
    <w:rsid w:val="007F5698"/>
    <w:rsid w:val="007F70AF"/>
    <w:rsid w:val="00801320"/>
    <w:rsid w:val="00801482"/>
    <w:rsid w:val="00801F5B"/>
    <w:rsid w:val="00803889"/>
    <w:rsid w:val="00803D8B"/>
    <w:rsid w:val="00810CC6"/>
    <w:rsid w:val="00811278"/>
    <w:rsid w:val="00811AD4"/>
    <w:rsid w:val="008124EB"/>
    <w:rsid w:val="00812523"/>
    <w:rsid w:val="00814713"/>
    <w:rsid w:val="00815A98"/>
    <w:rsid w:val="00816290"/>
    <w:rsid w:val="00816961"/>
    <w:rsid w:val="00816A00"/>
    <w:rsid w:val="00821439"/>
    <w:rsid w:val="00821646"/>
    <w:rsid w:val="0082167E"/>
    <w:rsid w:val="00821DEA"/>
    <w:rsid w:val="0082230A"/>
    <w:rsid w:val="0082687F"/>
    <w:rsid w:val="00827922"/>
    <w:rsid w:val="00831282"/>
    <w:rsid w:val="00832FF2"/>
    <w:rsid w:val="008339E4"/>
    <w:rsid w:val="00833E72"/>
    <w:rsid w:val="00836359"/>
    <w:rsid w:val="00840E40"/>
    <w:rsid w:val="00841549"/>
    <w:rsid w:val="00841FDA"/>
    <w:rsid w:val="008421AD"/>
    <w:rsid w:val="008438FD"/>
    <w:rsid w:val="0084486D"/>
    <w:rsid w:val="008455B6"/>
    <w:rsid w:val="00845F5C"/>
    <w:rsid w:val="0085003F"/>
    <w:rsid w:val="008501AF"/>
    <w:rsid w:val="00850AC6"/>
    <w:rsid w:val="00850E97"/>
    <w:rsid w:val="008524CC"/>
    <w:rsid w:val="00853606"/>
    <w:rsid w:val="00854AAB"/>
    <w:rsid w:val="008554E5"/>
    <w:rsid w:val="008604B9"/>
    <w:rsid w:val="00863EDD"/>
    <w:rsid w:val="0086564E"/>
    <w:rsid w:val="00867F01"/>
    <w:rsid w:val="008710F3"/>
    <w:rsid w:val="00874D70"/>
    <w:rsid w:val="00877B5B"/>
    <w:rsid w:val="008801AB"/>
    <w:rsid w:val="00881716"/>
    <w:rsid w:val="008878BA"/>
    <w:rsid w:val="00891106"/>
    <w:rsid w:val="00891801"/>
    <w:rsid w:val="00893C7B"/>
    <w:rsid w:val="008A0909"/>
    <w:rsid w:val="008A3FC3"/>
    <w:rsid w:val="008A4A49"/>
    <w:rsid w:val="008A680B"/>
    <w:rsid w:val="008A7438"/>
    <w:rsid w:val="008B13CD"/>
    <w:rsid w:val="008B2523"/>
    <w:rsid w:val="008B4281"/>
    <w:rsid w:val="008B6312"/>
    <w:rsid w:val="008C1847"/>
    <w:rsid w:val="008C1B3F"/>
    <w:rsid w:val="008C2A7C"/>
    <w:rsid w:val="008C30F8"/>
    <w:rsid w:val="008C34E7"/>
    <w:rsid w:val="008C3625"/>
    <w:rsid w:val="008C43AE"/>
    <w:rsid w:val="008C4537"/>
    <w:rsid w:val="008C4872"/>
    <w:rsid w:val="008C5EFD"/>
    <w:rsid w:val="008C68AE"/>
    <w:rsid w:val="008D2294"/>
    <w:rsid w:val="008D30EB"/>
    <w:rsid w:val="008D336A"/>
    <w:rsid w:val="008D3BC0"/>
    <w:rsid w:val="008D4798"/>
    <w:rsid w:val="008D562C"/>
    <w:rsid w:val="008D601B"/>
    <w:rsid w:val="008D6B71"/>
    <w:rsid w:val="008E2826"/>
    <w:rsid w:val="008E53D4"/>
    <w:rsid w:val="008E59AF"/>
    <w:rsid w:val="008E5A8B"/>
    <w:rsid w:val="008F0107"/>
    <w:rsid w:val="008F03AE"/>
    <w:rsid w:val="008F17EF"/>
    <w:rsid w:val="008F23BA"/>
    <w:rsid w:val="008F29E0"/>
    <w:rsid w:val="008F2EF0"/>
    <w:rsid w:val="00902D1A"/>
    <w:rsid w:val="00906BC1"/>
    <w:rsid w:val="0091012A"/>
    <w:rsid w:val="009148AB"/>
    <w:rsid w:val="00914A27"/>
    <w:rsid w:val="00917021"/>
    <w:rsid w:val="00923F11"/>
    <w:rsid w:val="0092431D"/>
    <w:rsid w:val="0092472A"/>
    <w:rsid w:val="00924F0F"/>
    <w:rsid w:val="00931B2F"/>
    <w:rsid w:val="00931C9F"/>
    <w:rsid w:val="009325FB"/>
    <w:rsid w:val="00934322"/>
    <w:rsid w:val="009418A1"/>
    <w:rsid w:val="0094260E"/>
    <w:rsid w:val="00942A70"/>
    <w:rsid w:val="009468DB"/>
    <w:rsid w:val="00946D58"/>
    <w:rsid w:val="0095142E"/>
    <w:rsid w:val="00955714"/>
    <w:rsid w:val="009648F7"/>
    <w:rsid w:val="00967230"/>
    <w:rsid w:val="00971085"/>
    <w:rsid w:val="00971373"/>
    <w:rsid w:val="009739E3"/>
    <w:rsid w:val="00974EAF"/>
    <w:rsid w:val="009756DF"/>
    <w:rsid w:val="00975FDF"/>
    <w:rsid w:val="00976BD0"/>
    <w:rsid w:val="00976E24"/>
    <w:rsid w:val="00976EA4"/>
    <w:rsid w:val="009771F2"/>
    <w:rsid w:val="009818E9"/>
    <w:rsid w:val="00982675"/>
    <w:rsid w:val="00983740"/>
    <w:rsid w:val="0098430F"/>
    <w:rsid w:val="00987C7A"/>
    <w:rsid w:val="0099083B"/>
    <w:rsid w:val="00990E71"/>
    <w:rsid w:val="0099551D"/>
    <w:rsid w:val="009A0F78"/>
    <w:rsid w:val="009A4F9E"/>
    <w:rsid w:val="009A6580"/>
    <w:rsid w:val="009A6C5D"/>
    <w:rsid w:val="009B1B8A"/>
    <w:rsid w:val="009B5062"/>
    <w:rsid w:val="009B6A86"/>
    <w:rsid w:val="009B7ABD"/>
    <w:rsid w:val="009C038F"/>
    <w:rsid w:val="009C24FC"/>
    <w:rsid w:val="009C3950"/>
    <w:rsid w:val="009C3D9E"/>
    <w:rsid w:val="009C4DAE"/>
    <w:rsid w:val="009C54BA"/>
    <w:rsid w:val="009C55A7"/>
    <w:rsid w:val="009D31D5"/>
    <w:rsid w:val="009D4803"/>
    <w:rsid w:val="009D4CD9"/>
    <w:rsid w:val="009D627C"/>
    <w:rsid w:val="009E132C"/>
    <w:rsid w:val="009E172F"/>
    <w:rsid w:val="009E1FA6"/>
    <w:rsid w:val="009E2CA7"/>
    <w:rsid w:val="009E2FB3"/>
    <w:rsid w:val="009E3950"/>
    <w:rsid w:val="009E462A"/>
    <w:rsid w:val="009E5E64"/>
    <w:rsid w:val="009E679A"/>
    <w:rsid w:val="009F0F5B"/>
    <w:rsid w:val="009F0FCA"/>
    <w:rsid w:val="009F16F3"/>
    <w:rsid w:val="009F3B88"/>
    <w:rsid w:val="009F473E"/>
    <w:rsid w:val="009F6FE5"/>
    <w:rsid w:val="00A00B31"/>
    <w:rsid w:val="00A02092"/>
    <w:rsid w:val="00A04198"/>
    <w:rsid w:val="00A0444D"/>
    <w:rsid w:val="00A04867"/>
    <w:rsid w:val="00A10B51"/>
    <w:rsid w:val="00A1154D"/>
    <w:rsid w:val="00A13838"/>
    <w:rsid w:val="00A164FF"/>
    <w:rsid w:val="00A174FC"/>
    <w:rsid w:val="00A203B3"/>
    <w:rsid w:val="00A2447B"/>
    <w:rsid w:val="00A2649A"/>
    <w:rsid w:val="00A30427"/>
    <w:rsid w:val="00A3069A"/>
    <w:rsid w:val="00A30BCF"/>
    <w:rsid w:val="00A31A07"/>
    <w:rsid w:val="00A31FB1"/>
    <w:rsid w:val="00A335A8"/>
    <w:rsid w:val="00A33EBA"/>
    <w:rsid w:val="00A3776F"/>
    <w:rsid w:val="00A400DE"/>
    <w:rsid w:val="00A4026E"/>
    <w:rsid w:val="00A4612E"/>
    <w:rsid w:val="00A4702D"/>
    <w:rsid w:val="00A47426"/>
    <w:rsid w:val="00A5063A"/>
    <w:rsid w:val="00A54F2D"/>
    <w:rsid w:val="00A5631C"/>
    <w:rsid w:val="00A61740"/>
    <w:rsid w:val="00A648B6"/>
    <w:rsid w:val="00A65E40"/>
    <w:rsid w:val="00A67E9F"/>
    <w:rsid w:val="00A7280E"/>
    <w:rsid w:val="00A730C2"/>
    <w:rsid w:val="00A73E2C"/>
    <w:rsid w:val="00A821C9"/>
    <w:rsid w:val="00A83BF4"/>
    <w:rsid w:val="00A87805"/>
    <w:rsid w:val="00A87BB9"/>
    <w:rsid w:val="00A952C2"/>
    <w:rsid w:val="00A969F5"/>
    <w:rsid w:val="00A97A68"/>
    <w:rsid w:val="00AA3A67"/>
    <w:rsid w:val="00AA3C0A"/>
    <w:rsid w:val="00AA6887"/>
    <w:rsid w:val="00AA78BD"/>
    <w:rsid w:val="00AA7ACA"/>
    <w:rsid w:val="00AB0424"/>
    <w:rsid w:val="00AB0883"/>
    <w:rsid w:val="00AB08C1"/>
    <w:rsid w:val="00AB5653"/>
    <w:rsid w:val="00AB5953"/>
    <w:rsid w:val="00AB7C12"/>
    <w:rsid w:val="00AC02B0"/>
    <w:rsid w:val="00AC4B81"/>
    <w:rsid w:val="00AC65F5"/>
    <w:rsid w:val="00AC6BFE"/>
    <w:rsid w:val="00AC6C5B"/>
    <w:rsid w:val="00AD26D8"/>
    <w:rsid w:val="00AD48B3"/>
    <w:rsid w:val="00AD5558"/>
    <w:rsid w:val="00AE18E6"/>
    <w:rsid w:val="00AE1D20"/>
    <w:rsid w:val="00AE223B"/>
    <w:rsid w:val="00AE5C5B"/>
    <w:rsid w:val="00AF09F1"/>
    <w:rsid w:val="00AF1FA2"/>
    <w:rsid w:val="00AF40B8"/>
    <w:rsid w:val="00AF479D"/>
    <w:rsid w:val="00AF67B3"/>
    <w:rsid w:val="00AF693F"/>
    <w:rsid w:val="00AF6E97"/>
    <w:rsid w:val="00B016A2"/>
    <w:rsid w:val="00B01E0F"/>
    <w:rsid w:val="00B0203D"/>
    <w:rsid w:val="00B02BB8"/>
    <w:rsid w:val="00B07525"/>
    <w:rsid w:val="00B11143"/>
    <w:rsid w:val="00B11CA8"/>
    <w:rsid w:val="00B1494C"/>
    <w:rsid w:val="00B17E00"/>
    <w:rsid w:val="00B2088D"/>
    <w:rsid w:val="00B22487"/>
    <w:rsid w:val="00B2407C"/>
    <w:rsid w:val="00B246E2"/>
    <w:rsid w:val="00B24829"/>
    <w:rsid w:val="00B260FD"/>
    <w:rsid w:val="00B267A4"/>
    <w:rsid w:val="00B273A0"/>
    <w:rsid w:val="00B36225"/>
    <w:rsid w:val="00B378FE"/>
    <w:rsid w:val="00B404F5"/>
    <w:rsid w:val="00B4171E"/>
    <w:rsid w:val="00B4356E"/>
    <w:rsid w:val="00B46213"/>
    <w:rsid w:val="00B462BB"/>
    <w:rsid w:val="00B5210C"/>
    <w:rsid w:val="00B5316B"/>
    <w:rsid w:val="00B54B5F"/>
    <w:rsid w:val="00B556F6"/>
    <w:rsid w:val="00B560B3"/>
    <w:rsid w:val="00B56614"/>
    <w:rsid w:val="00B570E0"/>
    <w:rsid w:val="00B61360"/>
    <w:rsid w:val="00B63CFD"/>
    <w:rsid w:val="00B64C6A"/>
    <w:rsid w:val="00B6747B"/>
    <w:rsid w:val="00B7092D"/>
    <w:rsid w:val="00B70B56"/>
    <w:rsid w:val="00B71CC4"/>
    <w:rsid w:val="00B74A1A"/>
    <w:rsid w:val="00B755EB"/>
    <w:rsid w:val="00B7694D"/>
    <w:rsid w:val="00B813AF"/>
    <w:rsid w:val="00B8187C"/>
    <w:rsid w:val="00B81D82"/>
    <w:rsid w:val="00B85491"/>
    <w:rsid w:val="00B867C6"/>
    <w:rsid w:val="00B86A71"/>
    <w:rsid w:val="00B87489"/>
    <w:rsid w:val="00B91000"/>
    <w:rsid w:val="00B92D0A"/>
    <w:rsid w:val="00B935ED"/>
    <w:rsid w:val="00B94A51"/>
    <w:rsid w:val="00B95825"/>
    <w:rsid w:val="00B95864"/>
    <w:rsid w:val="00BA24F8"/>
    <w:rsid w:val="00BA3EBA"/>
    <w:rsid w:val="00BA6490"/>
    <w:rsid w:val="00BB356F"/>
    <w:rsid w:val="00BB53E5"/>
    <w:rsid w:val="00BC0105"/>
    <w:rsid w:val="00BC0A29"/>
    <w:rsid w:val="00BC36A6"/>
    <w:rsid w:val="00BC3E6B"/>
    <w:rsid w:val="00BC5CE2"/>
    <w:rsid w:val="00BC7505"/>
    <w:rsid w:val="00BD0289"/>
    <w:rsid w:val="00BD25CD"/>
    <w:rsid w:val="00BE41DF"/>
    <w:rsid w:val="00BE5C84"/>
    <w:rsid w:val="00BE7DF9"/>
    <w:rsid w:val="00BF7448"/>
    <w:rsid w:val="00C0062D"/>
    <w:rsid w:val="00C03253"/>
    <w:rsid w:val="00C04A14"/>
    <w:rsid w:val="00C06F99"/>
    <w:rsid w:val="00C103D3"/>
    <w:rsid w:val="00C12BE4"/>
    <w:rsid w:val="00C12C40"/>
    <w:rsid w:val="00C157C0"/>
    <w:rsid w:val="00C162CB"/>
    <w:rsid w:val="00C1781B"/>
    <w:rsid w:val="00C21A46"/>
    <w:rsid w:val="00C21FF7"/>
    <w:rsid w:val="00C22ABA"/>
    <w:rsid w:val="00C240A5"/>
    <w:rsid w:val="00C24D2B"/>
    <w:rsid w:val="00C27E63"/>
    <w:rsid w:val="00C27FB6"/>
    <w:rsid w:val="00C3103A"/>
    <w:rsid w:val="00C316CF"/>
    <w:rsid w:val="00C3198E"/>
    <w:rsid w:val="00C32536"/>
    <w:rsid w:val="00C326E9"/>
    <w:rsid w:val="00C346F4"/>
    <w:rsid w:val="00C34A1C"/>
    <w:rsid w:val="00C35BA1"/>
    <w:rsid w:val="00C3643D"/>
    <w:rsid w:val="00C36E9D"/>
    <w:rsid w:val="00C4138A"/>
    <w:rsid w:val="00C435E8"/>
    <w:rsid w:val="00C43B02"/>
    <w:rsid w:val="00C43CB2"/>
    <w:rsid w:val="00C4584D"/>
    <w:rsid w:val="00C475DD"/>
    <w:rsid w:val="00C47BD1"/>
    <w:rsid w:val="00C517D9"/>
    <w:rsid w:val="00C55789"/>
    <w:rsid w:val="00C55A1D"/>
    <w:rsid w:val="00C55B6B"/>
    <w:rsid w:val="00C604EF"/>
    <w:rsid w:val="00C60569"/>
    <w:rsid w:val="00C63621"/>
    <w:rsid w:val="00C63B47"/>
    <w:rsid w:val="00C709A6"/>
    <w:rsid w:val="00C71296"/>
    <w:rsid w:val="00C71775"/>
    <w:rsid w:val="00C723DF"/>
    <w:rsid w:val="00C7287B"/>
    <w:rsid w:val="00C72DDF"/>
    <w:rsid w:val="00C74A56"/>
    <w:rsid w:val="00C75623"/>
    <w:rsid w:val="00C75780"/>
    <w:rsid w:val="00C76151"/>
    <w:rsid w:val="00C76E46"/>
    <w:rsid w:val="00C83BA5"/>
    <w:rsid w:val="00C860DB"/>
    <w:rsid w:val="00C906A4"/>
    <w:rsid w:val="00C9076C"/>
    <w:rsid w:val="00C93234"/>
    <w:rsid w:val="00C93293"/>
    <w:rsid w:val="00C95BC5"/>
    <w:rsid w:val="00C96DA0"/>
    <w:rsid w:val="00CA12C5"/>
    <w:rsid w:val="00CA2243"/>
    <w:rsid w:val="00CA2CF1"/>
    <w:rsid w:val="00CA6962"/>
    <w:rsid w:val="00CA7391"/>
    <w:rsid w:val="00CB1A3D"/>
    <w:rsid w:val="00CB26C7"/>
    <w:rsid w:val="00CB3AAF"/>
    <w:rsid w:val="00CB3D0E"/>
    <w:rsid w:val="00CB5843"/>
    <w:rsid w:val="00CB6415"/>
    <w:rsid w:val="00CB7157"/>
    <w:rsid w:val="00CB7F29"/>
    <w:rsid w:val="00CC175A"/>
    <w:rsid w:val="00CC23D1"/>
    <w:rsid w:val="00CC415D"/>
    <w:rsid w:val="00CC518E"/>
    <w:rsid w:val="00CD350C"/>
    <w:rsid w:val="00CE02D6"/>
    <w:rsid w:val="00CE32FE"/>
    <w:rsid w:val="00CE5A0D"/>
    <w:rsid w:val="00CE6566"/>
    <w:rsid w:val="00CE6682"/>
    <w:rsid w:val="00CF0A8D"/>
    <w:rsid w:val="00CF0D8D"/>
    <w:rsid w:val="00CF2309"/>
    <w:rsid w:val="00CF461C"/>
    <w:rsid w:val="00CF4DBD"/>
    <w:rsid w:val="00D0025C"/>
    <w:rsid w:val="00D014E5"/>
    <w:rsid w:val="00D02F2C"/>
    <w:rsid w:val="00D0343C"/>
    <w:rsid w:val="00D035E0"/>
    <w:rsid w:val="00D039C9"/>
    <w:rsid w:val="00D03BFC"/>
    <w:rsid w:val="00D0644A"/>
    <w:rsid w:val="00D1222B"/>
    <w:rsid w:val="00D1365A"/>
    <w:rsid w:val="00D13708"/>
    <w:rsid w:val="00D145CB"/>
    <w:rsid w:val="00D165B1"/>
    <w:rsid w:val="00D17A98"/>
    <w:rsid w:val="00D21D23"/>
    <w:rsid w:val="00D22961"/>
    <w:rsid w:val="00D2312A"/>
    <w:rsid w:val="00D236C6"/>
    <w:rsid w:val="00D24F88"/>
    <w:rsid w:val="00D27569"/>
    <w:rsid w:val="00D342C3"/>
    <w:rsid w:val="00D34895"/>
    <w:rsid w:val="00D36C07"/>
    <w:rsid w:val="00D40000"/>
    <w:rsid w:val="00D40A44"/>
    <w:rsid w:val="00D42806"/>
    <w:rsid w:val="00D447F8"/>
    <w:rsid w:val="00D4569C"/>
    <w:rsid w:val="00D45B1D"/>
    <w:rsid w:val="00D46B47"/>
    <w:rsid w:val="00D471FD"/>
    <w:rsid w:val="00D478FD"/>
    <w:rsid w:val="00D47BE3"/>
    <w:rsid w:val="00D52032"/>
    <w:rsid w:val="00D525AA"/>
    <w:rsid w:val="00D538F0"/>
    <w:rsid w:val="00D5411F"/>
    <w:rsid w:val="00D609E0"/>
    <w:rsid w:val="00D6479E"/>
    <w:rsid w:val="00D64E98"/>
    <w:rsid w:val="00D663AC"/>
    <w:rsid w:val="00D66836"/>
    <w:rsid w:val="00D66FED"/>
    <w:rsid w:val="00D70527"/>
    <w:rsid w:val="00D71175"/>
    <w:rsid w:val="00D7214C"/>
    <w:rsid w:val="00D72F47"/>
    <w:rsid w:val="00D732BA"/>
    <w:rsid w:val="00D763CD"/>
    <w:rsid w:val="00D800F7"/>
    <w:rsid w:val="00D803D7"/>
    <w:rsid w:val="00D8044A"/>
    <w:rsid w:val="00D8109C"/>
    <w:rsid w:val="00D81550"/>
    <w:rsid w:val="00D8393F"/>
    <w:rsid w:val="00D84406"/>
    <w:rsid w:val="00D85E69"/>
    <w:rsid w:val="00D8745A"/>
    <w:rsid w:val="00D87EBF"/>
    <w:rsid w:val="00D912FD"/>
    <w:rsid w:val="00D930D9"/>
    <w:rsid w:val="00D94684"/>
    <w:rsid w:val="00D954F1"/>
    <w:rsid w:val="00D96DD0"/>
    <w:rsid w:val="00D974F1"/>
    <w:rsid w:val="00DA1820"/>
    <w:rsid w:val="00DA3BC4"/>
    <w:rsid w:val="00DA4AD7"/>
    <w:rsid w:val="00DA6C21"/>
    <w:rsid w:val="00DA761F"/>
    <w:rsid w:val="00DA7F33"/>
    <w:rsid w:val="00DB169D"/>
    <w:rsid w:val="00DB2C5C"/>
    <w:rsid w:val="00DB5090"/>
    <w:rsid w:val="00DC02FC"/>
    <w:rsid w:val="00DC0656"/>
    <w:rsid w:val="00DC0ABC"/>
    <w:rsid w:val="00DC0C93"/>
    <w:rsid w:val="00DC0E28"/>
    <w:rsid w:val="00DC1901"/>
    <w:rsid w:val="00DC1B17"/>
    <w:rsid w:val="00DC36D8"/>
    <w:rsid w:val="00DC3BBC"/>
    <w:rsid w:val="00DC3FC4"/>
    <w:rsid w:val="00DC486C"/>
    <w:rsid w:val="00DC5572"/>
    <w:rsid w:val="00DC71BC"/>
    <w:rsid w:val="00DD126D"/>
    <w:rsid w:val="00DD157C"/>
    <w:rsid w:val="00DD1749"/>
    <w:rsid w:val="00DD179D"/>
    <w:rsid w:val="00DD1EAF"/>
    <w:rsid w:val="00DD1F9F"/>
    <w:rsid w:val="00DD40DD"/>
    <w:rsid w:val="00DD4AF8"/>
    <w:rsid w:val="00DD6085"/>
    <w:rsid w:val="00DF270E"/>
    <w:rsid w:val="00DF3D6F"/>
    <w:rsid w:val="00DF62F7"/>
    <w:rsid w:val="00DF657F"/>
    <w:rsid w:val="00E020E1"/>
    <w:rsid w:val="00E048B3"/>
    <w:rsid w:val="00E05330"/>
    <w:rsid w:val="00E0706A"/>
    <w:rsid w:val="00E1001D"/>
    <w:rsid w:val="00E139C9"/>
    <w:rsid w:val="00E13A98"/>
    <w:rsid w:val="00E14578"/>
    <w:rsid w:val="00E14D5F"/>
    <w:rsid w:val="00E14DB8"/>
    <w:rsid w:val="00E153BF"/>
    <w:rsid w:val="00E154A6"/>
    <w:rsid w:val="00E15B7E"/>
    <w:rsid w:val="00E179EA"/>
    <w:rsid w:val="00E23364"/>
    <w:rsid w:val="00E23D06"/>
    <w:rsid w:val="00E25736"/>
    <w:rsid w:val="00E2587F"/>
    <w:rsid w:val="00E26C78"/>
    <w:rsid w:val="00E30FF3"/>
    <w:rsid w:val="00E3584E"/>
    <w:rsid w:val="00E36E59"/>
    <w:rsid w:val="00E403C4"/>
    <w:rsid w:val="00E40E19"/>
    <w:rsid w:val="00E41165"/>
    <w:rsid w:val="00E46C97"/>
    <w:rsid w:val="00E47ED2"/>
    <w:rsid w:val="00E50694"/>
    <w:rsid w:val="00E52837"/>
    <w:rsid w:val="00E5348D"/>
    <w:rsid w:val="00E53498"/>
    <w:rsid w:val="00E53E7B"/>
    <w:rsid w:val="00E554FA"/>
    <w:rsid w:val="00E56FA9"/>
    <w:rsid w:val="00E60ACD"/>
    <w:rsid w:val="00E61AB9"/>
    <w:rsid w:val="00E622A6"/>
    <w:rsid w:val="00E622B0"/>
    <w:rsid w:val="00E62D6F"/>
    <w:rsid w:val="00E6398F"/>
    <w:rsid w:val="00E63DD0"/>
    <w:rsid w:val="00E70453"/>
    <w:rsid w:val="00E72DEC"/>
    <w:rsid w:val="00E74D99"/>
    <w:rsid w:val="00E74FE9"/>
    <w:rsid w:val="00E8061A"/>
    <w:rsid w:val="00E81831"/>
    <w:rsid w:val="00E84B33"/>
    <w:rsid w:val="00E8680C"/>
    <w:rsid w:val="00E904DE"/>
    <w:rsid w:val="00E9557A"/>
    <w:rsid w:val="00E9751C"/>
    <w:rsid w:val="00EA0A90"/>
    <w:rsid w:val="00EA1100"/>
    <w:rsid w:val="00EA1BC0"/>
    <w:rsid w:val="00EA2145"/>
    <w:rsid w:val="00EA71EB"/>
    <w:rsid w:val="00EA7833"/>
    <w:rsid w:val="00EB0D34"/>
    <w:rsid w:val="00EB1041"/>
    <w:rsid w:val="00EB23F6"/>
    <w:rsid w:val="00EB2CBE"/>
    <w:rsid w:val="00EB479D"/>
    <w:rsid w:val="00EB58B6"/>
    <w:rsid w:val="00EB5EF7"/>
    <w:rsid w:val="00EB6629"/>
    <w:rsid w:val="00EB687F"/>
    <w:rsid w:val="00EB7D4C"/>
    <w:rsid w:val="00EC0A47"/>
    <w:rsid w:val="00EC1568"/>
    <w:rsid w:val="00EC402F"/>
    <w:rsid w:val="00EC6529"/>
    <w:rsid w:val="00EC6B86"/>
    <w:rsid w:val="00ED038F"/>
    <w:rsid w:val="00ED333E"/>
    <w:rsid w:val="00ED3ABE"/>
    <w:rsid w:val="00ED4795"/>
    <w:rsid w:val="00ED6345"/>
    <w:rsid w:val="00ED757D"/>
    <w:rsid w:val="00ED7BDD"/>
    <w:rsid w:val="00EE0145"/>
    <w:rsid w:val="00EE01B5"/>
    <w:rsid w:val="00EE0489"/>
    <w:rsid w:val="00EE0758"/>
    <w:rsid w:val="00EE2EFF"/>
    <w:rsid w:val="00EE36B0"/>
    <w:rsid w:val="00EE72C4"/>
    <w:rsid w:val="00EE7F3E"/>
    <w:rsid w:val="00EF0CAA"/>
    <w:rsid w:val="00EF38C0"/>
    <w:rsid w:val="00EF5F0B"/>
    <w:rsid w:val="00F0026E"/>
    <w:rsid w:val="00F01BC1"/>
    <w:rsid w:val="00F04AD2"/>
    <w:rsid w:val="00F070EE"/>
    <w:rsid w:val="00F076DA"/>
    <w:rsid w:val="00F11555"/>
    <w:rsid w:val="00F12146"/>
    <w:rsid w:val="00F12650"/>
    <w:rsid w:val="00F140C4"/>
    <w:rsid w:val="00F15FDB"/>
    <w:rsid w:val="00F20436"/>
    <w:rsid w:val="00F22D1A"/>
    <w:rsid w:val="00F23B29"/>
    <w:rsid w:val="00F24368"/>
    <w:rsid w:val="00F24E7D"/>
    <w:rsid w:val="00F25B95"/>
    <w:rsid w:val="00F318B2"/>
    <w:rsid w:val="00F33D9B"/>
    <w:rsid w:val="00F33EFE"/>
    <w:rsid w:val="00F34DF0"/>
    <w:rsid w:val="00F378F1"/>
    <w:rsid w:val="00F425E4"/>
    <w:rsid w:val="00F42B9C"/>
    <w:rsid w:val="00F4372E"/>
    <w:rsid w:val="00F44548"/>
    <w:rsid w:val="00F44A5C"/>
    <w:rsid w:val="00F45CEE"/>
    <w:rsid w:val="00F471C2"/>
    <w:rsid w:val="00F47994"/>
    <w:rsid w:val="00F47B7F"/>
    <w:rsid w:val="00F50690"/>
    <w:rsid w:val="00F50FFC"/>
    <w:rsid w:val="00F52712"/>
    <w:rsid w:val="00F54074"/>
    <w:rsid w:val="00F546AC"/>
    <w:rsid w:val="00F5475A"/>
    <w:rsid w:val="00F548F9"/>
    <w:rsid w:val="00F56CAA"/>
    <w:rsid w:val="00F56F6F"/>
    <w:rsid w:val="00F576B2"/>
    <w:rsid w:val="00F6176D"/>
    <w:rsid w:val="00F63DBB"/>
    <w:rsid w:val="00F648A0"/>
    <w:rsid w:val="00F668F2"/>
    <w:rsid w:val="00F66AEF"/>
    <w:rsid w:val="00F672D9"/>
    <w:rsid w:val="00F71CE1"/>
    <w:rsid w:val="00F71E8C"/>
    <w:rsid w:val="00F7598F"/>
    <w:rsid w:val="00F77FDC"/>
    <w:rsid w:val="00F80DFF"/>
    <w:rsid w:val="00F8288E"/>
    <w:rsid w:val="00F8332D"/>
    <w:rsid w:val="00F843AE"/>
    <w:rsid w:val="00F84F87"/>
    <w:rsid w:val="00F86FB4"/>
    <w:rsid w:val="00F878F4"/>
    <w:rsid w:val="00F90A3E"/>
    <w:rsid w:val="00F90D58"/>
    <w:rsid w:val="00F923B1"/>
    <w:rsid w:val="00F938CE"/>
    <w:rsid w:val="00F948C6"/>
    <w:rsid w:val="00F957BD"/>
    <w:rsid w:val="00F95E53"/>
    <w:rsid w:val="00FA2D3D"/>
    <w:rsid w:val="00FA49BF"/>
    <w:rsid w:val="00FA7161"/>
    <w:rsid w:val="00FA7C1B"/>
    <w:rsid w:val="00FC343F"/>
    <w:rsid w:val="00FC369B"/>
    <w:rsid w:val="00FC4A00"/>
    <w:rsid w:val="00FC60BF"/>
    <w:rsid w:val="00FD4274"/>
    <w:rsid w:val="00FD4659"/>
    <w:rsid w:val="00FD50AD"/>
    <w:rsid w:val="00FD5917"/>
    <w:rsid w:val="00FD6599"/>
    <w:rsid w:val="00FE0DC6"/>
    <w:rsid w:val="00FE2FE0"/>
    <w:rsid w:val="00FE43D5"/>
    <w:rsid w:val="00FE5490"/>
    <w:rsid w:val="00FE55D3"/>
    <w:rsid w:val="00FE66BD"/>
    <w:rsid w:val="00FF1A71"/>
    <w:rsid w:val="00FF1A9E"/>
    <w:rsid w:val="00FF3666"/>
    <w:rsid w:val="00FF3D3C"/>
    <w:rsid w:val="00FF419C"/>
    <w:rsid w:val="00FF46A5"/>
    <w:rsid w:val="00FF6F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41"/>
    <w:rPr>
      <w:sz w:val="24"/>
      <w:lang w:eastAsia="en-US"/>
    </w:rPr>
  </w:style>
  <w:style w:type="paragraph" w:styleId="Heading1">
    <w:name w:val="heading 1"/>
    <w:aliases w:val="h1,c"/>
    <w:basedOn w:val="Normal"/>
    <w:next w:val="Normal"/>
    <w:qFormat/>
    <w:rsid w:val="006B3A2D"/>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b/>
      <w:spacing w:val="-3"/>
    </w:rPr>
  </w:style>
  <w:style w:type="paragraph" w:styleId="Heading2">
    <w:name w:val="heading 2"/>
    <w:aliases w:val="p,h2"/>
    <w:basedOn w:val="Normal"/>
    <w:next w:val="Normal"/>
    <w:qFormat/>
    <w:rsid w:val="006B3A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b/>
    </w:rPr>
  </w:style>
  <w:style w:type="paragraph" w:styleId="Heading3">
    <w:name w:val="heading 3"/>
    <w:basedOn w:val="Normal"/>
    <w:next w:val="Normal"/>
    <w:qFormat/>
    <w:rsid w:val="006B3A2D"/>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2D"/>
    <w:pPr>
      <w:tabs>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jc w:val="both"/>
    </w:pPr>
  </w:style>
  <w:style w:type="paragraph" w:styleId="EndnoteText">
    <w:name w:val="endnote text"/>
    <w:basedOn w:val="Normal"/>
    <w:semiHidden/>
    <w:rsid w:val="006B3A2D"/>
    <w:pPr>
      <w:suppressAutoHyphens/>
    </w:pPr>
  </w:style>
  <w:style w:type="paragraph" w:styleId="Footer">
    <w:name w:val="footer"/>
    <w:basedOn w:val="Normal"/>
    <w:link w:val="FooterChar"/>
    <w:rsid w:val="006B3A2D"/>
    <w:pPr>
      <w:tabs>
        <w:tab w:val="center" w:pos="4320"/>
        <w:tab w:val="right" w:pos="8640"/>
      </w:tabs>
    </w:pPr>
  </w:style>
  <w:style w:type="character" w:styleId="PageNumber">
    <w:name w:val="page number"/>
    <w:basedOn w:val="DefaultParagraphFont"/>
    <w:rsid w:val="006B3A2D"/>
  </w:style>
  <w:style w:type="paragraph" w:customStyle="1" w:styleId="Char">
    <w:name w:val="Char"/>
    <w:basedOn w:val="Normal"/>
    <w:rsid w:val="00AF1FA2"/>
    <w:pPr>
      <w:spacing w:after="160" w:line="240" w:lineRule="exact"/>
    </w:pPr>
    <w:rPr>
      <w:sz w:val="20"/>
      <w:lang w:val="en-US"/>
    </w:rPr>
  </w:style>
  <w:style w:type="paragraph" w:customStyle="1" w:styleId="P1">
    <w:name w:val="P1"/>
    <w:aliases w:val="(a)"/>
    <w:basedOn w:val="Normal"/>
    <w:rsid w:val="00801F5B"/>
    <w:pPr>
      <w:keepLines/>
      <w:tabs>
        <w:tab w:val="right" w:pos="1191"/>
      </w:tabs>
      <w:spacing w:before="60" w:line="260" w:lineRule="exact"/>
      <w:ind w:left="1418" w:hanging="1418"/>
      <w:jc w:val="both"/>
    </w:pPr>
    <w:rPr>
      <w:szCs w:val="24"/>
    </w:rPr>
  </w:style>
  <w:style w:type="paragraph" w:customStyle="1" w:styleId="Zdefinition">
    <w:name w:val="Zdefinition"/>
    <w:basedOn w:val="Normal"/>
    <w:rsid w:val="00801F5B"/>
    <w:pPr>
      <w:keepNext/>
      <w:spacing w:before="80" w:line="260" w:lineRule="exact"/>
      <w:ind w:left="964"/>
      <w:jc w:val="both"/>
    </w:pPr>
    <w:rPr>
      <w:szCs w:val="24"/>
    </w:rPr>
  </w:style>
  <w:style w:type="character" w:styleId="CommentReference">
    <w:name w:val="annotation reference"/>
    <w:semiHidden/>
    <w:rsid w:val="009C54BA"/>
    <w:rPr>
      <w:sz w:val="16"/>
      <w:szCs w:val="16"/>
    </w:rPr>
  </w:style>
  <w:style w:type="paragraph" w:styleId="CommentText">
    <w:name w:val="annotation text"/>
    <w:basedOn w:val="Normal"/>
    <w:semiHidden/>
    <w:rsid w:val="009C54BA"/>
    <w:rPr>
      <w:sz w:val="20"/>
    </w:rPr>
  </w:style>
  <w:style w:type="paragraph" w:styleId="CommentSubject">
    <w:name w:val="annotation subject"/>
    <w:basedOn w:val="CommentText"/>
    <w:next w:val="CommentText"/>
    <w:semiHidden/>
    <w:rsid w:val="009C54BA"/>
    <w:rPr>
      <w:b/>
      <w:bCs/>
    </w:rPr>
  </w:style>
  <w:style w:type="paragraph" w:styleId="BalloonText">
    <w:name w:val="Balloon Text"/>
    <w:basedOn w:val="Normal"/>
    <w:semiHidden/>
    <w:rsid w:val="009C54BA"/>
    <w:rPr>
      <w:rFonts w:ascii="Tahoma" w:hAnsi="Tahoma" w:cs="Tahoma"/>
      <w:sz w:val="16"/>
      <w:szCs w:val="16"/>
    </w:rPr>
  </w:style>
  <w:style w:type="paragraph" w:customStyle="1" w:styleId="Default">
    <w:name w:val="Default"/>
    <w:rsid w:val="00816290"/>
    <w:pPr>
      <w:autoSpaceDE w:val="0"/>
      <w:autoSpaceDN w:val="0"/>
      <w:adjustRightInd w:val="0"/>
    </w:pPr>
    <w:rPr>
      <w:rFonts w:ascii="Frutiger 45 Light" w:hAnsi="Frutiger 45 Light" w:cs="Frutiger 45 Light"/>
      <w:color w:val="000000"/>
      <w:sz w:val="24"/>
      <w:szCs w:val="24"/>
    </w:rPr>
  </w:style>
  <w:style w:type="character" w:customStyle="1" w:styleId="FooterChar">
    <w:name w:val="Footer Char"/>
    <w:link w:val="Footer"/>
    <w:rsid w:val="00A00B31"/>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3141"/>
    <w:rPr>
      <w:sz w:val="24"/>
      <w:lang w:eastAsia="en-US"/>
    </w:rPr>
  </w:style>
  <w:style w:type="paragraph" w:styleId="Heading1">
    <w:name w:val="heading 1"/>
    <w:aliases w:val="h1,c"/>
    <w:basedOn w:val="Normal"/>
    <w:next w:val="Normal"/>
    <w:qFormat/>
    <w:rsid w:val="006B3A2D"/>
    <w:pPr>
      <w:keepNext/>
      <w:tabs>
        <w:tab w:val="left" w:pos="-1440"/>
        <w:tab w:val="left" w:pos="-720"/>
        <w:tab w:val="left" w:pos="0"/>
        <w:tab w:val="left" w:pos="720"/>
        <w:tab w:val="left" w:pos="1440"/>
        <w:tab w:val="left" w:pos="1728"/>
        <w:tab w:val="left" w:pos="2160"/>
        <w:tab w:val="left" w:pos="2448"/>
        <w:tab w:val="left" w:pos="2880"/>
        <w:tab w:val="left" w:pos="3600"/>
        <w:tab w:val="left" w:pos="4320"/>
        <w:tab w:val="left" w:pos="5040"/>
        <w:tab w:val="left" w:pos="5760"/>
        <w:tab w:val="left" w:pos="6480"/>
        <w:tab w:val="left" w:pos="7200"/>
        <w:tab w:val="left" w:pos="7920"/>
      </w:tabs>
      <w:suppressAutoHyphens/>
      <w:spacing w:line="480" w:lineRule="auto"/>
      <w:outlineLvl w:val="0"/>
    </w:pPr>
    <w:rPr>
      <w:b/>
      <w:spacing w:val="-3"/>
    </w:rPr>
  </w:style>
  <w:style w:type="paragraph" w:styleId="Heading2">
    <w:name w:val="heading 2"/>
    <w:aliases w:val="p,h2"/>
    <w:basedOn w:val="Normal"/>
    <w:next w:val="Normal"/>
    <w:qFormat/>
    <w:rsid w:val="006B3A2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b/>
    </w:rPr>
  </w:style>
  <w:style w:type="paragraph" w:styleId="Heading3">
    <w:name w:val="heading 3"/>
    <w:basedOn w:val="Normal"/>
    <w:next w:val="Normal"/>
    <w:qFormat/>
    <w:rsid w:val="006B3A2D"/>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A2D"/>
    <w:pPr>
      <w:tabs>
        <w:tab w:val="left" w:pos="720"/>
        <w:tab w:val="left" w:pos="1440"/>
        <w:tab w:val="left" w:pos="2160"/>
        <w:tab w:val="left" w:pos="2880"/>
        <w:tab w:val="left" w:pos="3600"/>
        <w:tab w:val="center" w:pos="4320"/>
        <w:tab w:val="left" w:pos="5040"/>
        <w:tab w:val="left" w:pos="5760"/>
        <w:tab w:val="left" w:pos="6480"/>
        <w:tab w:val="left" w:pos="7200"/>
        <w:tab w:val="left" w:pos="7920"/>
        <w:tab w:val="right" w:pos="8640"/>
      </w:tabs>
      <w:jc w:val="both"/>
    </w:pPr>
  </w:style>
  <w:style w:type="paragraph" w:styleId="EndnoteText">
    <w:name w:val="endnote text"/>
    <w:basedOn w:val="Normal"/>
    <w:semiHidden/>
    <w:rsid w:val="006B3A2D"/>
    <w:pPr>
      <w:suppressAutoHyphens/>
    </w:pPr>
  </w:style>
  <w:style w:type="paragraph" w:styleId="Footer">
    <w:name w:val="footer"/>
    <w:basedOn w:val="Normal"/>
    <w:link w:val="FooterChar"/>
    <w:rsid w:val="006B3A2D"/>
    <w:pPr>
      <w:tabs>
        <w:tab w:val="center" w:pos="4320"/>
        <w:tab w:val="right" w:pos="8640"/>
      </w:tabs>
    </w:pPr>
  </w:style>
  <w:style w:type="character" w:styleId="PageNumber">
    <w:name w:val="page number"/>
    <w:basedOn w:val="DefaultParagraphFont"/>
    <w:rsid w:val="006B3A2D"/>
  </w:style>
  <w:style w:type="paragraph" w:customStyle="1" w:styleId="Char">
    <w:name w:val="Char"/>
    <w:basedOn w:val="Normal"/>
    <w:rsid w:val="00AF1FA2"/>
    <w:pPr>
      <w:spacing w:after="160" w:line="240" w:lineRule="exact"/>
    </w:pPr>
    <w:rPr>
      <w:sz w:val="20"/>
      <w:lang w:val="en-US"/>
    </w:rPr>
  </w:style>
  <w:style w:type="paragraph" w:customStyle="1" w:styleId="P1">
    <w:name w:val="P1"/>
    <w:aliases w:val="(a)"/>
    <w:basedOn w:val="Normal"/>
    <w:rsid w:val="00801F5B"/>
    <w:pPr>
      <w:keepLines/>
      <w:tabs>
        <w:tab w:val="right" w:pos="1191"/>
      </w:tabs>
      <w:spacing w:before="60" w:line="260" w:lineRule="exact"/>
      <w:ind w:left="1418" w:hanging="1418"/>
      <w:jc w:val="both"/>
    </w:pPr>
    <w:rPr>
      <w:szCs w:val="24"/>
    </w:rPr>
  </w:style>
  <w:style w:type="paragraph" w:customStyle="1" w:styleId="Zdefinition">
    <w:name w:val="Zdefinition"/>
    <w:basedOn w:val="Normal"/>
    <w:rsid w:val="00801F5B"/>
    <w:pPr>
      <w:keepNext/>
      <w:spacing w:before="80" w:line="260" w:lineRule="exact"/>
      <w:ind w:left="964"/>
      <w:jc w:val="both"/>
    </w:pPr>
    <w:rPr>
      <w:szCs w:val="24"/>
    </w:rPr>
  </w:style>
  <w:style w:type="character" w:styleId="CommentReference">
    <w:name w:val="annotation reference"/>
    <w:semiHidden/>
    <w:rsid w:val="009C54BA"/>
    <w:rPr>
      <w:sz w:val="16"/>
      <w:szCs w:val="16"/>
    </w:rPr>
  </w:style>
  <w:style w:type="paragraph" w:styleId="CommentText">
    <w:name w:val="annotation text"/>
    <w:basedOn w:val="Normal"/>
    <w:semiHidden/>
    <w:rsid w:val="009C54BA"/>
    <w:rPr>
      <w:sz w:val="20"/>
    </w:rPr>
  </w:style>
  <w:style w:type="paragraph" w:styleId="CommentSubject">
    <w:name w:val="annotation subject"/>
    <w:basedOn w:val="CommentText"/>
    <w:next w:val="CommentText"/>
    <w:semiHidden/>
    <w:rsid w:val="009C54BA"/>
    <w:rPr>
      <w:b/>
      <w:bCs/>
    </w:rPr>
  </w:style>
  <w:style w:type="paragraph" w:styleId="BalloonText">
    <w:name w:val="Balloon Text"/>
    <w:basedOn w:val="Normal"/>
    <w:semiHidden/>
    <w:rsid w:val="009C54BA"/>
    <w:rPr>
      <w:rFonts w:ascii="Tahoma" w:hAnsi="Tahoma" w:cs="Tahoma"/>
      <w:sz w:val="16"/>
      <w:szCs w:val="16"/>
    </w:rPr>
  </w:style>
  <w:style w:type="paragraph" w:customStyle="1" w:styleId="Default">
    <w:name w:val="Default"/>
    <w:rsid w:val="00816290"/>
    <w:pPr>
      <w:autoSpaceDE w:val="0"/>
      <w:autoSpaceDN w:val="0"/>
      <w:adjustRightInd w:val="0"/>
    </w:pPr>
    <w:rPr>
      <w:rFonts w:ascii="Frutiger 45 Light" w:hAnsi="Frutiger 45 Light" w:cs="Frutiger 45 Light"/>
      <w:color w:val="000000"/>
      <w:sz w:val="24"/>
      <w:szCs w:val="24"/>
    </w:rPr>
  </w:style>
  <w:style w:type="character" w:customStyle="1" w:styleId="FooterChar">
    <w:name w:val="Footer Char"/>
    <w:link w:val="Footer"/>
    <w:rsid w:val="00A00B3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669">
      <w:bodyDiv w:val="1"/>
      <w:marLeft w:val="0"/>
      <w:marRight w:val="0"/>
      <w:marTop w:val="0"/>
      <w:marBottom w:val="0"/>
      <w:divBdr>
        <w:top w:val="none" w:sz="0" w:space="0" w:color="auto"/>
        <w:left w:val="none" w:sz="0" w:space="0" w:color="auto"/>
        <w:bottom w:val="none" w:sz="0" w:space="0" w:color="auto"/>
        <w:right w:val="none" w:sz="0" w:space="0" w:color="auto"/>
      </w:divBdr>
    </w:div>
    <w:div w:id="969288886">
      <w:bodyDiv w:val="1"/>
      <w:marLeft w:val="0"/>
      <w:marRight w:val="0"/>
      <w:marTop w:val="0"/>
      <w:marBottom w:val="0"/>
      <w:divBdr>
        <w:top w:val="none" w:sz="0" w:space="0" w:color="auto"/>
        <w:left w:val="none" w:sz="0" w:space="0" w:color="auto"/>
        <w:bottom w:val="none" w:sz="0" w:space="0" w:color="auto"/>
        <w:right w:val="none" w:sz="0" w:space="0" w:color="auto"/>
      </w:divBdr>
    </w:div>
    <w:div w:id="20851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640C-9D62-4334-8AD3-691DAE39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2863</Words>
  <Characters>16323</Characters>
  <Application>Microsoft Office Word</Application>
  <DocSecurity>2</DocSecurity>
  <Lines>136</Lines>
  <Paragraphs>38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2013-04-30T04:42:00Z</cp:lastPrinted>
  <dcterms:created xsi:type="dcterms:W3CDTF">2013-11-20T04:49:00Z</dcterms:created>
  <dcterms:modified xsi:type="dcterms:W3CDTF">2013-11-20T04:49:00Z</dcterms:modified>
</cp:coreProperties>
</file>