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4A" w:rsidRPr="00493E2F" w:rsidRDefault="00670B4A" w:rsidP="000839BF">
      <w:pPr>
        <w:keepNext/>
        <w:keepLines/>
        <w:tabs>
          <w:tab w:val="left" w:pos="8364"/>
        </w:tabs>
        <w:spacing w:before="0"/>
        <w:ind w:right="663"/>
        <w:jc w:val="center"/>
      </w:pPr>
      <w:r w:rsidRPr="00493E2F">
        <w:rPr>
          <w:b/>
          <w:u w:val="single"/>
        </w:rPr>
        <w:t xml:space="preserve">EXPLANATORY </w:t>
      </w:r>
      <w:r w:rsidR="007000C1" w:rsidRPr="00493E2F">
        <w:rPr>
          <w:b/>
          <w:u w:val="single"/>
        </w:rPr>
        <w:t>STATEMENT</w:t>
      </w:r>
    </w:p>
    <w:p w:rsidR="00670B4A" w:rsidRPr="00493E2F" w:rsidRDefault="00670B4A" w:rsidP="000839BF">
      <w:pPr>
        <w:keepNext/>
        <w:keepLines/>
        <w:tabs>
          <w:tab w:val="left" w:pos="8364"/>
        </w:tabs>
        <w:spacing w:before="0"/>
        <w:ind w:right="663"/>
        <w:jc w:val="center"/>
      </w:pPr>
    </w:p>
    <w:p w:rsidR="007000C1" w:rsidRPr="006421A6" w:rsidRDefault="007000C1" w:rsidP="000839BF">
      <w:pPr>
        <w:pStyle w:val="Heading6"/>
        <w:keepLines/>
        <w:tabs>
          <w:tab w:val="left" w:pos="8364"/>
        </w:tabs>
        <w:spacing w:before="0"/>
        <w:ind w:right="663"/>
        <w:jc w:val="center"/>
        <w:rPr>
          <w:b/>
        </w:rPr>
      </w:pPr>
      <w:r w:rsidRPr="006421A6">
        <w:rPr>
          <w:b/>
        </w:rPr>
        <w:t>Select Legislative Instrument</w:t>
      </w:r>
      <w:r w:rsidR="006421A6">
        <w:rPr>
          <w:b/>
        </w:rPr>
        <w:t xml:space="preserve"> No. 252, 2013</w:t>
      </w:r>
    </w:p>
    <w:p w:rsidR="007000C1" w:rsidRPr="00493E2F" w:rsidRDefault="007000C1" w:rsidP="000839BF">
      <w:pPr>
        <w:pStyle w:val="Heading6"/>
        <w:keepLines/>
        <w:tabs>
          <w:tab w:val="left" w:pos="8364"/>
        </w:tabs>
        <w:spacing w:before="0"/>
        <w:ind w:right="663"/>
        <w:jc w:val="center"/>
        <w:rPr>
          <w:u w:val="none"/>
        </w:rPr>
      </w:pPr>
    </w:p>
    <w:p w:rsidR="00670B4A" w:rsidRPr="00493E2F" w:rsidRDefault="007000C1" w:rsidP="000839BF">
      <w:pPr>
        <w:pStyle w:val="Heading6"/>
        <w:keepLines/>
        <w:tabs>
          <w:tab w:val="left" w:pos="8364"/>
        </w:tabs>
        <w:spacing w:before="0"/>
        <w:ind w:right="663"/>
        <w:jc w:val="center"/>
      </w:pPr>
      <w:r w:rsidRPr="00493E2F">
        <w:t xml:space="preserve">Issued by the </w:t>
      </w:r>
      <w:r w:rsidR="00670B4A" w:rsidRPr="00493E2F">
        <w:t>Minister for Immigration</w:t>
      </w:r>
      <w:r w:rsidR="00675DD4">
        <w:t xml:space="preserve"> and Border Protection</w:t>
      </w:r>
    </w:p>
    <w:p w:rsidR="00670B4A" w:rsidRPr="00493E2F" w:rsidRDefault="00670B4A" w:rsidP="000839BF">
      <w:pPr>
        <w:keepNext/>
        <w:keepLines/>
        <w:tabs>
          <w:tab w:val="left" w:pos="8364"/>
        </w:tabs>
        <w:spacing w:before="0"/>
        <w:ind w:right="663"/>
      </w:pPr>
    </w:p>
    <w:p w:rsidR="00670B4A" w:rsidRPr="00493E2F" w:rsidRDefault="001D3FCB" w:rsidP="000839BF">
      <w:pPr>
        <w:keepNext/>
        <w:keepLines/>
        <w:tabs>
          <w:tab w:val="left" w:pos="8364"/>
        </w:tabs>
        <w:spacing w:before="0"/>
        <w:ind w:right="663"/>
        <w:jc w:val="center"/>
        <w:rPr>
          <w:i/>
        </w:rPr>
      </w:pPr>
      <w:r w:rsidRPr="00493E2F">
        <w:rPr>
          <w:i/>
        </w:rPr>
        <w:t>Migration Act </w:t>
      </w:r>
      <w:r w:rsidR="00670B4A" w:rsidRPr="00493E2F">
        <w:rPr>
          <w:i/>
        </w:rPr>
        <w:t>1958</w:t>
      </w:r>
    </w:p>
    <w:p w:rsidR="0040555B" w:rsidRPr="00493E2F" w:rsidRDefault="0040555B" w:rsidP="00767B74">
      <w:pPr>
        <w:keepNext/>
        <w:keepLines/>
        <w:tabs>
          <w:tab w:val="left" w:pos="8364"/>
        </w:tabs>
        <w:spacing w:before="0"/>
        <w:ind w:right="663"/>
        <w:rPr>
          <w:i/>
        </w:rPr>
      </w:pPr>
    </w:p>
    <w:p w:rsidR="00670B4A" w:rsidRPr="00493E2F" w:rsidRDefault="00670B4A" w:rsidP="000839BF">
      <w:pPr>
        <w:keepNext/>
        <w:keepLines/>
        <w:tabs>
          <w:tab w:val="left" w:pos="8364"/>
        </w:tabs>
        <w:spacing w:before="0"/>
        <w:ind w:right="663"/>
        <w:jc w:val="center"/>
        <w:rPr>
          <w:i/>
        </w:rPr>
      </w:pPr>
      <w:r w:rsidRPr="00493E2F">
        <w:rPr>
          <w:i/>
        </w:rPr>
        <w:t xml:space="preserve">Migration </w:t>
      </w:r>
      <w:r w:rsidR="001D3FCB" w:rsidRPr="00493E2F">
        <w:rPr>
          <w:i/>
        </w:rPr>
        <w:t xml:space="preserve">Amendment </w:t>
      </w:r>
      <w:r w:rsidR="00265BE7" w:rsidRPr="00493E2F">
        <w:rPr>
          <w:i/>
        </w:rPr>
        <w:t>(</w:t>
      </w:r>
      <w:r w:rsidR="00E8464E">
        <w:rPr>
          <w:i/>
        </w:rPr>
        <w:t>Internet Applications and Related</w:t>
      </w:r>
      <w:r w:rsidR="00265BE7" w:rsidRPr="00493E2F">
        <w:rPr>
          <w:i/>
        </w:rPr>
        <w:t xml:space="preserve"> Matters) </w:t>
      </w:r>
      <w:r w:rsidR="001D3FCB" w:rsidRPr="00493E2F">
        <w:rPr>
          <w:i/>
        </w:rPr>
        <w:t>Regulation </w:t>
      </w:r>
      <w:r w:rsidRPr="00493E2F">
        <w:rPr>
          <w:i/>
        </w:rPr>
        <w:t>20</w:t>
      </w:r>
      <w:r w:rsidR="001D3FCB" w:rsidRPr="00493E2F">
        <w:rPr>
          <w:i/>
        </w:rPr>
        <w:t>13</w:t>
      </w:r>
    </w:p>
    <w:p w:rsidR="00670B4A" w:rsidRPr="00493E2F" w:rsidRDefault="00670B4A" w:rsidP="000839BF">
      <w:pPr>
        <w:keepNext/>
        <w:keepLines/>
        <w:tabs>
          <w:tab w:val="left" w:pos="8364"/>
        </w:tabs>
        <w:spacing w:before="0"/>
        <w:ind w:right="663"/>
      </w:pPr>
    </w:p>
    <w:p w:rsidR="00670B4A" w:rsidRPr="00493E2F" w:rsidRDefault="001D3FCB" w:rsidP="000839BF">
      <w:pPr>
        <w:pStyle w:val="EMparagraph"/>
        <w:keepNext/>
        <w:keepLines/>
        <w:tabs>
          <w:tab w:val="left" w:pos="8364"/>
        </w:tabs>
        <w:spacing w:after="0"/>
        <w:ind w:right="663"/>
        <w:jc w:val="both"/>
      </w:pPr>
      <w:r w:rsidRPr="00493E2F">
        <w:t>Subsection </w:t>
      </w:r>
      <w:r w:rsidR="00670B4A" w:rsidRPr="00493E2F">
        <w:t xml:space="preserve">504(1) of the </w:t>
      </w:r>
      <w:r w:rsidRPr="00493E2F">
        <w:rPr>
          <w:i/>
        </w:rPr>
        <w:t>Migration Act </w:t>
      </w:r>
      <w:r w:rsidR="00670B4A" w:rsidRPr="00493E2F">
        <w:rPr>
          <w:i/>
        </w:rPr>
        <w:t>1958</w:t>
      </w:r>
      <w:r w:rsidR="00670B4A" w:rsidRPr="00493E2F">
        <w:t xml:space="preserve"> (</w:t>
      </w:r>
      <w:r w:rsidRPr="00493E2F">
        <w:t>‘</w:t>
      </w:r>
      <w:r w:rsidR="00670B4A" w:rsidRPr="00493E2F">
        <w:t>the Act</w:t>
      </w:r>
      <w:r w:rsidRPr="00493E2F">
        <w:t>’</w:t>
      </w:r>
      <w:r w:rsidR="00670B4A" w:rsidRPr="00493E2F">
        <w:t>) provi</w:t>
      </w:r>
      <w:r w:rsidRPr="00493E2F">
        <w:t xml:space="preserve">des, in part, that the </w:t>
      </w:r>
      <w:r w:rsidR="00670B4A" w:rsidRPr="00493E2F">
        <w:t>Governor-General may make regulations, not inconsistent</w:t>
      </w:r>
      <w:bookmarkStart w:id="0" w:name="_GoBack"/>
      <w:bookmarkEnd w:id="0"/>
      <w:r w:rsidR="00670B4A" w:rsidRPr="00493E2F">
        <w:t xml:space="preserve"> with the Act, prescribing all matters which by the Act are required or permitted to be prescribed, or which are necessary or convenient to be prescribed for carrying out or giving effect to the Act.</w:t>
      </w:r>
    </w:p>
    <w:p w:rsidR="00DD3616" w:rsidRPr="00493E2F" w:rsidRDefault="00DD3616" w:rsidP="00E6422E">
      <w:pPr>
        <w:pStyle w:val="EMparagraph"/>
        <w:tabs>
          <w:tab w:val="left" w:pos="8364"/>
        </w:tabs>
        <w:spacing w:after="0"/>
        <w:ind w:right="662"/>
        <w:jc w:val="both"/>
      </w:pPr>
    </w:p>
    <w:p w:rsidR="00226589" w:rsidRPr="00493E2F" w:rsidRDefault="00670B4A" w:rsidP="00E6422E">
      <w:pPr>
        <w:pStyle w:val="EMparagraph"/>
        <w:tabs>
          <w:tab w:val="left" w:pos="8364"/>
        </w:tabs>
        <w:spacing w:after="0"/>
        <w:ind w:right="662"/>
        <w:jc w:val="both"/>
      </w:pPr>
      <w:r w:rsidRPr="00493E2F">
        <w:t>In addition</w:t>
      </w:r>
      <w:r w:rsidR="00830CBC" w:rsidRPr="00493E2F">
        <w:t>,</w:t>
      </w:r>
      <w:r w:rsidRPr="00493E2F">
        <w:t xml:space="preserve"> </w:t>
      </w:r>
      <w:r w:rsidR="00830CBC" w:rsidRPr="00493E2F">
        <w:t xml:space="preserve">regulations may be made pursuant to the provisions </w:t>
      </w:r>
      <w:r w:rsidR="007D0A0D" w:rsidRPr="00493E2F">
        <w:t xml:space="preserve">of the Act in </w:t>
      </w:r>
      <w:r w:rsidR="001D3FCB" w:rsidRPr="00493E2F">
        <w:rPr>
          <w:u w:val="single"/>
        </w:rPr>
        <w:t>Attachment </w:t>
      </w:r>
      <w:r w:rsidR="00830CBC" w:rsidRPr="00493E2F">
        <w:rPr>
          <w:u w:val="single"/>
        </w:rPr>
        <w:t>A</w:t>
      </w:r>
      <w:r w:rsidR="007D0A0D" w:rsidRPr="00493E2F">
        <w:t>.</w:t>
      </w:r>
    </w:p>
    <w:p w:rsidR="001D3FCB" w:rsidRPr="00493E2F" w:rsidRDefault="001D3FCB" w:rsidP="00E6422E">
      <w:pPr>
        <w:pStyle w:val="EMparagraph"/>
        <w:tabs>
          <w:tab w:val="left" w:pos="8364"/>
        </w:tabs>
        <w:spacing w:after="0"/>
        <w:ind w:right="662"/>
        <w:jc w:val="both"/>
      </w:pPr>
    </w:p>
    <w:p w:rsidR="006F3E38" w:rsidRDefault="00767B74" w:rsidP="00767B74">
      <w:pPr>
        <w:pStyle w:val="DINumberedParagraph"/>
        <w:numPr>
          <w:ilvl w:val="0"/>
          <w:numId w:val="0"/>
        </w:numPr>
        <w:tabs>
          <w:tab w:val="left" w:pos="284"/>
        </w:tabs>
        <w:spacing w:after="0"/>
        <w:rPr>
          <w:szCs w:val="24"/>
        </w:rPr>
      </w:pPr>
      <w:r w:rsidRPr="009E2146">
        <w:t xml:space="preserve">The purpose of the Regulation is to amend the </w:t>
      </w:r>
      <w:r w:rsidRPr="009E2146">
        <w:rPr>
          <w:i/>
        </w:rPr>
        <w:t>Migration</w:t>
      </w:r>
      <w:r w:rsidRPr="009E2146">
        <w:t xml:space="preserve"> </w:t>
      </w:r>
      <w:r w:rsidRPr="009E2146">
        <w:rPr>
          <w:i/>
        </w:rPr>
        <w:t>Regulations 1994</w:t>
      </w:r>
      <w:r w:rsidRPr="009E2146">
        <w:t xml:space="preserve"> (‘the </w:t>
      </w:r>
      <w:r w:rsidR="0071166E">
        <w:t xml:space="preserve">Principal </w:t>
      </w:r>
      <w:r w:rsidRPr="009E2146">
        <w:t>Regulations’) to</w:t>
      </w:r>
      <w:r w:rsidRPr="009E2146">
        <w:rPr>
          <w:rFonts w:ascii="Arial" w:hAnsi="Arial" w:cs="Arial"/>
          <w:color w:val="1F497D"/>
          <w:sz w:val="18"/>
          <w:szCs w:val="18"/>
        </w:rPr>
        <w:t xml:space="preserve"> </w:t>
      </w:r>
      <w:r w:rsidRPr="00444697">
        <w:rPr>
          <w:szCs w:val="24"/>
        </w:rPr>
        <w:t xml:space="preserve">allow clients to use Internet application forms to apply for the following visas: Partner (Migrant) (Class BC), Partner (Provisional) (Class UF), Partner (Residence) (Class BS), Partner (Temporary) (Class UK), and Prospective Marriage (Temporary) </w:t>
      </w:r>
    </w:p>
    <w:p w:rsidR="00767B74" w:rsidRDefault="00767B74" w:rsidP="00767B74">
      <w:pPr>
        <w:pStyle w:val="DINumberedParagraph"/>
        <w:numPr>
          <w:ilvl w:val="0"/>
          <w:numId w:val="0"/>
        </w:numPr>
        <w:tabs>
          <w:tab w:val="left" w:pos="284"/>
        </w:tabs>
        <w:spacing w:after="0"/>
        <w:rPr>
          <w:szCs w:val="24"/>
        </w:rPr>
      </w:pPr>
      <w:r w:rsidRPr="00444697">
        <w:rPr>
          <w:szCs w:val="24"/>
        </w:rPr>
        <w:t xml:space="preserve">(Class TO). The Regulation </w:t>
      </w:r>
      <w:r w:rsidR="00D92497">
        <w:rPr>
          <w:szCs w:val="24"/>
        </w:rPr>
        <w:t>clarifies</w:t>
      </w:r>
      <w:r>
        <w:rPr>
          <w:szCs w:val="24"/>
        </w:rPr>
        <w:t xml:space="preserve"> the </w:t>
      </w:r>
      <w:r w:rsidR="0071166E">
        <w:rPr>
          <w:szCs w:val="24"/>
        </w:rPr>
        <w:t>circumstances in which</w:t>
      </w:r>
      <w:r>
        <w:rPr>
          <w:szCs w:val="24"/>
        </w:rPr>
        <w:t xml:space="preserve"> the non-Internet application charge</w:t>
      </w:r>
      <w:r w:rsidR="00D92497">
        <w:rPr>
          <w:szCs w:val="24"/>
        </w:rPr>
        <w:t xml:space="preserve">, particularly is payable. The Regulation also </w:t>
      </w:r>
      <w:r>
        <w:rPr>
          <w:szCs w:val="24"/>
        </w:rPr>
        <w:t>amend</w:t>
      </w:r>
      <w:r w:rsidR="00D92497">
        <w:rPr>
          <w:szCs w:val="24"/>
        </w:rPr>
        <w:t>s</w:t>
      </w:r>
      <w:r>
        <w:rPr>
          <w:szCs w:val="24"/>
        </w:rPr>
        <w:t xml:space="preserve"> the</w:t>
      </w:r>
      <w:r w:rsidR="0071166E">
        <w:rPr>
          <w:szCs w:val="24"/>
        </w:rPr>
        <w:t xml:space="preserve"> Principal</w:t>
      </w:r>
      <w:r>
        <w:rPr>
          <w:szCs w:val="24"/>
        </w:rPr>
        <w:t xml:space="preserve"> Regulations to correct a number of minor typographical errors that were made in the </w:t>
      </w:r>
      <w:r>
        <w:rPr>
          <w:i/>
          <w:szCs w:val="24"/>
        </w:rPr>
        <w:t>Migration Amendment (Visa Application Charge and Related Matters) Regulation 2013</w:t>
      </w:r>
      <w:r>
        <w:rPr>
          <w:szCs w:val="24"/>
        </w:rPr>
        <w:t>.</w:t>
      </w:r>
    </w:p>
    <w:p w:rsidR="00670B4A" w:rsidRPr="00493E2F" w:rsidRDefault="00767B74" w:rsidP="00767B74">
      <w:pPr>
        <w:tabs>
          <w:tab w:val="left" w:pos="2730"/>
        </w:tabs>
        <w:spacing w:before="0"/>
        <w:ind w:right="662"/>
        <w:jc w:val="both"/>
      </w:pPr>
      <w:r>
        <w:tab/>
      </w:r>
    </w:p>
    <w:p w:rsidR="007000C1" w:rsidRPr="00493E2F" w:rsidRDefault="007000C1" w:rsidP="0071166E">
      <w:pPr>
        <w:tabs>
          <w:tab w:val="left" w:pos="8364"/>
        </w:tabs>
        <w:spacing w:before="0"/>
        <w:ind w:right="662"/>
      </w:pPr>
      <w:r w:rsidRPr="00493E2F">
        <w:t>A Statement of Compatibility with Human Rights (‘</w:t>
      </w:r>
      <w:r w:rsidR="0071166E">
        <w:t xml:space="preserve">the Statement’) has been </w:t>
      </w:r>
      <w:r w:rsidRPr="00493E2F">
        <w:t xml:space="preserve">completed for the Regulation, in accordance with the </w:t>
      </w:r>
      <w:r w:rsidRPr="00493E2F">
        <w:rPr>
          <w:i/>
        </w:rPr>
        <w:t>Human Rights (Parliamentary Scrutiny) Act 2011</w:t>
      </w:r>
      <w:r w:rsidRPr="00493E2F">
        <w:t xml:space="preserve">.  The Statement’s overall assessment is that the Regulation </w:t>
      </w:r>
      <w:r w:rsidR="00582795" w:rsidRPr="00493E2F">
        <w:t>amendments are</w:t>
      </w:r>
      <w:r w:rsidRPr="00493E2F">
        <w:t xml:space="preserve"> compatible with human rights </w:t>
      </w:r>
      <w:r w:rsidR="00582795" w:rsidRPr="00493E2F">
        <w:t>they do not raise any human rights issues</w:t>
      </w:r>
      <w:r w:rsidRPr="00493E2F">
        <w:t xml:space="preserve">.  A copy of the Statement is at </w:t>
      </w:r>
      <w:r w:rsidRPr="00493E2F">
        <w:rPr>
          <w:u w:val="single"/>
        </w:rPr>
        <w:t>Attachment B</w:t>
      </w:r>
      <w:r w:rsidRPr="00493E2F">
        <w:t>.</w:t>
      </w:r>
    </w:p>
    <w:p w:rsidR="007000C1" w:rsidRPr="00493E2F" w:rsidRDefault="007000C1" w:rsidP="00E6422E">
      <w:pPr>
        <w:tabs>
          <w:tab w:val="left" w:pos="8364"/>
        </w:tabs>
        <w:spacing w:before="0"/>
        <w:ind w:right="662"/>
        <w:jc w:val="both"/>
      </w:pPr>
    </w:p>
    <w:p w:rsidR="00670B4A" w:rsidRPr="00493E2F" w:rsidRDefault="005B3A21" w:rsidP="00E6422E">
      <w:pPr>
        <w:tabs>
          <w:tab w:val="left" w:pos="6521"/>
          <w:tab w:val="left" w:pos="8364"/>
        </w:tabs>
        <w:spacing w:before="0"/>
        <w:ind w:right="662"/>
        <w:jc w:val="both"/>
      </w:pPr>
      <w:r w:rsidRPr="00493E2F">
        <w:t>D</w:t>
      </w:r>
      <w:r w:rsidR="00670B4A" w:rsidRPr="00493E2F">
        <w:t>et</w:t>
      </w:r>
      <w:r w:rsidR="00DD3616" w:rsidRPr="00493E2F">
        <w:t>ails of the Regulation</w:t>
      </w:r>
      <w:r w:rsidR="00670B4A" w:rsidRPr="00493E2F">
        <w:t xml:space="preserve"> are set out in </w:t>
      </w:r>
      <w:r w:rsidR="00670B4A" w:rsidRPr="00493E2F">
        <w:rPr>
          <w:u w:val="single"/>
        </w:rPr>
        <w:t>Attachment</w:t>
      </w:r>
      <w:r w:rsidR="00DD3616" w:rsidRPr="00493E2F">
        <w:rPr>
          <w:u w:val="single"/>
        </w:rPr>
        <w:t> </w:t>
      </w:r>
      <w:r w:rsidR="007000C1" w:rsidRPr="00493E2F">
        <w:rPr>
          <w:u w:val="single"/>
        </w:rPr>
        <w:t>C</w:t>
      </w:r>
      <w:r w:rsidR="00670B4A" w:rsidRPr="00493E2F">
        <w:t>.</w:t>
      </w:r>
    </w:p>
    <w:p w:rsidR="00670B4A" w:rsidRPr="00493E2F" w:rsidRDefault="00670B4A" w:rsidP="00E6422E">
      <w:pPr>
        <w:tabs>
          <w:tab w:val="left" w:pos="6521"/>
          <w:tab w:val="left" w:pos="8364"/>
        </w:tabs>
        <w:spacing w:before="0"/>
        <w:ind w:right="662"/>
        <w:jc w:val="both"/>
      </w:pPr>
    </w:p>
    <w:p w:rsidR="00767B74" w:rsidRPr="008D3A2D" w:rsidRDefault="00767B74" w:rsidP="00767B74">
      <w:pPr>
        <w:spacing w:before="0"/>
        <w:ind w:right="91"/>
      </w:pPr>
      <w:r w:rsidRPr="008D3A2D">
        <w:t>The Office of Best Practice Regulation (‘OBPR’) has been consulted in relation to amendments made by the Regulation.</w:t>
      </w:r>
    </w:p>
    <w:p w:rsidR="00767B74" w:rsidRPr="008D3A2D" w:rsidRDefault="00767B74" w:rsidP="00767B74">
      <w:pPr>
        <w:tabs>
          <w:tab w:val="left" w:pos="6521"/>
        </w:tabs>
        <w:spacing w:before="0"/>
        <w:ind w:right="91"/>
      </w:pPr>
    </w:p>
    <w:p w:rsidR="00767B74" w:rsidRPr="008D3A2D" w:rsidRDefault="00767B74" w:rsidP="00767B74">
      <w:pPr>
        <w:spacing w:before="0"/>
        <w:ind w:right="91"/>
      </w:pPr>
      <w:r w:rsidRPr="008D3A2D">
        <w:t>OBPR considers that the changes</w:t>
      </w:r>
      <w:r>
        <w:t xml:space="preserve"> in the Regulation</w:t>
      </w:r>
      <w:r w:rsidRPr="008D3A2D">
        <w:t xml:space="preserve"> have a minor impact on business or the not-for-profit sector and no further analysis (in form of a Regulation Impact Statement</w:t>
      </w:r>
      <w:r>
        <w:t>)</w:t>
      </w:r>
      <w:r w:rsidRPr="008D3A2D">
        <w:t xml:space="preserve"> is required.  The OBPR consultation reference is 14523.</w:t>
      </w:r>
    </w:p>
    <w:p w:rsidR="0061613E" w:rsidRPr="00493E2F" w:rsidRDefault="0061613E" w:rsidP="00E6422E">
      <w:pPr>
        <w:tabs>
          <w:tab w:val="left" w:pos="6521"/>
          <w:tab w:val="left" w:pos="8364"/>
        </w:tabs>
        <w:spacing w:before="0"/>
        <w:ind w:right="662"/>
        <w:jc w:val="both"/>
      </w:pPr>
    </w:p>
    <w:p w:rsidR="00A306C1" w:rsidRPr="00493E2F" w:rsidRDefault="00A306C1" w:rsidP="00E6422E">
      <w:pPr>
        <w:autoSpaceDE w:val="0"/>
        <w:autoSpaceDN w:val="0"/>
        <w:adjustRightInd w:val="0"/>
        <w:spacing w:before="0"/>
        <w:ind w:right="662"/>
        <w:jc w:val="both"/>
        <w:rPr>
          <w:szCs w:val="24"/>
        </w:rPr>
      </w:pPr>
      <w:r w:rsidRPr="00493E2F">
        <w:t>No other consultation</w:t>
      </w:r>
      <w:r w:rsidR="00730B9C" w:rsidRPr="00493E2F">
        <w:t>s were undertaken because</w:t>
      </w:r>
      <w:r w:rsidR="00F521C6">
        <w:rPr>
          <w:szCs w:val="24"/>
        </w:rPr>
        <w:t xml:space="preserve"> the amendments are</w:t>
      </w:r>
      <w:r w:rsidR="00730B9C" w:rsidRPr="00493E2F">
        <w:rPr>
          <w:szCs w:val="24"/>
        </w:rPr>
        <w:t xml:space="preserve"> not likely to have a direct, or a substantial indirect, effect on business or restrict competition, or impact significantly on other government departments, non-government organisations, businesses or other interested parties</w:t>
      </w:r>
      <w:r w:rsidR="00730B9C" w:rsidRPr="00493E2F">
        <w:t>.</w:t>
      </w:r>
    </w:p>
    <w:p w:rsidR="00A306C1" w:rsidRPr="00493E2F" w:rsidRDefault="00A306C1" w:rsidP="00E6422E">
      <w:pPr>
        <w:tabs>
          <w:tab w:val="left" w:pos="6521"/>
          <w:tab w:val="left" w:pos="8364"/>
        </w:tabs>
        <w:spacing w:before="0"/>
        <w:ind w:right="662"/>
        <w:jc w:val="both"/>
      </w:pPr>
    </w:p>
    <w:p w:rsidR="00670B4A" w:rsidRPr="00493E2F" w:rsidRDefault="00670B4A" w:rsidP="00E6422E">
      <w:pPr>
        <w:tabs>
          <w:tab w:val="left" w:pos="6521"/>
          <w:tab w:val="left" w:pos="8364"/>
        </w:tabs>
        <w:spacing w:before="0"/>
        <w:ind w:right="662"/>
        <w:jc w:val="both"/>
      </w:pPr>
      <w:r w:rsidRPr="00493E2F">
        <w:t xml:space="preserve">The Act </w:t>
      </w:r>
      <w:r w:rsidR="00767B74">
        <w:t>does not specify</w:t>
      </w:r>
      <w:r w:rsidRPr="00493E2F">
        <w:t xml:space="preserve"> conditions t</w:t>
      </w:r>
      <w:r w:rsidR="00375D62" w:rsidRPr="00493E2F">
        <w:t xml:space="preserve">hat need to be satisfied before </w:t>
      </w:r>
      <w:r w:rsidRPr="00493E2F">
        <w:t>the power to make t</w:t>
      </w:r>
      <w:r w:rsidR="00DD3616" w:rsidRPr="00493E2F">
        <w:t>he Regulation</w:t>
      </w:r>
      <w:r w:rsidRPr="00493E2F">
        <w:t xml:space="preserve"> may be exercised.</w:t>
      </w:r>
    </w:p>
    <w:p w:rsidR="00670B4A" w:rsidRPr="00493E2F" w:rsidRDefault="00670B4A" w:rsidP="00E6422E">
      <w:pPr>
        <w:tabs>
          <w:tab w:val="left" w:pos="6521"/>
          <w:tab w:val="left" w:pos="8364"/>
        </w:tabs>
        <w:spacing w:before="0"/>
        <w:ind w:right="662"/>
        <w:jc w:val="both"/>
      </w:pPr>
    </w:p>
    <w:p w:rsidR="00670B4A" w:rsidRPr="00493E2F" w:rsidRDefault="00DD3616" w:rsidP="00E6422E">
      <w:pPr>
        <w:tabs>
          <w:tab w:val="left" w:pos="6521"/>
          <w:tab w:val="left" w:pos="8364"/>
        </w:tabs>
        <w:spacing w:before="0"/>
        <w:ind w:right="662"/>
        <w:jc w:val="both"/>
      </w:pPr>
      <w:r w:rsidRPr="00493E2F">
        <w:lastRenderedPageBreak/>
        <w:t>The Regulation</w:t>
      </w:r>
      <w:r w:rsidR="00670B4A" w:rsidRPr="00493E2F">
        <w:t xml:space="preserve"> </w:t>
      </w:r>
      <w:r w:rsidR="0071166E">
        <w:t>is</w:t>
      </w:r>
      <w:r w:rsidR="00670B4A" w:rsidRPr="00493E2F">
        <w:t xml:space="preserve"> a legislative instrument for the purposes of the </w:t>
      </w:r>
      <w:r w:rsidRPr="00493E2F">
        <w:rPr>
          <w:i/>
        </w:rPr>
        <w:t>Legislative Instruments Act </w:t>
      </w:r>
      <w:r w:rsidR="00670B4A" w:rsidRPr="00493E2F">
        <w:rPr>
          <w:i/>
        </w:rPr>
        <w:t>2003</w:t>
      </w:r>
      <w:r w:rsidR="00670B4A" w:rsidRPr="00493E2F">
        <w:t>.</w:t>
      </w:r>
    </w:p>
    <w:p w:rsidR="00830CBC" w:rsidRPr="00493E2F" w:rsidRDefault="00830CBC" w:rsidP="00E6422E">
      <w:pPr>
        <w:tabs>
          <w:tab w:val="left" w:pos="6521"/>
          <w:tab w:val="left" w:pos="8364"/>
        </w:tabs>
        <w:spacing w:before="0"/>
        <w:ind w:right="662"/>
        <w:jc w:val="both"/>
      </w:pPr>
    </w:p>
    <w:p w:rsidR="00670B4A" w:rsidRPr="00493E2F" w:rsidRDefault="00670B4A" w:rsidP="00E6422E">
      <w:pPr>
        <w:tabs>
          <w:tab w:val="left" w:pos="6521"/>
          <w:tab w:val="left" w:pos="8364"/>
        </w:tabs>
        <w:spacing w:before="0"/>
        <w:ind w:right="662"/>
        <w:jc w:val="both"/>
      </w:pPr>
      <w:r w:rsidRPr="00493E2F">
        <w:t xml:space="preserve">The </w:t>
      </w:r>
      <w:r w:rsidR="00086716" w:rsidRPr="00493E2F">
        <w:t xml:space="preserve">Regulation </w:t>
      </w:r>
      <w:r w:rsidRPr="00493E2F">
        <w:t>commence</w:t>
      </w:r>
      <w:r w:rsidR="00086716" w:rsidRPr="00493E2F">
        <w:t>s</w:t>
      </w:r>
      <w:r w:rsidRPr="00493E2F">
        <w:t xml:space="preserve"> on</w:t>
      </w:r>
      <w:r w:rsidR="00BF14C1" w:rsidRPr="00493E2F">
        <w:t xml:space="preserve"> </w:t>
      </w:r>
      <w:r w:rsidR="00767B74">
        <w:t>23 November</w:t>
      </w:r>
      <w:r w:rsidR="00DD3616" w:rsidRPr="00493E2F">
        <w:t> 2013</w:t>
      </w:r>
      <w:r w:rsidRPr="00493E2F">
        <w:t>.</w:t>
      </w:r>
    </w:p>
    <w:p w:rsidR="00DD3616" w:rsidRPr="00493E2F" w:rsidRDefault="00DD3616" w:rsidP="00767B74">
      <w:pPr>
        <w:tabs>
          <w:tab w:val="left" w:pos="8364"/>
        </w:tabs>
        <w:spacing w:before="0"/>
        <w:ind w:right="662"/>
        <w:rPr>
          <w:b/>
          <w:u w:val="single"/>
        </w:rPr>
        <w:sectPr w:rsidR="00DD3616" w:rsidRPr="00493E2F" w:rsidSect="00884EE2">
          <w:headerReference w:type="default" r:id="rId9"/>
          <w:pgSz w:w="11906" w:h="16838"/>
          <w:pgMar w:top="1440" w:right="1440" w:bottom="1440" w:left="1440" w:header="709" w:footer="709" w:gutter="0"/>
          <w:pgNumType w:start="1"/>
          <w:cols w:space="708"/>
          <w:titlePg/>
          <w:docGrid w:linePitch="360"/>
        </w:sectPr>
      </w:pPr>
    </w:p>
    <w:p w:rsidR="007D0A0D" w:rsidRPr="00493E2F" w:rsidRDefault="00DD3616" w:rsidP="000839BF">
      <w:pPr>
        <w:keepNext/>
        <w:keepLines/>
        <w:tabs>
          <w:tab w:val="left" w:pos="8364"/>
        </w:tabs>
        <w:spacing w:before="0"/>
        <w:ind w:right="663"/>
        <w:jc w:val="right"/>
        <w:rPr>
          <w:u w:val="single"/>
        </w:rPr>
      </w:pPr>
      <w:r w:rsidRPr="00493E2F">
        <w:rPr>
          <w:b/>
          <w:u w:val="single"/>
        </w:rPr>
        <w:lastRenderedPageBreak/>
        <w:t>ATTACHMENT </w:t>
      </w:r>
      <w:r w:rsidR="007D0A0D" w:rsidRPr="00493E2F">
        <w:rPr>
          <w:b/>
          <w:u w:val="single"/>
        </w:rPr>
        <w:t>A</w:t>
      </w:r>
    </w:p>
    <w:p w:rsidR="007D0A0D" w:rsidRPr="00493E2F" w:rsidRDefault="007D0A0D" w:rsidP="000839BF">
      <w:pPr>
        <w:keepNext/>
        <w:keepLines/>
        <w:tabs>
          <w:tab w:val="left" w:pos="435"/>
          <w:tab w:val="left" w:pos="8364"/>
        </w:tabs>
        <w:spacing w:before="0"/>
        <w:ind w:right="663"/>
      </w:pPr>
    </w:p>
    <w:p w:rsidR="007D0A0D" w:rsidRPr="00493E2F" w:rsidRDefault="007D0A0D" w:rsidP="000839BF">
      <w:pPr>
        <w:pStyle w:val="EMparagraph"/>
        <w:keepNext/>
        <w:keepLines/>
        <w:tabs>
          <w:tab w:val="left" w:pos="8364"/>
        </w:tabs>
        <w:spacing w:after="0"/>
        <w:ind w:right="663"/>
      </w:pPr>
    </w:p>
    <w:p w:rsidR="00767B74" w:rsidRPr="00457E9D" w:rsidRDefault="00767B74" w:rsidP="00767B74">
      <w:pPr>
        <w:pStyle w:val="EMparagraph"/>
        <w:keepNext/>
        <w:keepLines/>
        <w:spacing w:after="0"/>
        <w:ind w:right="748"/>
      </w:pPr>
      <w:r w:rsidRPr="00457E9D">
        <w:t xml:space="preserve">Subsection 504(1) of the </w:t>
      </w:r>
      <w:r w:rsidRPr="00457E9D">
        <w:rPr>
          <w:i/>
        </w:rPr>
        <w:t>Migration Act 1958</w:t>
      </w:r>
      <w:r w:rsidRPr="00457E9D">
        <w:t xml:space="preserve"> (‘the Act’)</w:t>
      </w:r>
      <w:r>
        <w:t>, which</w:t>
      </w:r>
      <w:r w:rsidRPr="00457E9D">
        <w:t xml:space="preserve"> provides, in part, that the Governor-General may make regulations, not inconsistent with the Act, prescribing all matters which by the Act are required or permitted to be prescribed, or which are necessary or convenient to be prescribed for carrying out or giving effect to the Act.</w:t>
      </w:r>
    </w:p>
    <w:p w:rsidR="00767B74" w:rsidRPr="00457E9D" w:rsidRDefault="00767B74" w:rsidP="00767B74">
      <w:pPr>
        <w:tabs>
          <w:tab w:val="left" w:pos="345"/>
        </w:tabs>
        <w:spacing w:before="0"/>
        <w:ind w:right="748"/>
      </w:pPr>
    </w:p>
    <w:p w:rsidR="00767B74" w:rsidRPr="00457E9D" w:rsidRDefault="00767B74" w:rsidP="00767B74">
      <w:pPr>
        <w:keepNext/>
        <w:keepLines/>
        <w:tabs>
          <w:tab w:val="left" w:pos="345"/>
        </w:tabs>
        <w:spacing w:before="0"/>
        <w:ind w:right="748"/>
      </w:pPr>
      <w:r w:rsidRPr="00457E9D">
        <w:t>In addition, the following provisions may apply:</w:t>
      </w:r>
    </w:p>
    <w:p w:rsidR="00767B74" w:rsidRPr="00457E9D" w:rsidRDefault="00767B74" w:rsidP="00767B74">
      <w:pPr>
        <w:keepNext/>
        <w:keepLines/>
        <w:tabs>
          <w:tab w:val="left" w:pos="345"/>
        </w:tabs>
        <w:spacing w:before="0"/>
        <w:ind w:right="748"/>
      </w:pPr>
    </w:p>
    <w:p w:rsidR="00767B74" w:rsidRPr="00054377" w:rsidRDefault="00767B74" w:rsidP="00767B74">
      <w:pPr>
        <w:keepNext/>
        <w:numPr>
          <w:ilvl w:val="0"/>
          <w:numId w:val="14"/>
        </w:numPr>
        <w:spacing w:before="0"/>
        <w:ind w:right="748"/>
      </w:pPr>
      <w:r>
        <w:t>subparagraph 504(1)(a)(</w:t>
      </w:r>
      <w:proofErr w:type="spellStart"/>
      <w:r>
        <w:t>i</w:t>
      </w:r>
      <w:proofErr w:type="spellEnd"/>
      <w:r>
        <w:t xml:space="preserve">) of the Act, which relevantly provides that the Governor-General may make regulations making provision for and in relation to the charging and recovery of fees in respect of any matter under the Act or the </w:t>
      </w:r>
      <w:r>
        <w:rPr>
          <w:i/>
          <w:iCs/>
        </w:rPr>
        <w:t>Migration Regulations 1994</w:t>
      </w:r>
      <w:r>
        <w:t xml:space="preserve"> (‘the </w:t>
      </w:r>
      <w:r w:rsidR="0071166E">
        <w:t xml:space="preserve">Principal </w:t>
      </w:r>
      <w:r>
        <w:t>Regulations’), including the fees payable in connection with the review of decisions made under the Act or the Regulations, whether or not such review is provided for by or under the Act;</w:t>
      </w:r>
      <w:r w:rsidR="00054377">
        <w:br/>
      </w:r>
    </w:p>
    <w:p w:rsidR="00767B74" w:rsidRPr="00054377" w:rsidRDefault="00767B74" w:rsidP="00767B74">
      <w:pPr>
        <w:numPr>
          <w:ilvl w:val="0"/>
          <w:numId w:val="14"/>
        </w:numPr>
        <w:spacing w:before="0"/>
        <w:ind w:right="748"/>
      </w:pPr>
      <w:r>
        <w:t>paragraph 504(1)(b) of the Act, which provides that the Governor-General may make regulations making provision for the remission, refund or waiver of fees of a kind referred to in paragraph 504(1)(a) or for exempting persons from the payment of such fees;</w:t>
      </w:r>
      <w:r w:rsidR="00054377">
        <w:br/>
      </w:r>
    </w:p>
    <w:p w:rsidR="00767B74" w:rsidRDefault="00767B74" w:rsidP="00767B74">
      <w:pPr>
        <w:keepNext/>
        <w:numPr>
          <w:ilvl w:val="0"/>
          <w:numId w:val="14"/>
        </w:numPr>
        <w:spacing w:before="0"/>
        <w:ind w:right="748"/>
      </w:pPr>
      <w:r>
        <w:t>paragraph 504(1)(e) of the Act, which provides that the Governor-General may make regulations making provision for and in relation to:</w:t>
      </w:r>
    </w:p>
    <w:p w:rsidR="00767B74" w:rsidRDefault="00767B74" w:rsidP="00767B74">
      <w:pPr>
        <w:keepNext/>
        <w:numPr>
          <w:ilvl w:val="1"/>
          <w:numId w:val="14"/>
        </w:numPr>
        <w:spacing w:before="0"/>
        <w:ind w:right="748"/>
      </w:pPr>
      <w:r>
        <w:t>the giving of documents to;</w:t>
      </w:r>
    </w:p>
    <w:p w:rsidR="00767B74" w:rsidRDefault="00767B74" w:rsidP="00767B74">
      <w:pPr>
        <w:keepNext/>
        <w:numPr>
          <w:ilvl w:val="1"/>
          <w:numId w:val="14"/>
        </w:numPr>
        <w:spacing w:before="0"/>
        <w:ind w:right="748"/>
      </w:pPr>
      <w:r>
        <w:t>the lodging of documents with; or</w:t>
      </w:r>
    </w:p>
    <w:p w:rsidR="00767B74" w:rsidRDefault="00767B74" w:rsidP="00767B74">
      <w:pPr>
        <w:keepNext/>
        <w:numPr>
          <w:ilvl w:val="1"/>
          <w:numId w:val="14"/>
        </w:numPr>
        <w:spacing w:before="0"/>
        <w:ind w:right="748"/>
      </w:pPr>
      <w:r>
        <w:t>the service of documents on;</w:t>
      </w:r>
    </w:p>
    <w:p w:rsidR="00767B74" w:rsidRDefault="00767B74" w:rsidP="00D92497">
      <w:pPr>
        <w:ind w:left="720" w:right="748"/>
        <w:rPr>
          <w:rFonts w:eastAsiaTheme="minorHAnsi"/>
        </w:rPr>
      </w:pPr>
      <w:r>
        <w:t>the Minister, the Secretary or any other person or body, for the purposes of the Act;</w:t>
      </w:r>
      <w:r w:rsidR="00D92497">
        <w:br/>
      </w:r>
    </w:p>
    <w:p w:rsidR="00767B74" w:rsidRPr="00437B98" w:rsidRDefault="00767B74" w:rsidP="00767B74">
      <w:pPr>
        <w:numPr>
          <w:ilvl w:val="0"/>
          <w:numId w:val="14"/>
        </w:numPr>
        <w:spacing w:before="0"/>
        <w:ind w:right="748"/>
      </w:pPr>
      <w:r>
        <w:t xml:space="preserve">subsection 31(3) of the Act, which provides that the </w:t>
      </w:r>
      <w:r w:rsidR="0071166E">
        <w:t xml:space="preserve">Principal </w:t>
      </w:r>
      <w:r>
        <w:t>Regulations may prescribe criteria for a visa or visas of a specified class (which, without limiting the generality of that subsection, may be a class provided for by section 32, 36, 37, 37A or 38B but not by section 33, 34, 35, 38 or 38A of the Act);</w:t>
      </w:r>
      <w:r w:rsidR="00437B98">
        <w:br/>
      </w:r>
    </w:p>
    <w:p w:rsidR="00767B74" w:rsidRPr="00054377" w:rsidRDefault="00767B74" w:rsidP="00054377">
      <w:pPr>
        <w:numPr>
          <w:ilvl w:val="0"/>
          <w:numId w:val="14"/>
        </w:numPr>
        <w:spacing w:before="0"/>
        <w:ind w:right="748"/>
      </w:pPr>
      <w:r>
        <w:t>section 45A of the Act, which provides that a non-citizen who makes an application for a visa is liable to pay visa application charge (‘VAC’) if, assuming the charge were paid, the application would be a valid visa application;</w:t>
      </w:r>
      <w:r w:rsidR="00054377">
        <w:br/>
      </w:r>
    </w:p>
    <w:p w:rsidR="00767B74" w:rsidRDefault="00767B74" w:rsidP="00767B74">
      <w:pPr>
        <w:numPr>
          <w:ilvl w:val="0"/>
          <w:numId w:val="14"/>
        </w:numPr>
        <w:spacing w:before="0"/>
        <w:ind w:right="748"/>
      </w:pPr>
      <w:r>
        <w:t>subsection 45B(1) of the Act, which provides that the amount of VAC is the amount, not exceeding the VAC limit, prescribed in relation to the application;</w:t>
      </w:r>
    </w:p>
    <w:p w:rsidR="00767B74" w:rsidRDefault="00767B74" w:rsidP="00767B74">
      <w:pPr>
        <w:pStyle w:val="ListParagraph"/>
        <w:ind w:left="0" w:right="748"/>
        <w:rPr>
          <w:rFonts w:eastAsiaTheme="minorHAnsi"/>
        </w:rPr>
      </w:pPr>
    </w:p>
    <w:p w:rsidR="00767B74" w:rsidRPr="00054377" w:rsidRDefault="00767B74" w:rsidP="00767B74">
      <w:pPr>
        <w:numPr>
          <w:ilvl w:val="0"/>
          <w:numId w:val="14"/>
        </w:numPr>
        <w:spacing w:before="0"/>
        <w:ind w:right="748"/>
      </w:pPr>
      <w:r>
        <w:t>subsection 45B(2) of the Act, which provides that the amount prescribed in relation to an application may be nil;</w:t>
      </w:r>
      <w:r w:rsidR="00054377">
        <w:br/>
      </w:r>
    </w:p>
    <w:p w:rsidR="00767B74" w:rsidRDefault="00767B74" w:rsidP="00767B74">
      <w:pPr>
        <w:keepNext/>
        <w:numPr>
          <w:ilvl w:val="0"/>
          <w:numId w:val="14"/>
        </w:numPr>
        <w:spacing w:before="0"/>
        <w:ind w:right="748"/>
      </w:pPr>
      <w:r>
        <w:t xml:space="preserve">subsection 45C(1) of the Act, which provides that the </w:t>
      </w:r>
      <w:r w:rsidR="00437B98">
        <w:t xml:space="preserve">Principal </w:t>
      </w:r>
      <w:r>
        <w:t>Regulations may:</w:t>
      </w:r>
      <w:r w:rsidR="0071166E">
        <w:br/>
      </w:r>
    </w:p>
    <w:p w:rsidR="00767B74" w:rsidRDefault="00767B74" w:rsidP="00767B74">
      <w:pPr>
        <w:keepNext/>
        <w:numPr>
          <w:ilvl w:val="1"/>
          <w:numId w:val="14"/>
        </w:numPr>
        <w:spacing w:before="0"/>
        <w:ind w:right="748"/>
      </w:pPr>
      <w:r>
        <w:t>provide that VAC may be payable in instalments; and</w:t>
      </w:r>
    </w:p>
    <w:p w:rsidR="00767B74" w:rsidRDefault="00767B74" w:rsidP="00767B74">
      <w:pPr>
        <w:numPr>
          <w:ilvl w:val="1"/>
          <w:numId w:val="14"/>
        </w:numPr>
        <w:spacing w:before="0"/>
        <w:ind w:right="748"/>
      </w:pPr>
      <w:r>
        <w:t>specify how those instalments are to be calculated; and</w:t>
      </w:r>
    </w:p>
    <w:p w:rsidR="00767B74" w:rsidRPr="00054377" w:rsidRDefault="00767B74" w:rsidP="00767B74">
      <w:pPr>
        <w:numPr>
          <w:ilvl w:val="1"/>
          <w:numId w:val="14"/>
        </w:numPr>
        <w:spacing w:before="0"/>
        <w:ind w:right="748"/>
      </w:pPr>
      <w:r>
        <w:t>specify when instalments are payable;</w:t>
      </w:r>
      <w:r w:rsidR="00054377">
        <w:br/>
      </w:r>
    </w:p>
    <w:p w:rsidR="00767B74" w:rsidRPr="0071166E" w:rsidRDefault="00767B74" w:rsidP="00767B74">
      <w:pPr>
        <w:keepNext/>
        <w:numPr>
          <w:ilvl w:val="0"/>
          <w:numId w:val="14"/>
        </w:numPr>
        <w:spacing w:before="0"/>
        <w:ind w:right="748"/>
      </w:pPr>
      <w:r>
        <w:t xml:space="preserve">subsection 45C(2) of the Act, which </w:t>
      </w:r>
      <w:r w:rsidR="00437B98">
        <w:t xml:space="preserve">relevantly </w:t>
      </w:r>
      <w:r>
        <w:t xml:space="preserve">provides that the </w:t>
      </w:r>
      <w:r w:rsidR="00437B98">
        <w:t xml:space="preserve">Principal </w:t>
      </w:r>
      <w:r>
        <w:t>Regulations may also:</w:t>
      </w:r>
      <w:r w:rsidR="0071166E">
        <w:br/>
      </w:r>
    </w:p>
    <w:p w:rsidR="00767B74" w:rsidRPr="0071166E" w:rsidRDefault="00767B74" w:rsidP="00767B74">
      <w:pPr>
        <w:keepNext/>
        <w:numPr>
          <w:ilvl w:val="1"/>
          <w:numId w:val="14"/>
        </w:numPr>
        <w:spacing w:before="0"/>
        <w:ind w:right="748"/>
      </w:pPr>
      <w:r>
        <w:t>make provision for and in relation to:</w:t>
      </w:r>
      <w:r w:rsidR="0071166E">
        <w:br/>
      </w:r>
    </w:p>
    <w:p w:rsidR="00767B74" w:rsidRDefault="00767B74" w:rsidP="00767B74">
      <w:pPr>
        <w:keepNext/>
        <w:numPr>
          <w:ilvl w:val="2"/>
          <w:numId w:val="14"/>
        </w:numPr>
        <w:spacing w:before="0"/>
        <w:ind w:right="748"/>
      </w:pPr>
      <w:r>
        <w:t>the recovery of VAC in relation to visa applications; or</w:t>
      </w:r>
    </w:p>
    <w:p w:rsidR="00767B74" w:rsidRDefault="00767B74" w:rsidP="00767B74">
      <w:pPr>
        <w:numPr>
          <w:ilvl w:val="2"/>
          <w:numId w:val="14"/>
        </w:numPr>
        <w:spacing w:before="0"/>
        <w:ind w:right="748"/>
      </w:pPr>
      <w:r>
        <w:t>the way, including the currency, in which VAC is to be paid; or</w:t>
      </w:r>
    </w:p>
    <w:p w:rsidR="00767B74" w:rsidRDefault="00767B74" w:rsidP="00767B74">
      <w:pPr>
        <w:numPr>
          <w:ilvl w:val="2"/>
          <w:numId w:val="14"/>
        </w:numPr>
        <w:spacing w:before="0"/>
        <w:ind w:right="748"/>
      </w:pPr>
      <w:r>
        <w:t>working out how much VAC is to be paid; or</w:t>
      </w:r>
    </w:p>
    <w:p w:rsidR="00767B74" w:rsidRDefault="00767B74" w:rsidP="00767B74">
      <w:pPr>
        <w:numPr>
          <w:ilvl w:val="2"/>
          <w:numId w:val="14"/>
        </w:numPr>
        <w:spacing w:before="0"/>
        <w:ind w:right="748"/>
      </w:pPr>
      <w:r>
        <w:t>the time when VAC is to be paid; or</w:t>
      </w:r>
    </w:p>
    <w:p w:rsidR="00767B74" w:rsidRPr="00437B98" w:rsidRDefault="00767B74" w:rsidP="00767B74">
      <w:pPr>
        <w:numPr>
          <w:ilvl w:val="2"/>
          <w:numId w:val="14"/>
        </w:numPr>
        <w:spacing w:before="0"/>
        <w:ind w:right="748"/>
      </w:pPr>
      <w:r>
        <w:t>the persons who may be paid VAC on behalf of the Commonwealth; or</w:t>
      </w:r>
      <w:r w:rsidR="0071166E">
        <w:br/>
      </w:r>
    </w:p>
    <w:p w:rsidR="00767B74" w:rsidRPr="00437B98" w:rsidRDefault="00767B74" w:rsidP="00767B74">
      <w:pPr>
        <w:keepNext/>
        <w:numPr>
          <w:ilvl w:val="0"/>
          <w:numId w:val="14"/>
        </w:numPr>
        <w:spacing w:before="0"/>
        <w:ind w:right="748"/>
      </w:pPr>
      <w:r>
        <w:t>subsection 46(1) of the Act, which relevantly provides that, subject to subsections 46(1A), (2) and (2A), an application for a visa is valid if, and only if:</w:t>
      </w:r>
      <w:r w:rsidR="00437B98">
        <w:br/>
      </w:r>
    </w:p>
    <w:p w:rsidR="00767B74" w:rsidRDefault="00767B74" w:rsidP="00767B74">
      <w:pPr>
        <w:keepNext/>
        <w:numPr>
          <w:ilvl w:val="1"/>
          <w:numId w:val="14"/>
        </w:numPr>
        <w:spacing w:before="0"/>
        <w:ind w:right="748"/>
      </w:pPr>
      <w:r>
        <w:t>it is for a visa of a class specified in the application; and</w:t>
      </w:r>
    </w:p>
    <w:p w:rsidR="00767B74" w:rsidRDefault="00767B74" w:rsidP="00767B74">
      <w:pPr>
        <w:numPr>
          <w:ilvl w:val="1"/>
          <w:numId w:val="14"/>
        </w:numPr>
        <w:spacing w:before="0"/>
        <w:ind w:right="748"/>
      </w:pPr>
      <w:r>
        <w:t>it satisfies the criteria and requirements prescribed under this section; and</w:t>
      </w:r>
    </w:p>
    <w:p w:rsidR="00767B74" w:rsidRDefault="00767B74" w:rsidP="00767B74">
      <w:pPr>
        <w:numPr>
          <w:ilvl w:val="1"/>
          <w:numId w:val="14"/>
        </w:numPr>
        <w:spacing w:before="0"/>
        <w:ind w:right="748"/>
      </w:pPr>
      <w:r>
        <w:t xml:space="preserve">subject to the </w:t>
      </w:r>
      <w:r w:rsidR="00437B98">
        <w:t xml:space="preserve">Principal </w:t>
      </w:r>
      <w:r>
        <w:t>Regulations providing otherwise, any VAC that the Regulations require to be paid at the time when the application is made, has been paid; and</w:t>
      </w:r>
    </w:p>
    <w:p w:rsidR="00767B74" w:rsidRDefault="00767B74" w:rsidP="00767B74">
      <w:pPr>
        <w:numPr>
          <w:ilvl w:val="1"/>
          <w:numId w:val="14"/>
        </w:numPr>
        <w:spacing w:before="0"/>
        <w:ind w:right="748"/>
      </w:pPr>
      <w:r>
        <w:t xml:space="preserve">any fees payable in respect of it under the </w:t>
      </w:r>
      <w:r w:rsidR="00437B98">
        <w:t xml:space="preserve">Principal </w:t>
      </w:r>
      <w:r>
        <w:t>Regulations have been paid;</w:t>
      </w:r>
    </w:p>
    <w:p w:rsidR="00767B74" w:rsidRDefault="00767B74" w:rsidP="00767B74">
      <w:pPr>
        <w:spacing w:before="0"/>
        <w:ind w:left="1440" w:right="748"/>
      </w:pPr>
    </w:p>
    <w:p w:rsidR="00767B74" w:rsidRDefault="00767B74" w:rsidP="00767B74">
      <w:pPr>
        <w:numPr>
          <w:ilvl w:val="0"/>
          <w:numId w:val="14"/>
        </w:numPr>
        <w:spacing w:before="0"/>
        <w:ind w:right="748"/>
      </w:pPr>
      <w:r>
        <w:t>subsection 46(2) of the Act, which provides that, subject to subsection 46(2A), an application for a visa is valid if:</w:t>
      </w:r>
    </w:p>
    <w:p w:rsidR="00767B74" w:rsidRDefault="00767B74" w:rsidP="00767B74">
      <w:pPr>
        <w:numPr>
          <w:ilvl w:val="1"/>
          <w:numId w:val="14"/>
        </w:numPr>
        <w:spacing w:before="0"/>
        <w:ind w:right="748"/>
      </w:pPr>
      <w:r>
        <w:t>it is an application for a visa of a class prescribed for the purposes of this subsection; and</w:t>
      </w:r>
    </w:p>
    <w:p w:rsidR="00767B74" w:rsidRPr="0080631B" w:rsidRDefault="00767B74" w:rsidP="00767B74">
      <w:pPr>
        <w:numPr>
          <w:ilvl w:val="1"/>
          <w:numId w:val="14"/>
        </w:numPr>
        <w:spacing w:before="0"/>
        <w:ind w:right="748"/>
      </w:pPr>
      <w:r>
        <w:t xml:space="preserve">under the </w:t>
      </w:r>
      <w:r w:rsidR="00437B98">
        <w:t xml:space="preserve">Principal </w:t>
      </w:r>
      <w:r>
        <w:t>Regulations, the application is taken to have been validly made.</w:t>
      </w:r>
      <w:r w:rsidR="00437B98">
        <w:br/>
      </w:r>
    </w:p>
    <w:p w:rsidR="00767B74" w:rsidRDefault="00767B74" w:rsidP="00767B74">
      <w:pPr>
        <w:numPr>
          <w:ilvl w:val="0"/>
          <w:numId w:val="22"/>
        </w:numPr>
        <w:spacing w:before="0"/>
        <w:ind w:right="748"/>
      </w:pPr>
      <w:r>
        <w:t xml:space="preserve">subsection 46(3) of the Act, which provides that the </w:t>
      </w:r>
      <w:r w:rsidR="00437B98">
        <w:t xml:space="preserve">Principal </w:t>
      </w:r>
      <w:r>
        <w:t>Regulations may prescribe criteria that must be satisfied for an application for a visa of a specified class to be a valid application; and</w:t>
      </w:r>
    </w:p>
    <w:p w:rsidR="00767B74" w:rsidRPr="00437B98" w:rsidRDefault="00767B74" w:rsidP="00767B74">
      <w:pPr>
        <w:keepNext/>
        <w:numPr>
          <w:ilvl w:val="0"/>
          <w:numId w:val="22"/>
        </w:numPr>
        <w:spacing w:before="0"/>
        <w:ind w:right="748"/>
      </w:pPr>
      <w:r>
        <w:t>subsection 46(4) of the Act, which provides that, without limiting subsection 46(3), the Regulations may also prescribe:</w:t>
      </w:r>
      <w:r w:rsidR="00437B98">
        <w:br/>
      </w:r>
    </w:p>
    <w:p w:rsidR="00767B74" w:rsidRDefault="00767B74" w:rsidP="00767B74">
      <w:pPr>
        <w:keepNext/>
        <w:numPr>
          <w:ilvl w:val="1"/>
          <w:numId w:val="22"/>
        </w:numPr>
        <w:spacing w:before="0"/>
        <w:ind w:right="748"/>
      </w:pPr>
      <w:r>
        <w:t>the circumstances that must exist for an application for a visa of a specified class to be a valid application; and</w:t>
      </w:r>
    </w:p>
    <w:p w:rsidR="00767B74" w:rsidRDefault="00767B74" w:rsidP="00767B74">
      <w:pPr>
        <w:numPr>
          <w:ilvl w:val="1"/>
          <w:numId w:val="22"/>
        </w:numPr>
        <w:spacing w:before="0"/>
        <w:ind w:right="748"/>
      </w:pPr>
      <w:r>
        <w:t>how an application for a visa of a specified class must be made; and</w:t>
      </w:r>
    </w:p>
    <w:p w:rsidR="00767B74" w:rsidRDefault="00767B74" w:rsidP="00767B74">
      <w:pPr>
        <w:numPr>
          <w:ilvl w:val="1"/>
          <w:numId w:val="22"/>
        </w:numPr>
        <w:spacing w:before="0"/>
        <w:ind w:right="748"/>
      </w:pPr>
      <w:r>
        <w:t>where an application for a visa of a specified class must be made; and</w:t>
      </w:r>
    </w:p>
    <w:p w:rsidR="00767B74" w:rsidRPr="00400B46" w:rsidRDefault="00767B74" w:rsidP="00767B74">
      <w:pPr>
        <w:numPr>
          <w:ilvl w:val="1"/>
          <w:numId w:val="22"/>
        </w:numPr>
        <w:spacing w:before="0"/>
        <w:ind w:right="748"/>
        <w:rPr>
          <w:szCs w:val="24"/>
        </w:rPr>
      </w:pPr>
      <w:r>
        <w:t xml:space="preserve">where an applicant must be when an application for a visa of a </w:t>
      </w:r>
      <w:r w:rsidRPr="00400B46">
        <w:rPr>
          <w:szCs w:val="24"/>
        </w:rPr>
        <w:t>specified class is made.</w:t>
      </w:r>
    </w:p>
    <w:p w:rsidR="00DD3616" w:rsidRPr="00400B46" w:rsidRDefault="00DD3616" w:rsidP="00884EE2">
      <w:pPr>
        <w:tabs>
          <w:tab w:val="left" w:pos="8364"/>
        </w:tabs>
        <w:spacing w:before="0"/>
        <w:ind w:right="662"/>
        <w:jc w:val="right"/>
        <w:rPr>
          <w:b/>
          <w:szCs w:val="24"/>
          <w:u w:val="single"/>
        </w:rPr>
        <w:sectPr w:rsidR="00DD3616" w:rsidRPr="00400B46" w:rsidSect="00884EE2">
          <w:pgSz w:w="11906" w:h="16838"/>
          <w:pgMar w:top="1440" w:right="1440" w:bottom="1440" w:left="1440" w:header="709" w:footer="709" w:gutter="0"/>
          <w:pgNumType w:start="1"/>
          <w:cols w:space="708"/>
          <w:titlePg/>
          <w:docGrid w:linePitch="360"/>
        </w:sectPr>
      </w:pPr>
    </w:p>
    <w:p w:rsidR="00670B4A" w:rsidRPr="00400B46" w:rsidRDefault="00670B4A" w:rsidP="000839BF">
      <w:pPr>
        <w:keepNext/>
        <w:keepLines/>
        <w:tabs>
          <w:tab w:val="left" w:pos="8364"/>
        </w:tabs>
        <w:spacing w:before="0"/>
        <w:ind w:right="663"/>
        <w:jc w:val="right"/>
        <w:rPr>
          <w:b/>
          <w:szCs w:val="24"/>
          <w:u w:val="single"/>
        </w:rPr>
      </w:pPr>
      <w:r w:rsidRPr="00400B46">
        <w:rPr>
          <w:b/>
          <w:szCs w:val="24"/>
          <w:u w:val="single"/>
        </w:rPr>
        <w:t>ATTACHMENT</w:t>
      </w:r>
      <w:r w:rsidR="00DD3616" w:rsidRPr="00400B46">
        <w:rPr>
          <w:b/>
          <w:szCs w:val="24"/>
          <w:u w:val="single"/>
        </w:rPr>
        <w:t> </w:t>
      </w:r>
      <w:r w:rsidR="007D0A0D" w:rsidRPr="00400B46">
        <w:rPr>
          <w:b/>
          <w:szCs w:val="24"/>
          <w:u w:val="single"/>
        </w:rPr>
        <w:t>B</w:t>
      </w:r>
    </w:p>
    <w:p w:rsidR="007000C1" w:rsidRPr="00400B46" w:rsidRDefault="007000C1" w:rsidP="000839BF">
      <w:pPr>
        <w:keepNext/>
        <w:keepLines/>
        <w:tabs>
          <w:tab w:val="left" w:pos="8364"/>
        </w:tabs>
        <w:spacing w:before="0"/>
        <w:ind w:right="663"/>
        <w:jc w:val="right"/>
        <w:rPr>
          <w:szCs w:val="24"/>
          <w:u w:val="single"/>
        </w:rPr>
      </w:pPr>
    </w:p>
    <w:p w:rsidR="00670B4A" w:rsidRPr="00400B46" w:rsidRDefault="00670B4A" w:rsidP="000839BF">
      <w:pPr>
        <w:keepNext/>
        <w:keepLines/>
        <w:tabs>
          <w:tab w:val="left" w:pos="8364"/>
        </w:tabs>
        <w:spacing w:before="0"/>
        <w:ind w:right="663"/>
        <w:jc w:val="right"/>
        <w:rPr>
          <w:szCs w:val="24"/>
        </w:rPr>
      </w:pPr>
    </w:p>
    <w:p w:rsidR="00675DD4" w:rsidRPr="00400B46" w:rsidRDefault="00675DD4" w:rsidP="00675DD4">
      <w:pPr>
        <w:spacing w:before="360" w:after="120"/>
        <w:jc w:val="center"/>
        <w:rPr>
          <w:b/>
          <w:szCs w:val="24"/>
        </w:rPr>
      </w:pPr>
      <w:r w:rsidRPr="00400B46">
        <w:rPr>
          <w:b/>
          <w:szCs w:val="24"/>
        </w:rPr>
        <w:t>Statement of Compatibility with Human Rights</w:t>
      </w:r>
    </w:p>
    <w:p w:rsidR="00675DD4" w:rsidRPr="00400B46" w:rsidRDefault="00675DD4" w:rsidP="00675DD4">
      <w:pPr>
        <w:spacing w:before="120" w:after="120"/>
        <w:jc w:val="center"/>
        <w:rPr>
          <w:szCs w:val="24"/>
        </w:rPr>
      </w:pPr>
      <w:r w:rsidRPr="00400B46">
        <w:rPr>
          <w:i/>
          <w:szCs w:val="24"/>
        </w:rPr>
        <w:t>Prepared in accordance with Part 3 of the Human Rights (Parliamentary Scrutiny) Act 2011</w:t>
      </w:r>
    </w:p>
    <w:p w:rsidR="00675DD4" w:rsidRPr="00400B46" w:rsidRDefault="00675DD4" w:rsidP="00675DD4">
      <w:pPr>
        <w:spacing w:before="120" w:after="120"/>
        <w:jc w:val="center"/>
        <w:rPr>
          <w:szCs w:val="24"/>
        </w:rPr>
      </w:pPr>
    </w:p>
    <w:p w:rsidR="00675DD4" w:rsidRPr="00400B46" w:rsidRDefault="00675DD4" w:rsidP="00675DD4">
      <w:pPr>
        <w:spacing w:before="120" w:after="120"/>
        <w:jc w:val="center"/>
        <w:rPr>
          <w:b/>
          <w:i/>
          <w:szCs w:val="24"/>
        </w:rPr>
      </w:pPr>
      <w:r w:rsidRPr="00400B46">
        <w:rPr>
          <w:b/>
          <w:szCs w:val="24"/>
        </w:rPr>
        <w:t xml:space="preserve">Technical amendments to the </w:t>
      </w:r>
      <w:r w:rsidRPr="00400B46">
        <w:rPr>
          <w:b/>
          <w:i/>
          <w:szCs w:val="24"/>
        </w:rPr>
        <w:t>Migration Regulations 1994</w:t>
      </w:r>
    </w:p>
    <w:p w:rsidR="00675DD4" w:rsidRPr="00400B46" w:rsidRDefault="00675DD4" w:rsidP="00675DD4">
      <w:pPr>
        <w:spacing w:before="120" w:after="120"/>
        <w:jc w:val="center"/>
        <w:rPr>
          <w:szCs w:val="24"/>
        </w:rPr>
      </w:pPr>
      <w:r w:rsidRPr="00400B46">
        <w:rPr>
          <w:szCs w:val="24"/>
        </w:rPr>
        <w:t xml:space="preserve">This Legislative Instrument is compatible with the human rights and freedoms recognised or declared in the international instruments listed in section 3 of the </w:t>
      </w:r>
      <w:r w:rsidRPr="00400B46">
        <w:rPr>
          <w:i/>
          <w:szCs w:val="24"/>
        </w:rPr>
        <w:t>Human Rights (Parliamentary Scrutiny) Act 2011</w:t>
      </w:r>
      <w:r w:rsidRPr="00400B46">
        <w:rPr>
          <w:szCs w:val="24"/>
        </w:rPr>
        <w:t>.</w:t>
      </w:r>
    </w:p>
    <w:p w:rsidR="00675DD4" w:rsidRPr="00400B46" w:rsidRDefault="00675DD4" w:rsidP="00675DD4">
      <w:pPr>
        <w:spacing w:before="120" w:after="120"/>
        <w:jc w:val="center"/>
        <w:rPr>
          <w:szCs w:val="24"/>
        </w:rPr>
      </w:pPr>
    </w:p>
    <w:p w:rsidR="00675DD4" w:rsidRPr="00400B46" w:rsidRDefault="00675DD4" w:rsidP="00675DD4">
      <w:pPr>
        <w:keepNext/>
        <w:keepLines/>
        <w:rPr>
          <w:szCs w:val="24"/>
        </w:rPr>
      </w:pPr>
      <w:r w:rsidRPr="00400B46">
        <w:rPr>
          <w:b/>
          <w:szCs w:val="24"/>
        </w:rPr>
        <w:t>Overview of the Legislative Instrument</w:t>
      </w:r>
      <w:r w:rsidRPr="00400B46">
        <w:rPr>
          <w:szCs w:val="24"/>
        </w:rPr>
        <w:t xml:space="preserve"> </w:t>
      </w:r>
    </w:p>
    <w:p w:rsidR="00675DD4" w:rsidRPr="00400B46" w:rsidRDefault="00675DD4" w:rsidP="00675DD4">
      <w:pPr>
        <w:autoSpaceDE w:val="0"/>
        <w:autoSpaceDN w:val="0"/>
        <w:adjustRightInd w:val="0"/>
        <w:spacing w:line="240" w:lineRule="atLeast"/>
        <w:rPr>
          <w:szCs w:val="24"/>
        </w:rPr>
      </w:pPr>
      <w:r w:rsidRPr="00400B46">
        <w:rPr>
          <w:szCs w:val="24"/>
          <w:u w:val="single"/>
        </w:rPr>
        <w:br/>
      </w:r>
      <w:r w:rsidRPr="00400B46">
        <w:rPr>
          <w:szCs w:val="24"/>
        </w:rPr>
        <w:t xml:space="preserve">This Legislative Instrument amends the </w:t>
      </w:r>
      <w:r w:rsidRPr="00400B46">
        <w:rPr>
          <w:i/>
          <w:szCs w:val="24"/>
        </w:rPr>
        <w:t>Migration Regulations 1994</w:t>
      </w:r>
      <w:r w:rsidRPr="00400B46">
        <w:rPr>
          <w:szCs w:val="24"/>
        </w:rPr>
        <w:t xml:space="preserve"> (‘the </w:t>
      </w:r>
      <w:r w:rsidR="00437B98">
        <w:rPr>
          <w:szCs w:val="24"/>
        </w:rPr>
        <w:t xml:space="preserve">Principal </w:t>
      </w:r>
      <w:r w:rsidRPr="00400B46">
        <w:rPr>
          <w:szCs w:val="24"/>
        </w:rPr>
        <w:t>Regulations’) to allow clients to use Internet application forms to:</w:t>
      </w:r>
    </w:p>
    <w:p w:rsidR="00675DD4" w:rsidRPr="00400B46" w:rsidRDefault="00675DD4" w:rsidP="00675DD4">
      <w:pPr>
        <w:numPr>
          <w:ilvl w:val="0"/>
          <w:numId w:val="19"/>
        </w:numPr>
        <w:autoSpaceDE w:val="0"/>
        <w:autoSpaceDN w:val="0"/>
        <w:adjustRightInd w:val="0"/>
        <w:spacing w:before="0" w:line="240" w:lineRule="atLeast"/>
        <w:rPr>
          <w:szCs w:val="24"/>
        </w:rPr>
      </w:pPr>
      <w:r w:rsidRPr="00400B46">
        <w:rPr>
          <w:szCs w:val="24"/>
        </w:rPr>
        <w:t xml:space="preserve">apply for five visa classes; and </w:t>
      </w:r>
    </w:p>
    <w:p w:rsidR="00675DD4" w:rsidRPr="00400B46" w:rsidRDefault="00675DD4" w:rsidP="00675DD4">
      <w:pPr>
        <w:numPr>
          <w:ilvl w:val="0"/>
          <w:numId w:val="19"/>
        </w:numPr>
        <w:autoSpaceDE w:val="0"/>
        <w:autoSpaceDN w:val="0"/>
        <w:adjustRightInd w:val="0"/>
        <w:spacing w:before="0" w:line="240" w:lineRule="atLeast"/>
        <w:rPr>
          <w:szCs w:val="24"/>
        </w:rPr>
      </w:pPr>
      <w:r w:rsidRPr="00400B46">
        <w:rPr>
          <w:szCs w:val="24"/>
        </w:rPr>
        <w:t xml:space="preserve">to apply to become an approved sponsor.  </w:t>
      </w:r>
    </w:p>
    <w:p w:rsidR="00675DD4" w:rsidRPr="00400B46" w:rsidRDefault="00675DD4" w:rsidP="00675DD4">
      <w:pPr>
        <w:autoSpaceDE w:val="0"/>
        <w:autoSpaceDN w:val="0"/>
        <w:adjustRightInd w:val="0"/>
        <w:spacing w:line="240" w:lineRule="atLeast"/>
        <w:rPr>
          <w:szCs w:val="24"/>
        </w:rPr>
      </w:pPr>
      <w:r w:rsidRPr="00400B46">
        <w:rPr>
          <w:szCs w:val="24"/>
        </w:rPr>
        <w:t>The five visa classes affected by these amendments are the:</w:t>
      </w:r>
    </w:p>
    <w:p w:rsidR="00675DD4" w:rsidRPr="00400B46" w:rsidRDefault="00675DD4" w:rsidP="00675DD4">
      <w:pPr>
        <w:numPr>
          <w:ilvl w:val="0"/>
          <w:numId w:val="17"/>
        </w:numPr>
        <w:autoSpaceDE w:val="0"/>
        <w:autoSpaceDN w:val="0"/>
        <w:adjustRightInd w:val="0"/>
        <w:spacing w:before="0" w:line="240" w:lineRule="atLeast"/>
        <w:rPr>
          <w:szCs w:val="24"/>
        </w:rPr>
      </w:pPr>
      <w:r w:rsidRPr="00400B46">
        <w:rPr>
          <w:szCs w:val="24"/>
        </w:rPr>
        <w:t>Prospective Marriage (Temporary) (Class TO) visa;</w:t>
      </w:r>
    </w:p>
    <w:p w:rsidR="00675DD4" w:rsidRPr="00400B46" w:rsidRDefault="00675DD4" w:rsidP="00675DD4">
      <w:pPr>
        <w:numPr>
          <w:ilvl w:val="0"/>
          <w:numId w:val="17"/>
        </w:numPr>
        <w:autoSpaceDE w:val="0"/>
        <w:autoSpaceDN w:val="0"/>
        <w:adjustRightInd w:val="0"/>
        <w:spacing w:before="0" w:line="240" w:lineRule="atLeast"/>
        <w:rPr>
          <w:rStyle w:val="popup"/>
          <w:szCs w:val="24"/>
        </w:rPr>
      </w:pPr>
      <w:r w:rsidRPr="00400B46">
        <w:rPr>
          <w:rStyle w:val="popup"/>
          <w:szCs w:val="24"/>
        </w:rPr>
        <w:t xml:space="preserve">Partner (Migrant) (Class BC) </w:t>
      </w:r>
      <w:r w:rsidRPr="00400B46">
        <w:rPr>
          <w:szCs w:val="24"/>
        </w:rPr>
        <w:t>visa;</w:t>
      </w:r>
    </w:p>
    <w:p w:rsidR="00675DD4" w:rsidRPr="00400B46" w:rsidRDefault="00675DD4" w:rsidP="00675DD4">
      <w:pPr>
        <w:numPr>
          <w:ilvl w:val="0"/>
          <w:numId w:val="17"/>
        </w:numPr>
        <w:autoSpaceDE w:val="0"/>
        <w:autoSpaceDN w:val="0"/>
        <w:adjustRightInd w:val="0"/>
        <w:spacing w:before="0" w:line="240" w:lineRule="atLeast"/>
        <w:rPr>
          <w:rStyle w:val="popup"/>
          <w:szCs w:val="24"/>
        </w:rPr>
      </w:pPr>
      <w:r w:rsidRPr="00400B46">
        <w:rPr>
          <w:rStyle w:val="popup"/>
          <w:szCs w:val="24"/>
        </w:rPr>
        <w:t xml:space="preserve">Partner (Provisional) (Class UF) </w:t>
      </w:r>
      <w:r w:rsidRPr="00400B46">
        <w:rPr>
          <w:szCs w:val="24"/>
        </w:rPr>
        <w:t>visa;</w:t>
      </w:r>
    </w:p>
    <w:p w:rsidR="00675DD4" w:rsidRPr="00400B46" w:rsidRDefault="00675DD4" w:rsidP="00675DD4">
      <w:pPr>
        <w:numPr>
          <w:ilvl w:val="0"/>
          <w:numId w:val="17"/>
        </w:numPr>
        <w:autoSpaceDE w:val="0"/>
        <w:autoSpaceDN w:val="0"/>
        <w:adjustRightInd w:val="0"/>
        <w:spacing w:before="0" w:line="240" w:lineRule="atLeast"/>
        <w:rPr>
          <w:rStyle w:val="popup"/>
          <w:szCs w:val="24"/>
        </w:rPr>
      </w:pPr>
      <w:r w:rsidRPr="00400B46">
        <w:rPr>
          <w:rStyle w:val="popup"/>
          <w:szCs w:val="24"/>
        </w:rPr>
        <w:t xml:space="preserve">Partner (Temporary) (Class UK) </w:t>
      </w:r>
      <w:r w:rsidRPr="00400B46">
        <w:rPr>
          <w:szCs w:val="24"/>
        </w:rPr>
        <w:t>visa; and</w:t>
      </w:r>
    </w:p>
    <w:p w:rsidR="00675DD4" w:rsidRPr="00400B46" w:rsidRDefault="00675DD4" w:rsidP="00675DD4">
      <w:pPr>
        <w:numPr>
          <w:ilvl w:val="0"/>
          <w:numId w:val="17"/>
        </w:numPr>
        <w:autoSpaceDE w:val="0"/>
        <w:autoSpaceDN w:val="0"/>
        <w:adjustRightInd w:val="0"/>
        <w:spacing w:before="0" w:line="240" w:lineRule="atLeast"/>
        <w:rPr>
          <w:szCs w:val="24"/>
        </w:rPr>
      </w:pPr>
      <w:r w:rsidRPr="00400B46">
        <w:rPr>
          <w:rStyle w:val="popup"/>
          <w:szCs w:val="24"/>
        </w:rPr>
        <w:t xml:space="preserve">Partner (Residence) (Class BS) </w:t>
      </w:r>
      <w:r w:rsidRPr="00400B46">
        <w:rPr>
          <w:szCs w:val="24"/>
        </w:rPr>
        <w:t>visa.</w:t>
      </w:r>
      <w:r w:rsidRPr="00400B46" w:rsidDel="00A75255">
        <w:rPr>
          <w:szCs w:val="24"/>
        </w:rPr>
        <w:t xml:space="preserve"> </w:t>
      </w:r>
    </w:p>
    <w:p w:rsidR="00675DD4" w:rsidRPr="00400B46" w:rsidRDefault="00675DD4" w:rsidP="00675DD4">
      <w:pPr>
        <w:autoSpaceDE w:val="0"/>
        <w:autoSpaceDN w:val="0"/>
        <w:adjustRightInd w:val="0"/>
        <w:spacing w:line="240" w:lineRule="atLeast"/>
        <w:rPr>
          <w:szCs w:val="24"/>
          <w:u w:val="single"/>
        </w:rPr>
      </w:pPr>
      <w:r w:rsidRPr="00400B46">
        <w:rPr>
          <w:szCs w:val="24"/>
          <w:u w:val="single"/>
        </w:rPr>
        <w:t>Amendments to specify the new Internet forms</w:t>
      </w:r>
    </w:p>
    <w:p w:rsidR="00675DD4" w:rsidRPr="00400B46" w:rsidRDefault="00675DD4" w:rsidP="00675DD4">
      <w:pPr>
        <w:autoSpaceDE w:val="0"/>
        <w:autoSpaceDN w:val="0"/>
        <w:adjustRightInd w:val="0"/>
        <w:spacing w:line="240" w:lineRule="atLeast"/>
        <w:rPr>
          <w:szCs w:val="24"/>
        </w:rPr>
      </w:pPr>
      <w:r w:rsidRPr="00400B46">
        <w:rPr>
          <w:szCs w:val="24"/>
        </w:rPr>
        <w:t xml:space="preserve">It is intended that the current paper form entitled </w:t>
      </w:r>
      <w:r w:rsidRPr="00400B46">
        <w:rPr>
          <w:i/>
          <w:szCs w:val="24"/>
        </w:rPr>
        <w:t>Form 40SP</w:t>
      </w:r>
      <w:r w:rsidRPr="00400B46">
        <w:rPr>
          <w:szCs w:val="24"/>
        </w:rPr>
        <w:t xml:space="preserve"> </w:t>
      </w:r>
      <w:r w:rsidRPr="00400B46">
        <w:rPr>
          <w:i/>
          <w:szCs w:val="24"/>
        </w:rPr>
        <w:t>Sponsorship for a partner to migrate to Australia</w:t>
      </w:r>
      <w:r w:rsidRPr="00400B46">
        <w:rPr>
          <w:szCs w:val="24"/>
        </w:rPr>
        <w:t xml:space="preserve"> will have an Internet equivalent entitled “40SP (Internet)”. </w:t>
      </w:r>
    </w:p>
    <w:p w:rsidR="00675DD4" w:rsidRPr="00400B46" w:rsidRDefault="00675DD4" w:rsidP="00675DD4">
      <w:pPr>
        <w:autoSpaceDE w:val="0"/>
        <w:autoSpaceDN w:val="0"/>
        <w:adjustRightInd w:val="0"/>
        <w:spacing w:line="240" w:lineRule="atLeast"/>
        <w:rPr>
          <w:szCs w:val="24"/>
        </w:rPr>
      </w:pPr>
      <w:r w:rsidRPr="00400B46">
        <w:rPr>
          <w:szCs w:val="24"/>
        </w:rPr>
        <w:t>Subparagraph 1124B(3)(e)(ii) of Schedule 1 of the</w:t>
      </w:r>
      <w:r w:rsidR="00642A18">
        <w:rPr>
          <w:szCs w:val="24"/>
        </w:rPr>
        <w:t xml:space="preserve"> Principal</w:t>
      </w:r>
      <w:r w:rsidRPr="00400B46">
        <w:rPr>
          <w:szCs w:val="24"/>
        </w:rPr>
        <w:t xml:space="preserve"> Regulations requires certain applicants for a Partner (Residence) (Class BS) visa to provide a completed </w:t>
      </w:r>
      <w:r w:rsidRPr="00400B46">
        <w:rPr>
          <w:i/>
          <w:szCs w:val="24"/>
        </w:rPr>
        <w:t>Form 40SP</w:t>
      </w:r>
      <w:r w:rsidRPr="00400B46">
        <w:rPr>
          <w:szCs w:val="24"/>
        </w:rPr>
        <w:t xml:space="preserve"> with their visa application.  If they do not comply with this requirement, their application will be invalid.  The amendments insert </w:t>
      </w:r>
      <w:r w:rsidRPr="00400B46">
        <w:rPr>
          <w:i/>
          <w:szCs w:val="24"/>
        </w:rPr>
        <w:t>40SP (Internet)</w:t>
      </w:r>
      <w:r w:rsidRPr="00400B46">
        <w:rPr>
          <w:szCs w:val="24"/>
        </w:rPr>
        <w:t xml:space="preserve"> in to subparagraph 1124B(3)(e)(ii) of Schedule 1 to the </w:t>
      </w:r>
      <w:r w:rsidR="00642A18">
        <w:rPr>
          <w:szCs w:val="24"/>
        </w:rPr>
        <w:t>Principal</w:t>
      </w:r>
      <w:r w:rsidR="00642A18" w:rsidRPr="00400B46">
        <w:rPr>
          <w:szCs w:val="24"/>
        </w:rPr>
        <w:t xml:space="preserve"> </w:t>
      </w:r>
      <w:r w:rsidRPr="00400B46">
        <w:rPr>
          <w:szCs w:val="24"/>
        </w:rPr>
        <w:t xml:space="preserve">Regulations to extend the legal effect of the provision to encompass sponsorship applications that are made using the </w:t>
      </w:r>
      <w:r w:rsidRPr="00400B46">
        <w:rPr>
          <w:i/>
          <w:szCs w:val="24"/>
        </w:rPr>
        <w:t>Form 40SP (Internet)</w:t>
      </w:r>
      <w:r w:rsidRPr="00400B46">
        <w:rPr>
          <w:szCs w:val="24"/>
        </w:rPr>
        <w:t xml:space="preserve">. </w:t>
      </w:r>
    </w:p>
    <w:p w:rsidR="00675DD4" w:rsidRPr="00400B46" w:rsidRDefault="00675DD4" w:rsidP="00675DD4">
      <w:pPr>
        <w:autoSpaceDE w:val="0"/>
        <w:autoSpaceDN w:val="0"/>
        <w:adjustRightInd w:val="0"/>
        <w:spacing w:line="240" w:lineRule="atLeast"/>
        <w:rPr>
          <w:szCs w:val="24"/>
        </w:rPr>
      </w:pPr>
      <w:r w:rsidRPr="00400B46">
        <w:rPr>
          <w:szCs w:val="24"/>
        </w:rPr>
        <w:t xml:space="preserve">The current paper form entitled </w:t>
      </w:r>
      <w:r w:rsidRPr="00400B46">
        <w:rPr>
          <w:i/>
          <w:szCs w:val="24"/>
        </w:rPr>
        <w:t>Form 47SP</w:t>
      </w:r>
      <w:r w:rsidRPr="00400B46">
        <w:rPr>
          <w:szCs w:val="24"/>
        </w:rPr>
        <w:t xml:space="preserve"> </w:t>
      </w:r>
      <w:r w:rsidRPr="00400B46">
        <w:rPr>
          <w:i/>
          <w:szCs w:val="24"/>
        </w:rPr>
        <w:t>Application for migration to Australia by a partner</w:t>
      </w:r>
      <w:r w:rsidRPr="00400B46">
        <w:rPr>
          <w:szCs w:val="24"/>
        </w:rPr>
        <w:t xml:space="preserve"> will have an Internet equivalent entitled “47SP (Internet)”. </w:t>
      </w:r>
    </w:p>
    <w:p w:rsidR="00675DD4" w:rsidRPr="00400B46" w:rsidRDefault="00675DD4" w:rsidP="00675DD4">
      <w:pPr>
        <w:autoSpaceDE w:val="0"/>
        <w:autoSpaceDN w:val="0"/>
        <w:adjustRightInd w:val="0"/>
        <w:spacing w:line="240" w:lineRule="atLeast"/>
        <w:rPr>
          <w:szCs w:val="24"/>
        </w:rPr>
      </w:pPr>
      <w:r w:rsidRPr="00400B46">
        <w:rPr>
          <w:szCs w:val="24"/>
        </w:rPr>
        <w:t>Paragraph 801.221(7)(c) of Schedule 2 of the</w:t>
      </w:r>
      <w:r w:rsidR="00642A18" w:rsidRPr="00642A18">
        <w:rPr>
          <w:szCs w:val="24"/>
        </w:rPr>
        <w:t xml:space="preserve"> </w:t>
      </w:r>
      <w:r w:rsidR="00642A18">
        <w:rPr>
          <w:szCs w:val="24"/>
        </w:rPr>
        <w:t xml:space="preserve">Principal </w:t>
      </w:r>
      <w:r w:rsidRPr="00400B46">
        <w:rPr>
          <w:szCs w:val="24"/>
        </w:rPr>
        <w:t xml:space="preserve">Regulations provides the criteria that certain applicants for a </w:t>
      </w:r>
      <w:r w:rsidRPr="00400B46">
        <w:rPr>
          <w:rStyle w:val="popup"/>
          <w:szCs w:val="24"/>
        </w:rPr>
        <w:t xml:space="preserve">Partner (Residence) (Class BS) </w:t>
      </w:r>
      <w:r w:rsidRPr="00400B46">
        <w:rPr>
          <w:szCs w:val="24"/>
        </w:rPr>
        <w:t>visa must satisfy at the time of decision in order to be granted the visa.</w:t>
      </w:r>
    </w:p>
    <w:p w:rsidR="00675DD4" w:rsidRPr="00400B46" w:rsidRDefault="00675DD4" w:rsidP="00675DD4">
      <w:pPr>
        <w:autoSpaceDE w:val="0"/>
        <w:autoSpaceDN w:val="0"/>
        <w:adjustRightInd w:val="0"/>
        <w:spacing w:line="240" w:lineRule="atLeast"/>
        <w:rPr>
          <w:szCs w:val="24"/>
        </w:rPr>
      </w:pPr>
    </w:p>
    <w:p w:rsidR="00675DD4" w:rsidRPr="00400B46" w:rsidRDefault="00675DD4" w:rsidP="00675DD4">
      <w:pPr>
        <w:autoSpaceDE w:val="0"/>
        <w:autoSpaceDN w:val="0"/>
        <w:adjustRightInd w:val="0"/>
        <w:spacing w:line="240" w:lineRule="atLeast"/>
        <w:rPr>
          <w:szCs w:val="24"/>
        </w:rPr>
      </w:pPr>
      <w:r w:rsidRPr="00400B46">
        <w:rPr>
          <w:szCs w:val="24"/>
        </w:rPr>
        <w:t xml:space="preserve">The amendments insert </w:t>
      </w:r>
      <w:r w:rsidRPr="00400B46">
        <w:rPr>
          <w:i/>
          <w:szCs w:val="24"/>
        </w:rPr>
        <w:t>47SP (Internet)</w:t>
      </w:r>
      <w:r w:rsidRPr="00400B46">
        <w:rPr>
          <w:szCs w:val="24"/>
        </w:rPr>
        <w:t xml:space="preserve"> in to paragraph 801.221(7)(c) </w:t>
      </w:r>
      <w:bookmarkStart w:id="1" w:name="JD_80122140741"/>
      <w:bookmarkStart w:id="2" w:name="JD_8012214074140a41"/>
      <w:bookmarkStart w:id="3" w:name="JD_8012214074140b41"/>
      <w:bookmarkStart w:id="4" w:name="JD_8012214074140d41"/>
      <w:bookmarkStart w:id="5" w:name="JD_8012214074140c41"/>
      <w:bookmarkStart w:id="6" w:name="JD_8012214074140c4140i41"/>
      <w:bookmarkStart w:id="7" w:name="JD_8012214074140c4140ii41"/>
      <w:bookmarkStart w:id="8" w:name="JD_legend_current_mrPop05776"/>
      <w:bookmarkEnd w:id="1"/>
      <w:bookmarkEnd w:id="2"/>
      <w:bookmarkEnd w:id="3"/>
      <w:bookmarkEnd w:id="4"/>
      <w:bookmarkEnd w:id="5"/>
      <w:bookmarkEnd w:id="6"/>
      <w:bookmarkEnd w:id="7"/>
      <w:bookmarkEnd w:id="8"/>
      <w:r w:rsidRPr="00400B46">
        <w:rPr>
          <w:szCs w:val="24"/>
        </w:rPr>
        <w:t xml:space="preserve">of Schedule 2 of the </w:t>
      </w:r>
      <w:r w:rsidR="00642A18">
        <w:rPr>
          <w:szCs w:val="24"/>
        </w:rPr>
        <w:t>Principal</w:t>
      </w:r>
      <w:r w:rsidR="00642A18" w:rsidRPr="00400B46">
        <w:rPr>
          <w:szCs w:val="24"/>
        </w:rPr>
        <w:t xml:space="preserve"> </w:t>
      </w:r>
      <w:r w:rsidRPr="00400B46">
        <w:rPr>
          <w:szCs w:val="24"/>
        </w:rPr>
        <w:t xml:space="preserve">Regulations to extend the legal effect of the provision to encompass applications that are made using the form </w:t>
      </w:r>
      <w:r w:rsidRPr="00400B46">
        <w:rPr>
          <w:i/>
          <w:szCs w:val="24"/>
        </w:rPr>
        <w:t>47SP (Internet)</w:t>
      </w:r>
      <w:r w:rsidRPr="00400B46">
        <w:rPr>
          <w:szCs w:val="24"/>
        </w:rPr>
        <w:t xml:space="preserve">. </w:t>
      </w:r>
    </w:p>
    <w:p w:rsidR="00675DD4" w:rsidRPr="00400B46" w:rsidRDefault="00675DD4" w:rsidP="00675DD4">
      <w:pPr>
        <w:autoSpaceDE w:val="0"/>
        <w:autoSpaceDN w:val="0"/>
        <w:adjustRightInd w:val="0"/>
        <w:spacing w:line="240" w:lineRule="atLeast"/>
        <w:rPr>
          <w:szCs w:val="24"/>
        </w:rPr>
      </w:pPr>
      <w:r w:rsidRPr="00400B46">
        <w:rPr>
          <w:szCs w:val="24"/>
          <w:u w:val="single"/>
        </w:rPr>
        <w:t>Amendments to ensure Internet applications can be made in Australia</w:t>
      </w:r>
    </w:p>
    <w:p w:rsidR="00675DD4" w:rsidRPr="00400B46" w:rsidRDefault="00675DD4" w:rsidP="00675DD4">
      <w:pPr>
        <w:autoSpaceDE w:val="0"/>
        <w:autoSpaceDN w:val="0"/>
        <w:adjustRightInd w:val="0"/>
        <w:spacing w:line="240" w:lineRule="atLeast"/>
        <w:rPr>
          <w:bCs/>
          <w:szCs w:val="24"/>
        </w:rPr>
      </w:pPr>
      <w:r w:rsidRPr="00400B46">
        <w:rPr>
          <w:bCs/>
          <w:szCs w:val="24"/>
        </w:rPr>
        <w:t xml:space="preserve">Applications for the following classes of visas must be made outside of Australia: </w:t>
      </w:r>
    </w:p>
    <w:p w:rsidR="00675DD4" w:rsidRPr="00400B46" w:rsidRDefault="00675DD4" w:rsidP="00675DD4">
      <w:pPr>
        <w:numPr>
          <w:ilvl w:val="0"/>
          <w:numId w:val="21"/>
        </w:numPr>
        <w:autoSpaceDE w:val="0"/>
        <w:autoSpaceDN w:val="0"/>
        <w:adjustRightInd w:val="0"/>
        <w:spacing w:before="0" w:line="240" w:lineRule="atLeast"/>
        <w:rPr>
          <w:bCs/>
          <w:szCs w:val="24"/>
        </w:rPr>
      </w:pPr>
      <w:r w:rsidRPr="00400B46">
        <w:rPr>
          <w:rStyle w:val="popup"/>
          <w:szCs w:val="24"/>
        </w:rPr>
        <w:t xml:space="preserve">Partner (Migrant) (Class BC) </w:t>
      </w:r>
      <w:r w:rsidRPr="00400B46">
        <w:rPr>
          <w:bCs/>
          <w:szCs w:val="24"/>
        </w:rPr>
        <w:t>visas;</w:t>
      </w:r>
    </w:p>
    <w:p w:rsidR="00675DD4" w:rsidRPr="00400B46" w:rsidRDefault="00675DD4" w:rsidP="00675DD4">
      <w:pPr>
        <w:numPr>
          <w:ilvl w:val="0"/>
          <w:numId w:val="21"/>
        </w:numPr>
        <w:autoSpaceDE w:val="0"/>
        <w:autoSpaceDN w:val="0"/>
        <w:adjustRightInd w:val="0"/>
        <w:spacing w:before="0" w:line="240" w:lineRule="atLeast"/>
        <w:rPr>
          <w:bCs/>
          <w:szCs w:val="24"/>
        </w:rPr>
      </w:pPr>
      <w:r w:rsidRPr="00400B46">
        <w:rPr>
          <w:rStyle w:val="popup"/>
          <w:szCs w:val="24"/>
        </w:rPr>
        <w:t>Partner (Provisional) (Class UF)</w:t>
      </w:r>
      <w:r w:rsidRPr="00400B46">
        <w:rPr>
          <w:bCs/>
          <w:szCs w:val="24"/>
        </w:rPr>
        <w:t xml:space="preserve"> visas; and </w:t>
      </w:r>
    </w:p>
    <w:p w:rsidR="00675DD4" w:rsidRPr="00400B46" w:rsidRDefault="00675DD4" w:rsidP="00675DD4">
      <w:pPr>
        <w:numPr>
          <w:ilvl w:val="0"/>
          <w:numId w:val="21"/>
        </w:numPr>
        <w:autoSpaceDE w:val="0"/>
        <w:autoSpaceDN w:val="0"/>
        <w:adjustRightInd w:val="0"/>
        <w:spacing w:before="0" w:line="240" w:lineRule="atLeast"/>
        <w:rPr>
          <w:bCs/>
          <w:szCs w:val="24"/>
        </w:rPr>
      </w:pPr>
      <w:r w:rsidRPr="00400B46">
        <w:rPr>
          <w:szCs w:val="24"/>
        </w:rPr>
        <w:t>Prospective Marriage (Temporary) (Class TO)</w:t>
      </w:r>
      <w:r w:rsidRPr="00400B46">
        <w:rPr>
          <w:bCs/>
          <w:szCs w:val="24"/>
        </w:rPr>
        <w:t xml:space="preserve"> visas. </w:t>
      </w:r>
    </w:p>
    <w:p w:rsidR="00675DD4" w:rsidRPr="00400B46" w:rsidRDefault="00675DD4" w:rsidP="00675DD4">
      <w:pPr>
        <w:autoSpaceDE w:val="0"/>
        <w:autoSpaceDN w:val="0"/>
        <w:adjustRightInd w:val="0"/>
        <w:spacing w:line="240" w:lineRule="atLeast"/>
        <w:rPr>
          <w:bCs/>
          <w:szCs w:val="24"/>
        </w:rPr>
      </w:pPr>
      <w:bookmarkStart w:id="9" w:name="JD_12154034140a41"/>
      <w:bookmarkEnd w:id="9"/>
      <w:r w:rsidRPr="00400B46">
        <w:rPr>
          <w:bCs/>
          <w:szCs w:val="24"/>
        </w:rPr>
        <w:t>The requirement that applications for these classes of visa be made outside Australia means that the applications must be sent to one of the department’s overseas offices, in order to be a valid application.  As presently drafted, the provisions would apply to both paper and Internet applications.</w:t>
      </w:r>
    </w:p>
    <w:p w:rsidR="00675DD4" w:rsidRPr="00400B46" w:rsidRDefault="00675DD4" w:rsidP="00675DD4">
      <w:pPr>
        <w:autoSpaceDE w:val="0"/>
        <w:autoSpaceDN w:val="0"/>
        <w:adjustRightInd w:val="0"/>
        <w:spacing w:line="240" w:lineRule="atLeast"/>
        <w:rPr>
          <w:bCs/>
          <w:szCs w:val="24"/>
        </w:rPr>
      </w:pPr>
      <w:r w:rsidRPr="00400B46">
        <w:rPr>
          <w:bCs/>
          <w:szCs w:val="24"/>
        </w:rPr>
        <w:t xml:space="preserve">These provisions need to be amended to complement the creation of Internet application </w:t>
      </w:r>
      <w:r w:rsidR="006F3E38">
        <w:rPr>
          <w:bCs/>
          <w:szCs w:val="24"/>
        </w:rPr>
        <w:br/>
      </w:r>
      <w:r w:rsidRPr="00400B46">
        <w:rPr>
          <w:bCs/>
          <w:szCs w:val="24"/>
        </w:rPr>
        <w:t xml:space="preserve">form </w:t>
      </w:r>
      <w:r w:rsidRPr="00400B46">
        <w:rPr>
          <w:bCs/>
          <w:i/>
          <w:szCs w:val="24"/>
        </w:rPr>
        <w:t>47SP (Internet)</w:t>
      </w:r>
      <w:r w:rsidRPr="00400B46">
        <w:rPr>
          <w:bCs/>
          <w:szCs w:val="24"/>
        </w:rPr>
        <w:t xml:space="preserve"> for </w:t>
      </w:r>
      <w:r w:rsidRPr="00400B46">
        <w:rPr>
          <w:rStyle w:val="popup"/>
          <w:szCs w:val="24"/>
        </w:rPr>
        <w:t xml:space="preserve">Partner (Migrant) (Class BC) </w:t>
      </w:r>
      <w:r w:rsidRPr="00400B46">
        <w:rPr>
          <w:bCs/>
          <w:szCs w:val="24"/>
        </w:rPr>
        <w:t xml:space="preserve">visas, </w:t>
      </w:r>
      <w:r w:rsidRPr="00400B46">
        <w:rPr>
          <w:rStyle w:val="popup"/>
          <w:szCs w:val="24"/>
        </w:rPr>
        <w:t>Partner (Provisional) (Class UF)</w:t>
      </w:r>
      <w:r w:rsidRPr="00400B46">
        <w:rPr>
          <w:bCs/>
          <w:szCs w:val="24"/>
        </w:rPr>
        <w:t xml:space="preserve"> visas and </w:t>
      </w:r>
      <w:r w:rsidRPr="00400B46">
        <w:rPr>
          <w:szCs w:val="24"/>
        </w:rPr>
        <w:t>Prospective Marriage (Temporary) (Class TO)</w:t>
      </w:r>
      <w:r w:rsidRPr="00400B46">
        <w:rPr>
          <w:bCs/>
          <w:szCs w:val="24"/>
        </w:rPr>
        <w:t xml:space="preserve"> visas.  This is because when an applicant makes an Internet application, that application is sent to the department’s computer systems located in Australia, which means the application is lodged (i.e. made) in Australia. If the above-mentioned provisions of Schedule 1 remain as they are, the applicants to whom those provisions apply will not be able to lodge valid applications using the Internet application forms. </w:t>
      </w:r>
    </w:p>
    <w:p w:rsidR="00675DD4" w:rsidRPr="00400B46" w:rsidRDefault="00675DD4" w:rsidP="00675DD4">
      <w:pPr>
        <w:autoSpaceDE w:val="0"/>
        <w:autoSpaceDN w:val="0"/>
        <w:adjustRightInd w:val="0"/>
        <w:spacing w:line="240" w:lineRule="atLeast"/>
        <w:rPr>
          <w:bCs/>
          <w:szCs w:val="24"/>
        </w:rPr>
      </w:pPr>
      <w:r w:rsidRPr="00400B46">
        <w:rPr>
          <w:bCs/>
          <w:szCs w:val="24"/>
        </w:rPr>
        <w:t xml:space="preserve">Paragraphs 1129(3)(a), 1220A(3)(a) and 1215(3)(a) of Schedule 1 to the </w:t>
      </w:r>
      <w:r w:rsidR="00642A18">
        <w:rPr>
          <w:szCs w:val="24"/>
        </w:rPr>
        <w:t>Principal</w:t>
      </w:r>
      <w:r w:rsidR="00642A18" w:rsidRPr="00400B46">
        <w:rPr>
          <w:szCs w:val="24"/>
        </w:rPr>
        <w:t xml:space="preserve"> </w:t>
      </w:r>
      <w:r w:rsidRPr="00400B46">
        <w:rPr>
          <w:bCs/>
          <w:szCs w:val="24"/>
        </w:rPr>
        <w:t xml:space="preserve">Regulations are to be amended so that they only apply to applications that are made using paper application forms. </w:t>
      </w:r>
    </w:p>
    <w:p w:rsidR="00675DD4" w:rsidRPr="00400B46" w:rsidRDefault="00675DD4" w:rsidP="00675DD4">
      <w:pPr>
        <w:autoSpaceDE w:val="0"/>
        <w:autoSpaceDN w:val="0"/>
        <w:adjustRightInd w:val="0"/>
        <w:spacing w:line="240" w:lineRule="atLeast"/>
        <w:rPr>
          <w:bCs/>
          <w:szCs w:val="24"/>
        </w:rPr>
      </w:pPr>
      <w:r w:rsidRPr="00400B46">
        <w:rPr>
          <w:szCs w:val="24"/>
        </w:rPr>
        <w:t xml:space="preserve">The amendments retain the legal effect of paragraphs </w:t>
      </w:r>
      <w:r w:rsidRPr="00400B46">
        <w:rPr>
          <w:bCs/>
          <w:szCs w:val="24"/>
        </w:rPr>
        <w:t xml:space="preserve">1129(3)(a), 1220A(3)(a) and 1215(3)(a) in relation to paper application forms, but also enable applicants to whom those paragraphs apply to make valid visa applications using the form </w:t>
      </w:r>
      <w:r w:rsidRPr="00400B46">
        <w:rPr>
          <w:bCs/>
          <w:i/>
          <w:szCs w:val="24"/>
        </w:rPr>
        <w:t>47SP (Internet)</w:t>
      </w:r>
      <w:r w:rsidRPr="00400B46">
        <w:rPr>
          <w:bCs/>
          <w:szCs w:val="24"/>
        </w:rPr>
        <w:t xml:space="preserve">.  </w:t>
      </w:r>
    </w:p>
    <w:p w:rsidR="00675DD4" w:rsidRPr="00400B46" w:rsidRDefault="00675DD4" w:rsidP="00675DD4">
      <w:pPr>
        <w:tabs>
          <w:tab w:val="left" w:pos="1665"/>
        </w:tabs>
        <w:rPr>
          <w:szCs w:val="24"/>
          <w:u w:val="single"/>
        </w:rPr>
      </w:pPr>
      <w:r w:rsidRPr="00400B46">
        <w:rPr>
          <w:szCs w:val="24"/>
          <w:u w:val="single"/>
        </w:rPr>
        <w:t>Amendments to ensure Internet applications do not need to be mailed or couriered to the department</w:t>
      </w:r>
    </w:p>
    <w:p w:rsidR="00675DD4" w:rsidRPr="00400B46" w:rsidRDefault="00675DD4" w:rsidP="00675DD4">
      <w:pPr>
        <w:autoSpaceDE w:val="0"/>
        <w:autoSpaceDN w:val="0"/>
        <w:adjustRightInd w:val="0"/>
        <w:spacing w:line="240" w:lineRule="atLeast"/>
        <w:rPr>
          <w:bCs/>
          <w:szCs w:val="24"/>
        </w:rPr>
      </w:pPr>
      <w:r w:rsidRPr="00400B46">
        <w:rPr>
          <w:bCs/>
          <w:szCs w:val="24"/>
        </w:rPr>
        <w:t xml:space="preserve">Applications for </w:t>
      </w:r>
      <w:r w:rsidRPr="00400B46">
        <w:rPr>
          <w:rStyle w:val="popup"/>
          <w:szCs w:val="24"/>
        </w:rPr>
        <w:t>Partner (Residence) (Class BS)</w:t>
      </w:r>
      <w:r w:rsidRPr="00400B46">
        <w:rPr>
          <w:bCs/>
          <w:szCs w:val="24"/>
        </w:rPr>
        <w:t xml:space="preserve"> visas, </w:t>
      </w:r>
      <w:r w:rsidRPr="00400B46">
        <w:rPr>
          <w:rStyle w:val="popup"/>
          <w:szCs w:val="24"/>
        </w:rPr>
        <w:t>Partner (Temporary) (Class UK)</w:t>
      </w:r>
      <w:r w:rsidRPr="00400B46">
        <w:rPr>
          <w:bCs/>
          <w:szCs w:val="24"/>
        </w:rPr>
        <w:t xml:space="preserve"> visas and </w:t>
      </w:r>
      <w:r w:rsidRPr="00400B46">
        <w:rPr>
          <w:rStyle w:val="popup"/>
          <w:szCs w:val="24"/>
        </w:rPr>
        <w:t xml:space="preserve">Partner (Migrant) (Class BC) </w:t>
      </w:r>
      <w:r w:rsidRPr="00400B46">
        <w:rPr>
          <w:bCs/>
          <w:szCs w:val="24"/>
        </w:rPr>
        <w:t>visas are required to be mailed or delivered by a courier service to a specified address.  If the application is not mailed or delivered to the specified address, it is not a valid visa application.  As presently drafted, the provisions would apply to both paper and Internet applications.</w:t>
      </w:r>
    </w:p>
    <w:p w:rsidR="00675DD4" w:rsidRPr="00400B46" w:rsidRDefault="00675DD4" w:rsidP="00675DD4">
      <w:pPr>
        <w:autoSpaceDE w:val="0"/>
        <w:autoSpaceDN w:val="0"/>
        <w:adjustRightInd w:val="0"/>
        <w:spacing w:line="240" w:lineRule="atLeast"/>
        <w:rPr>
          <w:bCs/>
          <w:szCs w:val="24"/>
        </w:rPr>
      </w:pPr>
      <w:r w:rsidRPr="00400B46">
        <w:rPr>
          <w:bCs/>
          <w:szCs w:val="24"/>
        </w:rPr>
        <w:t xml:space="preserve">These provisions need to be amended to complement the creation of Internet application forms for </w:t>
      </w:r>
      <w:r w:rsidRPr="00400B46">
        <w:rPr>
          <w:rStyle w:val="popup"/>
          <w:szCs w:val="24"/>
        </w:rPr>
        <w:t>Partner (Temporary) (Class UK)</w:t>
      </w:r>
      <w:r w:rsidRPr="00400B46">
        <w:rPr>
          <w:bCs/>
          <w:szCs w:val="24"/>
        </w:rPr>
        <w:t xml:space="preserve"> visas, </w:t>
      </w:r>
      <w:r w:rsidRPr="00400B46">
        <w:rPr>
          <w:rStyle w:val="popup"/>
          <w:szCs w:val="24"/>
        </w:rPr>
        <w:t>Partner (Migrant) (Class BC) visas and Partner (Residence) (Class BS)</w:t>
      </w:r>
      <w:r w:rsidRPr="00400B46">
        <w:rPr>
          <w:bCs/>
          <w:szCs w:val="24"/>
        </w:rPr>
        <w:t xml:space="preserve"> visas.  If the provisions remain as they are, they would require Internet applications to be mailed or couriered to the specified address.  That outcome would be inconsistent with the efficient use of the Internet to make the visa application.</w:t>
      </w:r>
    </w:p>
    <w:p w:rsidR="00675DD4" w:rsidRPr="00400B46" w:rsidRDefault="00675DD4" w:rsidP="00675DD4">
      <w:pPr>
        <w:autoSpaceDE w:val="0"/>
        <w:autoSpaceDN w:val="0"/>
        <w:adjustRightInd w:val="0"/>
        <w:spacing w:line="240" w:lineRule="atLeast"/>
        <w:rPr>
          <w:bCs/>
          <w:szCs w:val="24"/>
        </w:rPr>
      </w:pPr>
      <w:r w:rsidRPr="00400B46">
        <w:rPr>
          <w:bCs/>
          <w:szCs w:val="24"/>
        </w:rPr>
        <w:t>Paragraphs 1214C(3)(</w:t>
      </w:r>
      <w:proofErr w:type="spellStart"/>
      <w:r w:rsidRPr="00400B46">
        <w:rPr>
          <w:bCs/>
          <w:szCs w:val="24"/>
        </w:rPr>
        <w:t>fa</w:t>
      </w:r>
      <w:proofErr w:type="spellEnd"/>
      <w:r w:rsidRPr="00400B46">
        <w:rPr>
          <w:bCs/>
          <w:szCs w:val="24"/>
        </w:rPr>
        <w:t>), 1215(3)(a), 1129(3)(f), 1124B(</w:t>
      </w:r>
      <w:proofErr w:type="spellStart"/>
      <w:r w:rsidRPr="00400B46">
        <w:rPr>
          <w:bCs/>
          <w:szCs w:val="24"/>
        </w:rPr>
        <w:t>ca</w:t>
      </w:r>
      <w:proofErr w:type="spellEnd"/>
      <w:r w:rsidRPr="00400B46">
        <w:rPr>
          <w:bCs/>
          <w:szCs w:val="24"/>
        </w:rPr>
        <w:t xml:space="preserve">) and 1129(3)(a) would be amended so that they only apply to applications that are made using paper application forms. </w:t>
      </w:r>
      <w:r w:rsidRPr="00400B46">
        <w:rPr>
          <w:szCs w:val="24"/>
        </w:rPr>
        <w:t xml:space="preserve">The amendments retain the legal effect of these paragraphs </w:t>
      </w:r>
      <w:r w:rsidRPr="00400B46">
        <w:rPr>
          <w:bCs/>
          <w:szCs w:val="24"/>
        </w:rPr>
        <w:t xml:space="preserve">in relation to paper application forms. </w:t>
      </w:r>
    </w:p>
    <w:p w:rsidR="00675DD4" w:rsidRPr="00400B46" w:rsidRDefault="00675DD4" w:rsidP="00675DD4">
      <w:pPr>
        <w:autoSpaceDE w:val="0"/>
        <w:autoSpaceDN w:val="0"/>
        <w:adjustRightInd w:val="0"/>
        <w:spacing w:line="240" w:lineRule="atLeast"/>
        <w:rPr>
          <w:bCs/>
          <w:szCs w:val="24"/>
        </w:rPr>
      </w:pPr>
      <w:r w:rsidRPr="00400B46">
        <w:rPr>
          <w:bCs/>
          <w:szCs w:val="24"/>
          <w:u w:val="single"/>
        </w:rPr>
        <w:t>Amendments to fix minor typographical errors</w:t>
      </w:r>
    </w:p>
    <w:p w:rsidR="00675DD4" w:rsidRPr="00400B46" w:rsidRDefault="00675DD4" w:rsidP="00675DD4">
      <w:pPr>
        <w:keepNext/>
        <w:keepLines/>
        <w:rPr>
          <w:bCs/>
          <w:szCs w:val="24"/>
        </w:rPr>
      </w:pPr>
      <w:r w:rsidRPr="00400B46">
        <w:rPr>
          <w:szCs w:val="24"/>
        </w:rPr>
        <w:t xml:space="preserve">Amendments to Schedule 1 to the </w:t>
      </w:r>
      <w:r w:rsidR="00642A18">
        <w:rPr>
          <w:szCs w:val="24"/>
        </w:rPr>
        <w:t>Principal</w:t>
      </w:r>
      <w:r w:rsidR="00642A18" w:rsidRPr="00400B46">
        <w:rPr>
          <w:szCs w:val="24"/>
        </w:rPr>
        <w:t xml:space="preserve"> </w:t>
      </w:r>
      <w:r w:rsidRPr="00400B46">
        <w:rPr>
          <w:szCs w:val="24"/>
        </w:rPr>
        <w:t>Regulations are required to fix a small number of minor typographical errors</w:t>
      </w:r>
      <w:r w:rsidRPr="00400B46">
        <w:rPr>
          <w:i/>
          <w:szCs w:val="24"/>
        </w:rPr>
        <w:t xml:space="preserve">.  </w:t>
      </w:r>
      <w:r w:rsidRPr="00400B46">
        <w:rPr>
          <w:bCs/>
          <w:szCs w:val="24"/>
        </w:rPr>
        <w:t>The errors are technical in nature only and do not have any legal consequence.</w:t>
      </w:r>
    </w:p>
    <w:p w:rsidR="00675DD4" w:rsidRPr="00400B46" w:rsidRDefault="00675DD4" w:rsidP="00675DD4">
      <w:pPr>
        <w:keepNext/>
        <w:keepLines/>
        <w:rPr>
          <w:bCs/>
          <w:szCs w:val="24"/>
        </w:rPr>
      </w:pPr>
      <w:r w:rsidRPr="00400B46">
        <w:rPr>
          <w:bCs/>
          <w:szCs w:val="24"/>
        </w:rPr>
        <w:t xml:space="preserve">The errors that require amendment are: </w:t>
      </w:r>
    </w:p>
    <w:p w:rsidR="00675DD4" w:rsidRPr="00400B46" w:rsidRDefault="00675DD4" w:rsidP="00675DD4">
      <w:pPr>
        <w:widowControl w:val="0"/>
        <w:numPr>
          <w:ilvl w:val="0"/>
          <w:numId w:val="18"/>
        </w:numPr>
        <w:spacing w:before="0"/>
        <w:rPr>
          <w:color w:val="000000"/>
          <w:szCs w:val="24"/>
        </w:rPr>
      </w:pPr>
      <w:r w:rsidRPr="00400B46">
        <w:rPr>
          <w:color w:val="000000"/>
          <w:szCs w:val="24"/>
        </w:rPr>
        <w:t xml:space="preserve">in the table under paragraph 1402(2)(b) of Schedule 1 to the </w:t>
      </w:r>
      <w:r w:rsidR="00642A18">
        <w:rPr>
          <w:szCs w:val="24"/>
        </w:rPr>
        <w:t>Principal</w:t>
      </w:r>
      <w:r w:rsidR="00642A18" w:rsidRPr="00400B46">
        <w:rPr>
          <w:szCs w:val="24"/>
        </w:rPr>
        <w:t xml:space="preserve"> </w:t>
      </w:r>
      <w:r w:rsidRPr="00400B46">
        <w:rPr>
          <w:color w:val="000000"/>
          <w:szCs w:val="24"/>
        </w:rPr>
        <w:t xml:space="preserve">Regulations, item number '3' is there but not numbered; </w:t>
      </w:r>
    </w:p>
    <w:p w:rsidR="00675DD4" w:rsidRPr="00400B46" w:rsidRDefault="00675DD4" w:rsidP="00675DD4">
      <w:pPr>
        <w:widowControl w:val="0"/>
        <w:numPr>
          <w:ilvl w:val="0"/>
          <w:numId w:val="18"/>
        </w:numPr>
        <w:spacing w:before="0"/>
        <w:rPr>
          <w:szCs w:val="24"/>
        </w:rPr>
      </w:pPr>
      <w:r w:rsidRPr="00400B46">
        <w:rPr>
          <w:color w:val="000000"/>
          <w:szCs w:val="24"/>
        </w:rPr>
        <w:t xml:space="preserve">subparagraph 1231(2)(a)(ii) of Schedule 1 to the </w:t>
      </w:r>
      <w:r w:rsidR="00642A18">
        <w:rPr>
          <w:szCs w:val="24"/>
        </w:rPr>
        <w:t>Principal</w:t>
      </w:r>
      <w:r w:rsidR="00642A18" w:rsidRPr="00400B46">
        <w:rPr>
          <w:szCs w:val="24"/>
        </w:rPr>
        <w:t xml:space="preserve"> </w:t>
      </w:r>
      <w:r w:rsidRPr="00400B46">
        <w:rPr>
          <w:color w:val="000000"/>
          <w:szCs w:val="24"/>
        </w:rPr>
        <w:t>Regulations goes from sub-subparagraph 1231(2)(a)(ii)(A) to (C) without (B);</w:t>
      </w:r>
    </w:p>
    <w:p w:rsidR="00675DD4" w:rsidRPr="00400B46" w:rsidRDefault="00675DD4" w:rsidP="00675DD4">
      <w:pPr>
        <w:pStyle w:val="ListParagraph"/>
        <w:numPr>
          <w:ilvl w:val="0"/>
          <w:numId w:val="18"/>
        </w:numPr>
        <w:spacing w:before="0"/>
        <w:contextualSpacing w:val="0"/>
        <w:rPr>
          <w:szCs w:val="24"/>
        </w:rPr>
      </w:pPr>
      <w:r w:rsidRPr="00400B46">
        <w:rPr>
          <w:szCs w:val="24"/>
        </w:rPr>
        <w:t>item 2 in the table under paragraph 1114B(2)(b) of Schedule 1 contains minor grammatical errors; and</w:t>
      </w:r>
    </w:p>
    <w:p w:rsidR="00675DD4" w:rsidRPr="00400B46" w:rsidRDefault="00675DD4" w:rsidP="00675DD4">
      <w:pPr>
        <w:pStyle w:val="ListParagraph"/>
        <w:numPr>
          <w:ilvl w:val="0"/>
          <w:numId w:val="18"/>
        </w:numPr>
        <w:spacing w:before="0"/>
        <w:contextualSpacing w:val="0"/>
        <w:rPr>
          <w:szCs w:val="24"/>
        </w:rPr>
      </w:pPr>
      <w:r w:rsidRPr="00400B46">
        <w:rPr>
          <w:szCs w:val="24"/>
        </w:rPr>
        <w:t xml:space="preserve">item 2 in the table under paragraph 1114C(2)(b) of Schedule 1 contains minor grammatical errors. </w:t>
      </w:r>
    </w:p>
    <w:p w:rsidR="00675DD4" w:rsidRPr="00400B46" w:rsidRDefault="00675DD4" w:rsidP="00675DD4">
      <w:pPr>
        <w:keepNext/>
        <w:keepLines/>
        <w:rPr>
          <w:bCs/>
          <w:szCs w:val="24"/>
          <w:u w:val="single"/>
        </w:rPr>
      </w:pPr>
      <w:r w:rsidRPr="00400B46">
        <w:rPr>
          <w:bCs/>
          <w:szCs w:val="24"/>
          <w:u w:val="single"/>
        </w:rPr>
        <w:t>Amendment to ensure non-Internet application charge (NIAC) is paid under the following circumstances</w:t>
      </w:r>
    </w:p>
    <w:p w:rsidR="00D92497" w:rsidRDefault="00675DD4" w:rsidP="00D92497">
      <w:pPr>
        <w:autoSpaceDE w:val="0"/>
        <w:autoSpaceDN w:val="0"/>
        <w:adjustRightInd w:val="0"/>
        <w:spacing w:line="240" w:lineRule="atLeast"/>
        <w:rPr>
          <w:bCs/>
          <w:szCs w:val="24"/>
        </w:rPr>
      </w:pPr>
      <w:r w:rsidRPr="00400B46">
        <w:rPr>
          <w:bCs/>
          <w:szCs w:val="24"/>
        </w:rPr>
        <w:t xml:space="preserve">Paragraph 2.12C(7)(b) of the </w:t>
      </w:r>
      <w:r w:rsidR="00642A18">
        <w:rPr>
          <w:szCs w:val="24"/>
        </w:rPr>
        <w:t>Principal</w:t>
      </w:r>
      <w:r w:rsidR="00642A18" w:rsidRPr="00400B46">
        <w:rPr>
          <w:szCs w:val="24"/>
        </w:rPr>
        <w:t xml:space="preserve"> </w:t>
      </w:r>
      <w:r w:rsidRPr="00400B46">
        <w:rPr>
          <w:bCs/>
          <w:szCs w:val="24"/>
        </w:rPr>
        <w:t xml:space="preserve">Regulations which specifies the circumstances in which the NIAC is payable. </w:t>
      </w:r>
    </w:p>
    <w:p w:rsidR="00D92497" w:rsidRDefault="00675DD4" w:rsidP="00D92497">
      <w:pPr>
        <w:autoSpaceDE w:val="0"/>
        <w:autoSpaceDN w:val="0"/>
        <w:adjustRightInd w:val="0"/>
        <w:spacing w:line="240" w:lineRule="atLeast"/>
        <w:rPr>
          <w:bCs/>
          <w:szCs w:val="24"/>
        </w:rPr>
      </w:pPr>
      <w:r w:rsidRPr="00400B46">
        <w:rPr>
          <w:bCs/>
          <w:szCs w:val="24"/>
        </w:rPr>
        <w:t xml:space="preserve">The Legislative Instrument repeals paragraph 2.12C(7)(b) and substitutes it with a provision allowing internet applications to ensure that the NIAC is only applied in situations where the regulations provide that a visa application can be made online. </w:t>
      </w:r>
    </w:p>
    <w:p w:rsidR="00D92497" w:rsidRDefault="00675DD4" w:rsidP="00D92497">
      <w:pPr>
        <w:autoSpaceDE w:val="0"/>
        <w:autoSpaceDN w:val="0"/>
        <w:adjustRightInd w:val="0"/>
        <w:spacing w:line="240" w:lineRule="atLeast"/>
        <w:rPr>
          <w:bCs/>
          <w:szCs w:val="24"/>
        </w:rPr>
      </w:pPr>
      <w:r w:rsidRPr="00400B46">
        <w:rPr>
          <w:bCs/>
          <w:szCs w:val="24"/>
          <w:u w:val="single"/>
        </w:rPr>
        <w:t>Amendments to include further information relating to the first instalment of the visa application charge, subsequent temporary application charge (STAC) and NIAC</w:t>
      </w:r>
    </w:p>
    <w:p w:rsidR="00D92497" w:rsidRDefault="00675DD4" w:rsidP="00D92497">
      <w:pPr>
        <w:autoSpaceDE w:val="0"/>
        <w:autoSpaceDN w:val="0"/>
        <w:adjustRightInd w:val="0"/>
        <w:spacing w:line="240" w:lineRule="atLeast"/>
        <w:rPr>
          <w:bCs/>
          <w:szCs w:val="24"/>
        </w:rPr>
      </w:pPr>
      <w:r w:rsidRPr="00400B46">
        <w:rPr>
          <w:bCs/>
          <w:szCs w:val="24"/>
        </w:rPr>
        <w:t xml:space="preserve">The Legislative Instrument adds the following note at the end of </w:t>
      </w:r>
      <w:proofErr w:type="spellStart"/>
      <w:r w:rsidRPr="00400B46">
        <w:rPr>
          <w:bCs/>
          <w:szCs w:val="24"/>
        </w:rPr>
        <w:t>subitem</w:t>
      </w:r>
      <w:proofErr w:type="spellEnd"/>
      <w:r w:rsidRPr="00400B46">
        <w:rPr>
          <w:bCs/>
          <w:szCs w:val="24"/>
        </w:rPr>
        <w:t xml:space="preserve"> 1128(2) and </w:t>
      </w:r>
      <w:proofErr w:type="spellStart"/>
      <w:r w:rsidRPr="00400B46">
        <w:rPr>
          <w:bCs/>
          <w:szCs w:val="24"/>
        </w:rPr>
        <w:t>subitem</w:t>
      </w:r>
      <w:proofErr w:type="spellEnd"/>
      <w:r w:rsidRPr="00400B46">
        <w:rPr>
          <w:bCs/>
          <w:szCs w:val="24"/>
        </w:rPr>
        <w:t xml:space="preserve"> 1236(2) of Schedule 1 of the </w:t>
      </w:r>
      <w:r w:rsidR="00642A18">
        <w:rPr>
          <w:szCs w:val="24"/>
        </w:rPr>
        <w:t>Principal</w:t>
      </w:r>
      <w:r w:rsidR="00642A18" w:rsidRPr="00400B46">
        <w:rPr>
          <w:szCs w:val="24"/>
        </w:rPr>
        <w:t xml:space="preserve"> </w:t>
      </w:r>
      <w:r w:rsidRPr="00400B46">
        <w:rPr>
          <w:bCs/>
          <w:szCs w:val="24"/>
        </w:rPr>
        <w:t xml:space="preserve">Regulations: </w:t>
      </w:r>
    </w:p>
    <w:p w:rsidR="00D92497" w:rsidRDefault="00675DD4" w:rsidP="00D92497">
      <w:pPr>
        <w:autoSpaceDE w:val="0"/>
        <w:autoSpaceDN w:val="0"/>
        <w:adjustRightInd w:val="0"/>
        <w:spacing w:line="240" w:lineRule="atLeast"/>
        <w:rPr>
          <w:bCs/>
          <w:i/>
          <w:szCs w:val="24"/>
        </w:rPr>
      </w:pPr>
      <w:r w:rsidRPr="00400B46">
        <w:rPr>
          <w:bCs/>
          <w:i/>
          <w:szCs w:val="24"/>
        </w:rPr>
        <w:t xml:space="preserve">Note: </w:t>
      </w:r>
      <w:r w:rsidRPr="00400B46">
        <w:rPr>
          <w:bCs/>
          <w:i/>
          <w:szCs w:val="24"/>
        </w:rPr>
        <w:tab/>
        <w:t>Regulation 2.12C explains the components of the first instalment of visa application charge and specifies the amounts of the subsequent temporary application charge and non-Internet application charge. Not all of the components may apply to a particular application</w:t>
      </w:r>
      <w:r w:rsidR="00D92497">
        <w:rPr>
          <w:bCs/>
          <w:i/>
          <w:szCs w:val="24"/>
        </w:rPr>
        <w:t>.</w:t>
      </w:r>
    </w:p>
    <w:p w:rsidR="00675DD4" w:rsidRPr="00400B46" w:rsidRDefault="00675DD4" w:rsidP="00D92497">
      <w:pPr>
        <w:autoSpaceDE w:val="0"/>
        <w:autoSpaceDN w:val="0"/>
        <w:adjustRightInd w:val="0"/>
        <w:spacing w:line="240" w:lineRule="atLeast"/>
        <w:rPr>
          <w:bCs/>
          <w:i/>
          <w:szCs w:val="24"/>
        </w:rPr>
      </w:pPr>
      <w:r w:rsidRPr="00400B46">
        <w:rPr>
          <w:bCs/>
          <w:i/>
          <w:szCs w:val="24"/>
        </w:rPr>
        <w:t xml:space="preserve">Additional applicant charge is paid by an applicant who claims to be a member of the family unit of another applicant and seeks to combine the application with that applicant’s application. </w:t>
      </w:r>
    </w:p>
    <w:p w:rsidR="00675DD4" w:rsidRPr="00400B46" w:rsidRDefault="00675DD4" w:rsidP="00675DD4">
      <w:pPr>
        <w:keepNext/>
        <w:keepLines/>
        <w:rPr>
          <w:bCs/>
          <w:szCs w:val="24"/>
        </w:rPr>
      </w:pPr>
      <w:r w:rsidRPr="00400B46">
        <w:rPr>
          <w:bCs/>
          <w:szCs w:val="24"/>
        </w:rPr>
        <w:t xml:space="preserve">The purpose of this inclusion is to: </w:t>
      </w:r>
    </w:p>
    <w:p w:rsidR="00675DD4" w:rsidRPr="00400B46" w:rsidRDefault="00675DD4" w:rsidP="00675DD4">
      <w:pPr>
        <w:keepNext/>
        <w:keepLines/>
        <w:numPr>
          <w:ilvl w:val="0"/>
          <w:numId w:val="20"/>
        </w:numPr>
        <w:spacing w:before="0"/>
        <w:rPr>
          <w:bCs/>
          <w:szCs w:val="24"/>
        </w:rPr>
      </w:pPr>
      <w:r w:rsidRPr="00400B46">
        <w:rPr>
          <w:bCs/>
          <w:szCs w:val="24"/>
        </w:rPr>
        <w:t xml:space="preserve">provide visa applicants with more information relating to the visa application charge; specify amounts for the STAC and NIAC; and </w:t>
      </w:r>
    </w:p>
    <w:p w:rsidR="00675DD4" w:rsidRPr="00400B46" w:rsidRDefault="00675DD4" w:rsidP="00675DD4">
      <w:pPr>
        <w:keepNext/>
        <w:keepLines/>
        <w:numPr>
          <w:ilvl w:val="0"/>
          <w:numId w:val="20"/>
        </w:numPr>
        <w:spacing w:before="0"/>
        <w:rPr>
          <w:bCs/>
          <w:szCs w:val="24"/>
        </w:rPr>
      </w:pPr>
      <w:r w:rsidRPr="00400B46">
        <w:rPr>
          <w:bCs/>
          <w:szCs w:val="24"/>
        </w:rPr>
        <w:t xml:space="preserve">stipulate the circumstances in which visa applicants are liable to pay such charges. </w:t>
      </w:r>
    </w:p>
    <w:p w:rsidR="00675DD4" w:rsidRPr="00400B46" w:rsidRDefault="00675DD4" w:rsidP="00675DD4">
      <w:pPr>
        <w:spacing w:before="120" w:after="120"/>
        <w:rPr>
          <w:b/>
          <w:szCs w:val="24"/>
        </w:rPr>
      </w:pPr>
      <w:r w:rsidRPr="00400B46">
        <w:rPr>
          <w:b/>
          <w:szCs w:val="24"/>
        </w:rPr>
        <w:br/>
        <w:t>Human rights implications</w:t>
      </w:r>
    </w:p>
    <w:p w:rsidR="00675DD4" w:rsidRPr="00400B46" w:rsidRDefault="00675DD4" w:rsidP="00675DD4">
      <w:pPr>
        <w:spacing w:before="120" w:after="120"/>
        <w:rPr>
          <w:szCs w:val="24"/>
        </w:rPr>
      </w:pPr>
      <w:r w:rsidRPr="00400B46">
        <w:rPr>
          <w:szCs w:val="24"/>
        </w:rPr>
        <w:t>The Department of Immigration and Border Protection has considered the amendments against the seven key international human rights treaties. As the amendments are technical in nature only and do not substantively affect individuals’ rights or interests, Australia’s obligations under the seven core international treaties are not engaged.</w:t>
      </w:r>
    </w:p>
    <w:p w:rsidR="00675DD4" w:rsidRPr="00400B46" w:rsidRDefault="00675DD4" w:rsidP="00675DD4">
      <w:pPr>
        <w:spacing w:before="120" w:after="120"/>
        <w:rPr>
          <w:b/>
          <w:szCs w:val="24"/>
        </w:rPr>
      </w:pPr>
      <w:r w:rsidRPr="00400B46">
        <w:rPr>
          <w:b/>
          <w:szCs w:val="24"/>
        </w:rPr>
        <w:br/>
        <w:t xml:space="preserve">Conclusion </w:t>
      </w:r>
    </w:p>
    <w:p w:rsidR="00675DD4" w:rsidRPr="00400B46" w:rsidRDefault="00675DD4" w:rsidP="00675DD4">
      <w:pPr>
        <w:rPr>
          <w:szCs w:val="24"/>
        </w:rPr>
      </w:pPr>
      <w:r w:rsidRPr="00400B46">
        <w:rPr>
          <w:szCs w:val="24"/>
        </w:rPr>
        <w:t xml:space="preserve">The legislative change in the </w:t>
      </w:r>
      <w:r w:rsidRPr="00400B46">
        <w:rPr>
          <w:i/>
          <w:szCs w:val="24"/>
        </w:rPr>
        <w:t>Migration Regulations 1994</w:t>
      </w:r>
      <w:r w:rsidRPr="00400B46">
        <w:rPr>
          <w:szCs w:val="24"/>
        </w:rPr>
        <w:t xml:space="preserve"> is compatible with human rights insofar as the rights articulated in the seven core human rights treaties are not engaged.</w:t>
      </w:r>
    </w:p>
    <w:p w:rsidR="00675DD4" w:rsidRPr="00400B46" w:rsidRDefault="00675DD4" w:rsidP="00675DD4">
      <w:pPr>
        <w:jc w:val="center"/>
        <w:rPr>
          <w:b/>
          <w:szCs w:val="24"/>
        </w:rPr>
      </w:pPr>
      <w:r w:rsidRPr="00400B46">
        <w:rPr>
          <w:b/>
          <w:szCs w:val="24"/>
        </w:rPr>
        <w:t>The Hon. Scott Morrison MP, Minister for Immigration and Border Protection</w:t>
      </w:r>
    </w:p>
    <w:p w:rsidR="00675DD4" w:rsidRPr="00400B46" w:rsidRDefault="00675DD4" w:rsidP="00675DD4">
      <w:pPr>
        <w:rPr>
          <w:szCs w:val="24"/>
        </w:rPr>
      </w:pPr>
    </w:p>
    <w:p w:rsidR="00675DD4" w:rsidRPr="00400B46" w:rsidRDefault="00675DD4" w:rsidP="00675DD4">
      <w:pPr>
        <w:autoSpaceDE w:val="0"/>
        <w:autoSpaceDN w:val="0"/>
        <w:adjustRightInd w:val="0"/>
        <w:spacing w:line="240" w:lineRule="atLeast"/>
        <w:rPr>
          <w:bCs/>
          <w:szCs w:val="24"/>
        </w:rPr>
      </w:pPr>
    </w:p>
    <w:p w:rsidR="007000C1" w:rsidRPr="00493E2F" w:rsidRDefault="007000C1" w:rsidP="00884EE2">
      <w:pPr>
        <w:tabs>
          <w:tab w:val="left" w:pos="8364"/>
        </w:tabs>
        <w:spacing w:before="0"/>
        <w:ind w:right="662"/>
        <w:jc w:val="right"/>
        <w:sectPr w:rsidR="007000C1" w:rsidRPr="00493E2F" w:rsidSect="00884EE2">
          <w:pgSz w:w="11906" w:h="16838"/>
          <w:pgMar w:top="1440" w:right="1440" w:bottom="1440" w:left="1440" w:header="709" w:footer="709" w:gutter="0"/>
          <w:pgNumType w:start="1"/>
          <w:cols w:space="708"/>
          <w:titlePg/>
          <w:docGrid w:linePitch="360"/>
        </w:sectPr>
      </w:pPr>
    </w:p>
    <w:p w:rsidR="007000C1" w:rsidRPr="00493E2F" w:rsidRDefault="007000C1" w:rsidP="000839BF">
      <w:pPr>
        <w:keepNext/>
        <w:keepLines/>
        <w:tabs>
          <w:tab w:val="left" w:pos="8364"/>
        </w:tabs>
        <w:spacing w:before="0"/>
        <w:ind w:right="663"/>
        <w:jc w:val="right"/>
        <w:rPr>
          <w:u w:val="single"/>
        </w:rPr>
      </w:pPr>
      <w:r w:rsidRPr="00493E2F">
        <w:rPr>
          <w:u w:val="single"/>
        </w:rPr>
        <w:t>ATTACHMENT C</w:t>
      </w:r>
    </w:p>
    <w:p w:rsidR="007000C1" w:rsidRPr="00493E2F" w:rsidRDefault="007000C1" w:rsidP="000839BF">
      <w:pPr>
        <w:keepNext/>
        <w:keepLines/>
        <w:tabs>
          <w:tab w:val="left" w:pos="8364"/>
        </w:tabs>
        <w:spacing w:before="0"/>
        <w:ind w:right="663"/>
        <w:jc w:val="right"/>
      </w:pPr>
    </w:p>
    <w:p w:rsidR="007000C1" w:rsidRPr="00493E2F" w:rsidRDefault="007000C1" w:rsidP="000839BF">
      <w:pPr>
        <w:keepNext/>
        <w:keepLines/>
        <w:tabs>
          <w:tab w:val="left" w:pos="8364"/>
        </w:tabs>
        <w:spacing w:before="0"/>
        <w:ind w:right="663"/>
        <w:jc w:val="right"/>
      </w:pPr>
    </w:p>
    <w:p w:rsidR="002C4F19" w:rsidRPr="009E2146" w:rsidRDefault="002C4F19" w:rsidP="002C4F19">
      <w:pPr>
        <w:keepNext/>
        <w:keepLines/>
        <w:spacing w:before="0"/>
        <w:ind w:right="748"/>
        <w:rPr>
          <w:b/>
          <w:u w:val="single"/>
        </w:rPr>
      </w:pPr>
      <w:r w:rsidRPr="009E2146">
        <w:rPr>
          <w:b/>
          <w:u w:val="single"/>
        </w:rPr>
        <w:t xml:space="preserve">Details of the </w:t>
      </w:r>
      <w:r w:rsidRPr="009E2146">
        <w:rPr>
          <w:b/>
          <w:i/>
          <w:u w:val="single"/>
        </w:rPr>
        <w:t>Migration Amendment (Internet Applications and Related Matters) Regulation 2013</w:t>
      </w:r>
    </w:p>
    <w:p w:rsidR="002C4F19" w:rsidRPr="009E2146" w:rsidRDefault="002C4F19" w:rsidP="002C4F19">
      <w:pPr>
        <w:keepNext/>
        <w:keepLines/>
        <w:spacing w:before="0"/>
        <w:ind w:right="748"/>
      </w:pPr>
    </w:p>
    <w:p w:rsidR="002C4F19" w:rsidRPr="009E2146" w:rsidRDefault="002C4F19" w:rsidP="002C4F19">
      <w:pPr>
        <w:keepNext/>
        <w:keepLines/>
        <w:spacing w:before="0"/>
        <w:ind w:right="748"/>
      </w:pPr>
      <w:r w:rsidRPr="009E2146">
        <w:rPr>
          <w:u w:val="single"/>
        </w:rPr>
        <w:t>Section 1 – Name of Regulation</w:t>
      </w:r>
    </w:p>
    <w:p w:rsidR="002C4F19" w:rsidRPr="009E2146" w:rsidRDefault="002C4F19" w:rsidP="002C4F19">
      <w:pPr>
        <w:keepNext/>
        <w:keepLines/>
        <w:spacing w:before="0"/>
        <w:ind w:right="748"/>
      </w:pPr>
    </w:p>
    <w:p w:rsidR="002C4F19" w:rsidRPr="00457E9D" w:rsidRDefault="002C4F19" w:rsidP="002C4F19">
      <w:pPr>
        <w:keepNext/>
        <w:keepLines/>
        <w:spacing w:before="0"/>
        <w:ind w:right="748"/>
      </w:pPr>
      <w:r w:rsidRPr="009E2146">
        <w:t>This section provide</w:t>
      </w:r>
      <w:r w:rsidR="00642A18">
        <w:t>s</w:t>
      </w:r>
      <w:r w:rsidRPr="009E2146">
        <w:t xml:space="preserve"> that this </w:t>
      </w:r>
      <w:r>
        <w:t>R</w:t>
      </w:r>
      <w:r w:rsidRPr="009E2146">
        <w:t xml:space="preserve">egulation is the </w:t>
      </w:r>
      <w:r w:rsidRPr="009E2146">
        <w:rPr>
          <w:i/>
        </w:rPr>
        <w:t xml:space="preserve">Migration Amendment (Internet Applications and Related Matters) Regulation 2013 </w:t>
      </w:r>
      <w:r w:rsidRPr="009E2146">
        <w:t>(‘the Regulation’).</w:t>
      </w:r>
    </w:p>
    <w:p w:rsidR="002C4F19" w:rsidRPr="00457E9D" w:rsidRDefault="002C4F19" w:rsidP="002C4F19">
      <w:pPr>
        <w:spacing w:before="0"/>
        <w:ind w:right="748"/>
      </w:pPr>
    </w:p>
    <w:p w:rsidR="002C4F19" w:rsidRPr="00457E9D" w:rsidRDefault="002C4F19" w:rsidP="002C4F19">
      <w:pPr>
        <w:keepNext/>
        <w:keepLines/>
        <w:spacing w:before="0"/>
        <w:ind w:right="748"/>
        <w:rPr>
          <w:u w:val="single"/>
        </w:rPr>
      </w:pPr>
      <w:r w:rsidRPr="00457E9D">
        <w:rPr>
          <w:u w:val="single"/>
        </w:rPr>
        <w:t>Section 2 – Commencement</w:t>
      </w:r>
    </w:p>
    <w:p w:rsidR="002C4F19" w:rsidRPr="00457E9D" w:rsidRDefault="002C4F19" w:rsidP="002C4F19">
      <w:pPr>
        <w:keepNext/>
        <w:keepLines/>
        <w:spacing w:before="0"/>
        <w:ind w:right="748"/>
      </w:pPr>
    </w:p>
    <w:p w:rsidR="002C4F19" w:rsidRPr="00457E9D" w:rsidRDefault="002C4F19" w:rsidP="002C4F19">
      <w:pPr>
        <w:keepNext/>
        <w:keepLines/>
        <w:spacing w:before="0"/>
        <w:ind w:right="748"/>
      </w:pPr>
      <w:r w:rsidRPr="00457E9D">
        <w:t>This section provide</w:t>
      </w:r>
      <w:r w:rsidR="00642A18">
        <w:t>s</w:t>
      </w:r>
      <w:r w:rsidRPr="00457E9D">
        <w:t xml:space="preserve"> that the Regulation commences on </w:t>
      </w:r>
      <w:r>
        <w:t>23 November</w:t>
      </w:r>
      <w:r w:rsidRPr="00457E9D">
        <w:t> 2013.</w:t>
      </w:r>
    </w:p>
    <w:p w:rsidR="002C4F19" w:rsidRPr="00457E9D" w:rsidRDefault="002C4F19" w:rsidP="002C4F19">
      <w:pPr>
        <w:spacing w:before="0"/>
        <w:ind w:right="748"/>
      </w:pPr>
    </w:p>
    <w:p w:rsidR="002C4F19" w:rsidRPr="00457E9D" w:rsidRDefault="002C4F19" w:rsidP="002C4F19">
      <w:pPr>
        <w:spacing w:before="0"/>
        <w:ind w:right="748"/>
      </w:pPr>
      <w:r w:rsidRPr="00457E9D">
        <w:t>The purpose of this section is to provide for when the amendments made by the Regulation would commence.</w:t>
      </w:r>
    </w:p>
    <w:p w:rsidR="002C4F19" w:rsidRPr="00457E9D" w:rsidRDefault="002C4F19" w:rsidP="002C4F19">
      <w:pPr>
        <w:spacing w:before="0"/>
        <w:ind w:right="748"/>
      </w:pPr>
    </w:p>
    <w:p w:rsidR="002C4F19" w:rsidRPr="00457E9D" w:rsidRDefault="002C4F19" w:rsidP="002C4F19">
      <w:pPr>
        <w:keepNext/>
        <w:keepLines/>
        <w:spacing w:before="0"/>
        <w:ind w:right="748"/>
      </w:pPr>
      <w:r w:rsidRPr="00457E9D">
        <w:rPr>
          <w:u w:val="single"/>
        </w:rPr>
        <w:t>Section 3 – Authority</w:t>
      </w:r>
    </w:p>
    <w:p w:rsidR="002C4F19" w:rsidRPr="00457E9D" w:rsidRDefault="002C4F19" w:rsidP="002C4F19">
      <w:pPr>
        <w:keepNext/>
        <w:keepLines/>
        <w:spacing w:before="0"/>
        <w:ind w:right="748"/>
      </w:pPr>
    </w:p>
    <w:p w:rsidR="002C4F19" w:rsidRPr="00457E9D" w:rsidRDefault="002C4F19" w:rsidP="002C4F19">
      <w:pPr>
        <w:keepNext/>
        <w:keepLines/>
        <w:spacing w:before="0"/>
        <w:ind w:right="748"/>
      </w:pPr>
      <w:r w:rsidRPr="00457E9D">
        <w:t>This section provide</w:t>
      </w:r>
      <w:r w:rsidR="00642A18">
        <w:t>s</w:t>
      </w:r>
      <w:r w:rsidRPr="00457E9D">
        <w:t xml:space="preserve"> that the Regulation is made under the </w:t>
      </w:r>
      <w:r>
        <w:rPr>
          <w:i/>
        </w:rPr>
        <w:t>Migration </w:t>
      </w:r>
      <w:r w:rsidRPr="00457E9D">
        <w:rPr>
          <w:i/>
        </w:rPr>
        <w:t>Act 1958</w:t>
      </w:r>
      <w:r w:rsidRPr="00457E9D">
        <w:t xml:space="preserve"> (‘the Act’).</w:t>
      </w:r>
    </w:p>
    <w:p w:rsidR="002C4F19" w:rsidRPr="00457E9D" w:rsidRDefault="002C4F19" w:rsidP="002C4F19">
      <w:pPr>
        <w:spacing w:before="0"/>
        <w:ind w:right="748"/>
      </w:pPr>
    </w:p>
    <w:p w:rsidR="002C4F19" w:rsidRPr="00457E9D" w:rsidRDefault="002C4F19" w:rsidP="002C4F19">
      <w:pPr>
        <w:spacing w:before="0"/>
        <w:ind w:right="748"/>
      </w:pPr>
      <w:r w:rsidRPr="00457E9D">
        <w:t xml:space="preserve">The purpose of this section is to set out the Act under which the Regulation </w:t>
      </w:r>
      <w:r w:rsidR="00C84CA1">
        <w:t>is</w:t>
      </w:r>
      <w:r w:rsidRPr="00457E9D">
        <w:t xml:space="preserve"> made.</w:t>
      </w:r>
    </w:p>
    <w:p w:rsidR="002C4F19" w:rsidRPr="00457E9D" w:rsidRDefault="002C4F19" w:rsidP="002C4F19">
      <w:pPr>
        <w:spacing w:before="0"/>
        <w:ind w:right="748"/>
      </w:pPr>
    </w:p>
    <w:p w:rsidR="002C4F19" w:rsidRPr="00457E9D" w:rsidRDefault="002C4F19" w:rsidP="002C4F19">
      <w:pPr>
        <w:keepNext/>
        <w:keepLines/>
        <w:spacing w:before="0"/>
        <w:ind w:right="748"/>
      </w:pPr>
      <w:r w:rsidRPr="00457E9D">
        <w:rPr>
          <w:u w:val="single"/>
        </w:rPr>
        <w:t>Section 4 – Schedule(s)</w:t>
      </w:r>
    </w:p>
    <w:p w:rsidR="002C4F19" w:rsidRPr="00457E9D" w:rsidRDefault="002C4F19" w:rsidP="002C4F19">
      <w:pPr>
        <w:keepNext/>
        <w:keepLines/>
        <w:spacing w:before="0"/>
        <w:ind w:right="748"/>
      </w:pPr>
    </w:p>
    <w:p w:rsidR="002C4F19" w:rsidRPr="00457E9D" w:rsidRDefault="002C4F19" w:rsidP="002C4F19">
      <w:pPr>
        <w:keepNext/>
        <w:keepLines/>
        <w:spacing w:before="0"/>
        <w:ind w:right="748"/>
      </w:pPr>
      <w:r w:rsidRPr="00457E9D">
        <w:t>This section provide</w:t>
      </w:r>
      <w:r w:rsidR="00C84CA1">
        <w:t>s</w:t>
      </w:r>
      <w:r w:rsidRPr="00457E9D">
        <w:t xml:space="preserve"> that each instrument that is specified in a Schedule to the Regulation is amended or repealed as set out in the applicable items in the Schedule concerned, and any other item in a Schedule to the Regulation has effect according to its terms.</w:t>
      </w:r>
    </w:p>
    <w:p w:rsidR="002C4F19" w:rsidRPr="00457E9D" w:rsidRDefault="002C4F19" w:rsidP="002C4F19">
      <w:pPr>
        <w:spacing w:before="0"/>
        <w:ind w:right="748"/>
      </w:pPr>
    </w:p>
    <w:p w:rsidR="002C4F19" w:rsidRPr="00457E9D" w:rsidRDefault="002C4F19" w:rsidP="002C4F19">
      <w:pPr>
        <w:spacing w:before="0"/>
        <w:ind w:right="748"/>
      </w:pPr>
      <w:r w:rsidRPr="00457E9D">
        <w:t xml:space="preserve">The purpose of this section is to provide for how the amendments in the Regulation </w:t>
      </w:r>
      <w:r w:rsidR="00C84CA1">
        <w:t>will</w:t>
      </w:r>
      <w:r w:rsidRPr="00457E9D">
        <w:t xml:space="preserve"> operate.</w:t>
      </w:r>
    </w:p>
    <w:p w:rsidR="002C4F19" w:rsidRPr="00457E9D" w:rsidRDefault="002C4F19" w:rsidP="002C4F19">
      <w:pPr>
        <w:spacing w:before="0"/>
        <w:ind w:right="748"/>
      </w:pPr>
    </w:p>
    <w:p w:rsidR="002C4F19" w:rsidRPr="00457E9D" w:rsidRDefault="002C4F19" w:rsidP="002C4F19">
      <w:pPr>
        <w:keepNext/>
        <w:keepLines/>
        <w:spacing w:before="0"/>
        <w:ind w:right="748"/>
        <w:rPr>
          <w:b/>
        </w:rPr>
      </w:pPr>
      <w:r w:rsidRPr="00457E9D">
        <w:rPr>
          <w:b/>
          <w:u w:val="single"/>
        </w:rPr>
        <w:t xml:space="preserve">Schedule 1 – Amendment of </w:t>
      </w:r>
      <w:r w:rsidRPr="00457E9D">
        <w:rPr>
          <w:b/>
          <w:i/>
          <w:u w:val="single"/>
        </w:rPr>
        <w:t>Migration Regulations 1994</w:t>
      </w:r>
    </w:p>
    <w:p w:rsidR="002C4F19" w:rsidRPr="00457E9D" w:rsidRDefault="002C4F19" w:rsidP="002C4F19">
      <w:pPr>
        <w:keepNext/>
        <w:keepLines/>
        <w:spacing w:before="0"/>
        <w:ind w:right="748"/>
      </w:pPr>
    </w:p>
    <w:p w:rsidR="002C4F19" w:rsidRPr="009E2146" w:rsidRDefault="002C4F19" w:rsidP="002C4F19">
      <w:pPr>
        <w:keepNext/>
        <w:keepLines/>
        <w:spacing w:before="0"/>
        <w:ind w:right="748"/>
        <w:rPr>
          <w:u w:val="single"/>
        </w:rPr>
      </w:pPr>
      <w:r w:rsidRPr="009E2146">
        <w:rPr>
          <w:u w:val="single"/>
        </w:rPr>
        <w:t xml:space="preserve">Item [1] – </w:t>
      </w:r>
      <w:r w:rsidRPr="009E2146">
        <w:rPr>
          <w:bCs/>
          <w:sz w:val="23"/>
          <w:szCs w:val="23"/>
          <w:u w:val="single"/>
        </w:rPr>
        <w:t>Paragraph 2.12C(7)(b)</w:t>
      </w:r>
    </w:p>
    <w:p w:rsidR="002C4F19" w:rsidRDefault="002C4F19" w:rsidP="002C4F19">
      <w:pPr>
        <w:keepNext/>
        <w:keepLines/>
        <w:spacing w:before="0"/>
        <w:ind w:right="748"/>
        <w:rPr>
          <w:u w:val="single"/>
        </w:rPr>
      </w:pPr>
    </w:p>
    <w:p w:rsidR="002C4F19" w:rsidRPr="00A7553B" w:rsidRDefault="002C4F19" w:rsidP="002C4F19">
      <w:pPr>
        <w:autoSpaceDE w:val="0"/>
        <w:autoSpaceDN w:val="0"/>
        <w:adjustRightInd w:val="0"/>
        <w:spacing w:before="0"/>
        <w:ind w:right="-20"/>
        <w:rPr>
          <w:rFonts w:eastAsiaTheme="minorHAnsi"/>
          <w:szCs w:val="24"/>
          <w:lang w:eastAsia="en-US"/>
        </w:rPr>
      </w:pPr>
      <w:r w:rsidRPr="005D42C6">
        <w:rPr>
          <w:szCs w:val="24"/>
        </w:rPr>
        <w:t>This item repeal</w:t>
      </w:r>
      <w:r w:rsidR="00C84CA1">
        <w:rPr>
          <w:szCs w:val="24"/>
        </w:rPr>
        <w:t>s</w:t>
      </w:r>
      <w:r w:rsidRPr="005D42C6">
        <w:rPr>
          <w:szCs w:val="24"/>
        </w:rPr>
        <w:t xml:space="preserve"> paragraph 2.12C(7)(b) and substitute</w:t>
      </w:r>
      <w:r>
        <w:rPr>
          <w:szCs w:val="24"/>
        </w:rPr>
        <w:t xml:space="preserve"> </w:t>
      </w:r>
      <w:r>
        <w:rPr>
          <w:rFonts w:eastAsiaTheme="minorHAnsi"/>
          <w:spacing w:val="1"/>
          <w:position w:val="1"/>
          <w:szCs w:val="24"/>
          <w:lang w:eastAsia="en-US"/>
        </w:rPr>
        <w:t>“</w:t>
      </w:r>
      <w:r w:rsidRPr="00A7553B">
        <w:rPr>
          <w:rFonts w:eastAsiaTheme="minorHAnsi"/>
          <w:spacing w:val="1"/>
          <w:position w:val="1"/>
          <w:szCs w:val="24"/>
          <w:lang w:eastAsia="en-US"/>
        </w:rPr>
        <w:t>(b</w:t>
      </w:r>
      <w:r w:rsidRPr="00A7553B">
        <w:rPr>
          <w:rFonts w:eastAsiaTheme="minorHAnsi"/>
          <w:position w:val="1"/>
          <w:szCs w:val="24"/>
          <w:lang w:eastAsia="en-US"/>
        </w:rPr>
        <w:t>)</w:t>
      </w:r>
      <w:r w:rsidRPr="00A7553B">
        <w:rPr>
          <w:rFonts w:eastAsiaTheme="minorHAnsi"/>
          <w:spacing w:val="1"/>
          <w:position w:val="1"/>
          <w:szCs w:val="24"/>
          <w:lang w:eastAsia="en-US"/>
        </w:rPr>
        <w:t xml:space="preserve"> t</w:t>
      </w:r>
      <w:r w:rsidRPr="00A7553B">
        <w:rPr>
          <w:rFonts w:eastAsiaTheme="minorHAnsi"/>
          <w:position w:val="1"/>
          <w:szCs w:val="24"/>
          <w:lang w:eastAsia="en-US"/>
        </w:rPr>
        <w:t>he</w:t>
      </w:r>
      <w:r w:rsidRPr="00A7553B">
        <w:rPr>
          <w:rFonts w:eastAsiaTheme="minorHAnsi"/>
          <w:spacing w:val="-2"/>
          <w:position w:val="1"/>
          <w:szCs w:val="24"/>
          <w:lang w:eastAsia="en-US"/>
        </w:rPr>
        <w:t>s</w:t>
      </w:r>
      <w:r w:rsidRPr="00A7553B">
        <w:rPr>
          <w:rFonts w:eastAsiaTheme="minorHAnsi"/>
          <w:position w:val="1"/>
          <w:szCs w:val="24"/>
          <w:lang w:eastAsia="en-US"/>
        </w:rPr>
        <w:t>e</w:t>
      </w:r>
      <w:r w:rsidRPr="00A7553B">
        <w:rPr>
          <w:rFonts w:eastAsiaTheme="minorHAnsi"/>
          <w:spacing w:val="1"/>
          <w:position w:val="1"/>
          <w:szCs w:val="24"/>
          <w:lang w:eastAsia="en-US"/>
        </w:rPr>
        <w:t xml:space="preserve"> </w:t>
      </w:r>
      <w:r w:rsidRPr="00A7553B">
        <w:rPr>
          <w:rFonts w:eastAsiaTheme="minorHAnsi"/>
          <w:spacing w:val="-1"/>
          <w:position w:val="1"/>
          <w:szCs w:val="24"/>
          <w:lang w:eastAsia="en-US"/>
        </w:rPr>
        <w:t>R</w:t>
      </w:r>
      <w:r w:rsidRPr="00A7553B">
        <w:rPr>
          <w:rFonts w:eastAsiaTheme="minorHAnsi"/>
          <w:position w:val="1"/>
          <w:szCs w:val="24"/>
          <w:lang w:eastAsia="en-US"/>
        </w:rPr>
        <w:t>e</w:t>
      </w:r>
      <w:r w:rsidRPr="00A7553B">
        <w:rPr>
          <w:rFonts w:eastAsiaTheme="minorHAnsi"/>
          <w:spacing w:val="-2"/>
          <w:position w:val="1"/>
          <w:szCs w:val="24"/>
          <w:lang w:eastAsia="en-US"/>
        </w:rPr>
        <w:t>g</w:t>
      </w:r>
      <w:r w:rsidRPr="00A7553B">
        <w:rPr>
          <w:rFonts w:eastAsiaTheme="minorHAnsi"/>
          <w:position w:val="1"/>
          <w:szCs w:val="24"/>
          <w:lang w:eastAsia="en-US"/>
        </w:rPr>
        <w:t>u</w:t>
      </w:r>
      <w:r w:rsidRPr="00A7553B">
        <w:rPr>
          <w:rFonts w:eastAsiaTheme="minorHAnsi"/>
          <w:spacing w:val="1"/>
          <w:position w:val="1"/>
          <w:szCs w:val="24"/>
          <w:lang w:eastAsia="en-US"/>
        </w:rPr>
        <w:t>l</w:t>
      </w:r>
      <w:r w:rsidRPr="00A7553B">
        <w:rPr>
          <w:rFonts w:eastAsiaTheme="minorHAnsi"/>
          <w:spacing w:val="-2"/>
          <w:position w:val="1"/>
          <w:szCs w:val="24"/>
          <w:lang w:eastAsia="en-US"/>
        </w:rPr>
        <w:t>a</w:t>
      </w:r>
      <w:r w:rsidRPr="00A7553B">
        <w:rPr>
          <w:rFonts w:eastAsiaTheme="minorHAnsi"/>
          <w:spacing w:val="1"/>
          <w:position w:val="1"/>
          <w:szCs w:val="24"/>
          <w:lang w:eastAsia="en-US"/>
        </w:rPr>
        <w:t>ti</w:t>
      </w:r>
      <w:r w:rsidRPr="00A7553B">
        <w:rPr>
          <w:rFonts w:eastAsiaTheme="minorHAnsi"/>
          <w:position w:val="1"/>
          <w:szCs w:val="24"/>
          <w:lang w:eastAsia="en-US"/>
        </w:rPr>
        <w:t>o</w:t>
      </w:r>
      <w:r w:rsidRPr="00A7553B">
        <w:rPr>
          <w:rFonts w:eastAsiaTheme="minorHAnsi"/>
          <w:spacing w:val="-2"/>
          <w:position w:val="1"/>
          <w:szCs w:val="24"/>
          <w:lang w:eastAsia="en-US"/>
        </w:rPr>
        <w:t>n</w:t>
      </w:r>
      <w:r w:rsidRPr="00A7553B">
        <w:rPr>
          <w:rFonts w:eastAsiaTheme="minorHAnsi"/>
          <w:position w:val="1"/>
          <w:szCs w:val="24"/>
          <w:lang w:eastAsia="en-US"/>
        </w:rPr>
        <w:t>s p</w:t>
      </w:r>
      <w:r w:rsidRPr="00A7553B">
        <w:rPr>
          <w:rFonts w:eastAsiaTheme="minorHAnsi"/>
          <w:spacing w:val="-1"/>
          <w:position w:val="1"/>
          <w:szCs w:val="24"/>
          <w:lang w:eastAsia="en-US"/>
        </w:rPr>
        <w:t>r</w:t>
      </w:r>
      <w:r w:rsidRPr="00A7553B">
        <w:rPr>
          <w:rFonts w:eastAsiaTheme="minorHAnsi"/>
          <w:position w:val="1"/>
          <w:szCs w:val="24"/>
          <w:lang w:eastAsia="en-US"/>
        </w:rPr>
        <w:t>o</w:t>
      </w:r>
      <w:r w:rsidRPr="00A7553B">
        <w:rPr>
          <w:rFonts w:eastAsiaTheme="minorHAnsi"/>
          <w:spacing w:val="-2"/>
          <w:position w:val="1"/>
          <w:szCs w:val="24"/>
          <w:lang w:eastAsia="en-US"/>
        </w:rPr>
        <w:t>v</w:t>
      </w:r>
      <w:r w:rsidRPr="00A7553B">
        <w:rPr>
          <w:rFonts w:eastAsiaTheme="minorHAnsi"/>
          <w:spacing w:val="1"/>
          <w:position w:val="1"/>
          <w:szCs w:val="24"/>
          <w:lang w:eastAsia="en-US"/>
        </w:rPr>
        <w:t>i</w:t>
      </w:r>
      <w:r w:rsidRPr="00A7553B">
        <w:rPr>
          <w:rFonts w:eastAsiaTheme="minorHAnsi"/>
          <w:position w:val="1"/>
          <w:szCs w:val="24"/>
          <w:lang w:eastAsia="en-US"/>
        </w:rPr>
        <w:t>de</w:t>
      </w:r>
      <w:r w:rsidRPr="00A7553B">
        <w:rPr>
          <w:rFonts w:eastAsiaTheme="minorHAnsi"/>
          <w:spacing w:val="2"/>
          <w:position w:val="1"/>
          <w:szCs w:val="24"/>
          <w:lang w:eastAsia="en-US"/>
        </w:rPr>
        <w:t xml:space="preserve"> </w:t>
      </w:r>
      <w:r w:rsidRPr="00A7553B">
        <w:rPr>
          <w:rFonts w:eastAsiaTheme="minorHAnsi"/>
          <w:spacing w:val="-1"/>
          <w:position w:val="1"/>
          <w:szCs w:val="24"/>
          <w:lang w:eastAsia="en-US"/>
        </w:rPr>
        <w:t>t</w:t>
      </w:r>
      <w:r w:rsidRPr="00A7553B">
        <w:rPr>
          <w:rFonts w:eastAsiaTheme="minorHAnsi"/>
          <w:position w:val="1"/>
          <w:szCs w:val="24"/>
          <w:lang w:eastAsia="en-US"/>
        </w:rPr>
        <w:t>hat</w:t>
      </w:r>
      <w:r w:rsidRPr="00A7553B">
        <w:rPr>
          <w:rFonts w:eastAsiaTheme="minorHAnsi"/>
          <w:spacing w:val="-1"/>
          <w:position w:val="1"/>
          <w:szCs w:val="24"/>
          <w:lang w:eastAsia="en-US"/>
        </w:rPr>
        <w:t xml:space="preserve"> </w:t>
      </w:r>
      <w:r w:rsidRPr="00A7553B">
        <w:rPr>
          <w:rFonts w:eastAsiaTheme="minorHAnsi"/>
          <w:spacing w:val="1"/>
          <w:position w:val="1"/>
          <w:szCs w:val="24"/>
          <w:lang w:eastAsia="en-US"/>
        </w:rPr>
        <w:t>t</w:t>
      </w:r>
      <w:r w:rsidRPr="00A7553B">
        <w:rPr>
          <w:rFonts w:eastAsiaTheme="minorHAnsi"/>
          <w:position w:val="1"/>
          <w:szCs w:val="24"/>
          <w:lang w:eastAsia="en-US"/>
        </w:rPr>
        <w:t xml:space="preserve">he </w:t>
      </w:r>
      <w:r w:rsidRPr="00A7553B">
        <w:rPr>
          <w:rFonts w:eastAsiaTheme="minorHAnsi"/>
          <w:spacing w:val="-2"/>
          <w:position w:val="1"/>
          <w:szCs w:val="24"/>
          <w:lang w:eastAsia="en-US"/>
        </w:rPr>
        <w:t>a</w:t>
      </w:r>
      <w:r w:rsidRPr="00A7553B">
        <w:rPr>
          <w:rFonts w:eastAsiaTheme="minorHAnsi"/>
          <w:position w:val="1"/>
          <w:szCs w:val="24"/>
          <w:lang w:eastAsia="en-US"/>
        </w:rPr>
        <w:t>pp</w:t>
      </w:r>
      <w:r w:rsidRPr="00A7553B">
        <w:rPr>
          <w:rFonts w:eastAsiaTheme="minorHAnsi"/>
          <w:spacing w:val="-1"/>
          <w:position w:val="1"/>
          <w:szCs w:val="24"/>
          <w:lang w:eastAsia="en-US"/>
        </w:rPr>
        <w:t>l</w:t>
      </w:r>
      <w:r w:rsidRPr="00A7553B">
        <w:rPr>
          <w:rFonts w:eastAsiaTheme="minorHAnsi"/>
          <w:spacing w:val="1"/>
          <w:position w:val="1"/>
          <w:szCs w:val="24"/>
          <w:lang w:eastAsia="en-US"/>
        </w:rPr>
        <w:t>i</w:t>
      </w:r>
      <w:r w:rsidRPr="00A7553B">
        <w:rPr>
          <w:rFonts w:eastAsiaTheme="minorHAnsi"/>
          <w:position w:val="1"/>
          <w:szCs w:val="24"/>
          <w:lang w:eastAsia="en-US"/>
        </w:rPr>
        <w:t>c</w:t>
      </w:r>
      <w:r w:rsidRPr="00A7553B">
        <w:rPr>
          <w:rFonts w:eastAsiaTheme="minorHAnsi"/>
          <w:spacing w:val="-2"/>
          <w:position w:val="1"/>
          <w:szCs w:val="24"/>
          <w:lang w:eastAsia="en-US"/>
        </w:rPr>
        <w:t>a</w:t>
      </w:r>
      <w:r w:rsidRPr="00A7553B">
        <w:rPr>
          <w:rFonts w:eastAsiaTheme="minorHAnsi"/>
          <w:spacing w:val="-1"/>
          <w:position w:val="1"/>
          <w:szCs w:val="24"/>
          <w:lang w:eastAsia="en-US"/>
        </w:rPr>
        <w:t>t</w:t>
      </w:r>
      <w:r w:rsidRPr="00A7553B">
        <w:rPr>
          <w:rFonts w:eastAsiaTheme="minorHAnsi"/>
          <w:spacing w:val="1"/>
          <w:position w:val="1"/>
          <w:szCs w:val="24"/>
          <w:lang w:eastAsia="en-US"/>
        </w:rPr>
        <w:t>i</w:t>
      </w:r>
      <w:r w:rsidRPr="00A7553B">
        <w:rPr>
          <w:rFonts w:eastAsiaTheme="minorHAnsi"/>
          <w:position w:val="1"/>
          <w:szCs w:val="24"/>
          <w:lang w:eastAsia="en-US"/>
        </w:rPr>
        <w:t>on</w:t>
      </w:r>
      <w:r w:rsidRPr="00A7553B">
        <w:rPr>
          <w:rFonts w:eastAsiaTheme="minorHAnsi"/>
          <w:spacing w:val="1"/>
          <w:position w:val="1"/>
          <w:szCs w:val="24"/>
          <w:lang w:eastAsia="en-US"/>
        </w:rPr>
        <w:t xml:space="preserve"> </w:t>
      </w:r>
      <w:r w:rsidRPr="00A7553B">
        <w:rPr>
          <w:rFonts w:eastAsiaTheme="minorHAnsi"/>
          <w:spacing w:val="-4"/>
          <w:position w:val="1"/>
          <w:szCs w:val="24"/>
          <w:lang w:eastAsia="en-US"/>
        </w:rPr>
        <w:t>m</w:t>
      </w:r>
      <w:r w:rsidRPr="00A7553B">
        <w:rPr>
          <w:rFonts w:eastAsiaTheme="minorHAnsi"/>
          <w:position w:val="1"/>
          <w:szCs w:val="24"/>
          <w:lang w:eastAsia="en-US"/>
        </w:rPr>
        <w:t>ay</w:t>
      </w:r>
      <w:r w:rsidRPr="00A7553B">
        <w:rPr>
          <w:rFonts w:eastAsiaTheme="minorHAnsi"/>
          <w:spacing w:val="-2"/>
          <w:position w:val="1"/>
          <w:szCs w:val="24"/>
          <w:lang w:eastAsia="en-US"/>
        </w:rPr>
        <w:t xml:space="preserve"> </w:t>
      </w:r>
      <w:r w:rsidRPr="00A7553B">
        <w:rPr>
          <w:rFonts w:eastAsiaTheme="minorHAnsi"/>
          <w:position w:val="1"/>
          <w:szCs w:val="24"/>
          <w:lang w:eastAsia="en-US"/>
        </w:rPr>
        <w:t xml:space="preserve">be </w:t>
      </w:r>
      <w:r w:rsidRPr="00A7553B">
        <w:rPr>
          <w:rFonts w:eastAsiaTheme="minorHAnsi"/>
          <w:spacing w:val="-3"/>
          <w:position w:val="1"/>
          <w:szCs w:val="24"/>
          <w:lang w:eastAsia="en-US"/>
        </w:rPr>
        <w:t>m</w:t>
      </w:r>
      <w:r w:rsidRPr="00A7553B">
        <w:rPr>
          <w:rFonts w:eastAsiaTheme="minorHAnsi"/>
          <w:position w:val="1"/>
          <w:szCs w:val="24"/>
          <w:lang w:eastAsia="en-US"/>
        </w:rPr>
        <w:t>ade</w:t>
      </w:r>
      <w:r w:rsidRPr="00A7553B">
        <w:rPr>
          <w:rFonts w:eastAsiaTheme="minorHAnsi"/>
          <w:szCs w:val="24"/>
          <w:lang w:eastAsia="en-US"/>
        </w:rPr>
        <w:t xml:space="preserve"> as</w:t>
      </w:r>
      <w:r w:rsidRPr="00A7553B">
        <w:rPr>
          <w:rFonts w:eastAsiaTheme="minorHAnsi"/>
          <w:spacing w:val="1"/>
          <w:szCs w:val="24"/>
          <w:lang w:eastAsia="en-US"/>
        </w:rPr>
        <w:t xml:space="preserve"> </w:t>
      </w:r>
      <w:r w:rsidRPr="00A7553B">
        <w:rPr>
          <w:rFonts w:eastAsiaTheme="minorHAnsi"/>
          <w:szCs w:val="24"/>
          <w:lang w:eastAsia="en-US"/>
        </w:rPr>
        <w:t xml:space="preserve">an </w:t>
      </w:r>
      <w:r w:rsidRPr="00A7553B">
        <w:rPr>
          <w:rFonts w:eastAsiaTheme="minorHAnsi"/>
          <w:spacing w:val="-4"/>
          <w:szCs w:val="24"/>
          <w:lang w:eastAsia="en-US"/>
        </w:rPr>
        <w:t>I</w:t>
      </w:r>
      <w:r w:rsidRPr="00A7553B">
        <w:rPr>
          <w:rFonts w:eastAsiaTheme="minorHAnsi"/>
          <w:szCs w:val="24"/>
          <w:lang w:eastAsia="en-US"/>
        </w:rPr>
        <w:t>n</w:t>
      </w:r>
      <w:r w:rsidRPr="00A7553B">
        <w:rPr>
          <w:rFonts w:eastAsiaTheme="minorHAnsi"/>
          <w:spacing w:val="1"/>
          <w:szCs w:val="24"/>
          <w:lang w:eastAsia="en-US"/>
        </w:rPr>
        <w:t>t</w:t>
      </w:r>
      <w:r w:rsidRPr="00A7553B">
        <w:rPr>
          <w:rFonts w:eastAsiaTheme="minorHAnsi"/>
          <w:szCs w:val="24"/>
          <w:lang w:eastAsia="en-US"/>
        </w:rPr>
        <w:t>e</w:t>
      </w:r>
      <w:r w:rsidRPr="00A7553B">
        <w:rPr>
          <w:rFonts w:eastAsiaTheme="minorHAnsi"/>
          <w:spacing w:val="1"/>
          <w:szCs w:val="24"/>
          <w:lang w:eastAsia="en-US"/>
        </w:rPr>
        <w:t>r</w:t>
      </w:r>
      <w:r w:rsidRPr="00A7553B">
        <w:rPr>
          <w:rFonts w:eastAsiaTheme="minorHAnsi"/>
          <w:spacing w:val="-2"/>
          <w:szCs w:val="24"/>
          <w:lang w:eastAsia="en-US"/>
        </w:rPr>
        <w:t>n</w:t>
      </w:r>
      <w:r w:rsidRPr="00A7553B">
        <w:rPr>
          <w:rFonts w:eastAsiaTheme="minorHAnsi"/>
          <w:szCs w:val="24"/>
          <w:lang w:eastAsia="en-US"/>
        </w:rPr>
        <w:t>et</w:t>
      </w:r>
      <w:r w:rsidRPr="00A7553B">
        <w:rPr>
          <w:rFonts w:eastAsiaTheme="minorHAnsi"/>
          <w:spacing w:val="-1"/>
          <w:szCs w:val="24"/>
          <w:lang w:eastAsia="en-US"/>
        </w:rPr>
        <w:t xml:space="preserve"> </w:t>
      </w:r>
      <w:r w:rsidRPr="00A7553B">
        <w:rPr>
          <w:rFonts w:eastAsiaTheme="minorHAnsi"/>
          <w:szCs w:val="24"/>
          <w:lang w:eastAsia="en-US"/>
        </w:rPr>
        <w:t>app</w:t>
      </w:r>
      <w:r w:rsidRPr="00A7553B">
        <w:rPr>
          <w:rFonts w:eastAsiaTheme="minorHAnsi"/>
          <w:spacing w:val="-1"/>
          <w:szCs w:val="24"/>
          <w:lang w:eastAsia="en-US"/>
        </w:rPr>
        <w:t>l</w:t>
      </w:r>
      <w:r w:rsidRPr="00A7553B">
        <w:rPr>
          <w:rFonts w:eastAsiaTheme="minorHAnsi"/>
          <w:spacing w:val="1"/>
          <w:szCs w:val="24"/>
          <w:lang w:eastAsia="en-US"/>
        </w:rPr>
        <w:t>i</w:t>
      </w:r>
      <w:r w:rsidRPr="00A7553B">
        <w:rPr>
          <w:rFonts w:eastAsiaTheme="minorHAnsi"/>
          <w:spacing w:val="-2"/>
          <w:szCs w:val="24"/>
          <w:lang w:eastAsia="en-US"/>
        </w:rPr>
        <w:t>c</w:t>
      </w:r>
      <w:r w:rsidRPr="00A7553B">
        <w:rPr>
          <w:rFonts w:eastAsiaTheme="minorHAnsi"/>
          <w:szCs w:val="24"/>
          <w:lang w:eastAsia="en-US"/>
        </w:rPr>
        <w:t>a</w:t>
      </w:r>
      <w:r w:rsidRPr="00A7553B">
        <w:rPr>
          <w:rFonts w:eastAsiaTheme="minorHAnsi"/>
          <w:spacing w:val="-1"/>
          <w:szCs w:val="24"/>
          <w:lang w:eastAsia="en-US"/>
        </w:rPr>
        <w:t>t</w:t>
      </w:r>
      <w:r w:rsidRPr="00A7553B">
        <w:rPr>
          <w:rFonts w:eastAsiaTheme="minorHAnsi"/>
          <w:spacing w:val="1"/>
          <w:szCs w:val="24"/>
          <w:lang w:eastAsia="en-US"/>
        </w:rPr>
        <w:t>i</w:t>
      </w:r>
      <w:r w:rsidRPr="00A7553B">
        <w:rPr>
          <w:rFonts w:eastAsiaTheme="minorHAnsi"/>
          <w:szCs w:val="24"/>
          <w:lang w:eastAsia="en-US"/>
        </w:rPr>
        <w:t>o</w:t>
      </w:r>
      <w:r w:rsidRPr="00A7553B">
        <w:rPr>
          <w:rFonts w:eastAsiaTheme="minorHAnsi"/>
          <w:spacing w:val="-2"/>
          <w:szCs w:val="24"/>
          <w:lang w:eastAsia="en-US"/>
        </w:rPr>
        <w:t>n</w:t>
      </w:r>
      <w:r w:rsidRPr="00A7553B">
        <w:rPr>
          <w:rFonts w:eastAsiaTheme="minorHAnsi"/>
          <w:szCs w:val="24"/>
          <w:lang w:eastAsia="en-US"/>
        </w:rPr>
        <w:t>;</w:t>
      </w:r>
      <w:r w:rsidRPr="00A7553B">
        <w:rPr>
          <w:rFonts w:eastAsiaTheme="minorHAnsi"/>
          <w:spacing w:val="1"/>
          <w:szCs w:val="24"/>
          <w:lang w:eastAsia="en-US"/>
        </w:rPr>
        <w:t xml:space="preserve"> </w:t>
      </w:r>
      <w:r w:rsidRPr="00A7553B">
        <w:rPr>
          <w:rFonts w:eastAsiaTheme="minorHAnsi"/>
          <w:spacing w:val="-2"/>
          <w:szCs w:val="24"/>
          <w:lang w:eastAsia="en-US"/>
        </w:rPr>
        <w:t>a</w:t>
      </w:r>
      <w:r w:rsidRPr="00A7553B">
        <w:rPr>
          <w:rFonts w:eastAsiaTheme="minorHAnsi"/>
          <w:szCs w:val="24"/>
          <w:lang w:eastAsia="en-US"/>
        </w:rPr>
        <w:t>nd”</w:t>
      </w:r>
      <w:r>
        <w:rPr>
          <w:rFonts w:eastAsiaTheme="minorHAnsi"/>
          <w:szCs w:val="24"/>
          <w:lang w:eastAsia="en-US"/>
        </w:rPr>
        <w:t xml:space="preserve">.   </w:t>
      </w:r>
    </w:p>
    <w:p w:rsidR="002C4F19" w:rsidRPr="00A7553B" w:rsidRDefault="002C4F19" w:rsidP="002C4F19">
      <w:pPr>
        <w:autoSpaceDE w:val="0"/>
        <w:autoSpaceDN w:val="0"/>
        <w:adjustRightInd w:val="0"/>
        <w:spacing w:before="0"/>
        <w:ind w:right="-20"/>
        <w:rPr>
          <w:rFonts w:eastAsiaTheme="minorHAnsi"/>
          <w:szCs w:val="24"/>
          <w:lang w:eastAsia="en-US"/>
        </w:rPr>
      </w:pPr>
    </w:p>
    <w:p w:rsidR="002C4F19" w:rsidRPr="00A7553B" w:rsidRDefault="00642A18" w:rsidP="002C4F19">
      <w:pPr>
        <w:autoSpaceDE w:val="0"/>
        <w:autoSpaceDN w:val="0"/>
        <w:adjustRightInd w:val="0"/>
        <w:spacing w:before="0"/>
        <w:ind w:right="-20"/>
        <w:rPr>
          <w:rFonts w:eastAsiaTheme="minorHAnsi"/>
          <w:szCs w:val="24"/>
          <w:lang w:eastAsia="en-US"/>
        </w:rPr>
      </w:pPr>
      <w:r>
        <w:rPr>
          <w:rFonts w:eastAsiaTheme="minorHAnsi"/>
          <w:szCs w:val="24"/>
          <w:lang w:eastAsia="en-US"/>
        </w:rPr>
        <w:t>This</w:t>
      </w:r>
      <w:r w:rsidR="002C4F19" w:rsidRPr="00A7553B">
        <w:rPr>
          <w:rFonts w:eastAsiaTheme="minorHAnsi"/>
          <w:szCs w:val="24"/>
          <w:lang w:eastAsia="en-US"/>
        </w:rPr>
        <w:t xml:space="preserve"> amendment clarif</w:t>
      </w:r>
      <w:r>
        <w:rPr>
          <w:rFonts w:eastAsiaTheme="minorHAnsi"/>
          <w:szCs w:val="24"/>
          <w:lang w:eastAsia="en-US"/>
        </w:rPr>
        <w:t>ies that</w:t>
      </w:r>
      <w:r w:rsidR="002C4F19" w:rsidRPr="00A7553B">
        <w:rPr>
          <w:rFonts w:eastAsiaTheme="minorHAnsi"/>
          <w:szCs w:val="24"/>
          <w:lang w:eastAsia="en-US"/>
        </w:rPr>
        <w:t xml:space="preserve"> </w:t>
      </w:r>
      <w:r w:rsidR="002C4F19">
        <w:rPr>
          <w:rFonts w:eastAsiaTheme="minorHAnsi"/>
          <w:szCs w:val="24"/>
          <w:lang w:eastAsia="en-US"/>
        </w:rPr>
        <w:t xml:space="preserve">whether </w:t>
      </w:r>
      <w:r w:rsidR="002C4F19" w:rsidRPr="00A7553B">
        <w:rPr>
          <w:rFonts w:eastAsiaTheme="minorHAnsi"/>
          <w:szCs w:val="24"/>
          <w:lang w:eastAsia="en-US"/>
        </w:rPr>
        <w:t>paragraph 2.12C(7)(b)</w:t>
      </w:r>
      <w:r w:rsidR="002C4F19" w:rsidRPr="005D42C6">
        <w:rPr>
          <w:rFonts w:eastAsiaTheme="minorHAnsi"/>
          <w:szCs w:val="24"/>
          <w:lang w:eastAsia="en-US"/>
        </w:rPr>
        <w:t xml:space="preserve"> appl</w:t>
      </w:r>
      <w:r w:rsidR="002C4F19">
        <w:rPr>
          <w:rFonts w:eastAsiaTheme="minorHAnsi"/>
          <w:szCs w:val="24"/>
          <w:lang w:eastAsia="en-US"/>
        </w:rPr>
        <w:t>ies</w:t>
      </w:r>
      <w:r w:rsidR="002C4F19" w:rsidRPr="00A7553B">
        <w:rPr>
          <w:rFonts w:eastAsiaTheme="minorHAnsi"/>
          <w:szCs w:val="24"/>
          <w:lang w:eastAsia="en-US"/>
        </w:rPr>
        <w:t xml:space="preserve"> </w:t>
      </w:r>
      <w:r w:rsidR="00C84CA1">
        <w:rPr>
          <w:rFonts w:eastAsiaTheme="minorHAnsi"/>
          <w:szCs w:val="24"/>
          <w:lang w:eastAsia="en-US"/>
        </w:rPr>
        <w:t>will</w:t>
      </w:r>
      <w:r w:rsidR="002C4F19">
        <w:rPr>
          <w:rFonts w:eastAsiaTheme="minorHAnsi"/>
          <w:szCs w:val="24"/>
          <w:lang w:eastAsia="en-US"/>
        </w:rPr>
        <w:t xml:space="preserve"> depend on whether</w:t>
      </w:r>
      <w:r w:rsidR="002C4F19" w:rsidRPr="00A7553B">
        <w:rPr>
          <w:rFonts w:eastAsiaTheme="minorHAnsi"/>
          <w:szCs w:val="24"/>
          <w:lang w:eastAsia="en-US"/>
        </w:rPr>
        <w:t xml:space="preserve"> </w:t>
      </w:r>
      <w:r>
        <w:rPr>
          <w:rFonts w:eastAsiaTheme="minorHAnsi"/>
          <w:szCs w:val="24"/>
          <w:lang w:eastAsia="en-US"/>
        </w:rPr>
        <w:t xml:space="preserve">the </w:t>
      </w:r>
      <w:r>
        <w:rPr>
          <w:rFonts w:eastAsiaTheme="minorHAnsi"/>
          <w:i/>
          <w:szCs w:val="24"/>
          <w:lang w:eastAsia="en-US"/>
        </w:rPr>
        <w:t xml:space="preserve">Migration Regulations 1994 </w:t>
      </w:r>
      <w:r>
        <w:rPr>
          <w:rFonts w:eastAsiaTheme="minorHAnsi"/>
          <w:szCs w:val="24"/>
          <w:lang w:eastAsia="en-US"/>
        </w:rPr>
        <w:t>(‘</w:t>
      </w:r>
      <w:r w:rsidR="002C4F19" w:rsidRPr="00A7553B">
        <w:rPr>
          <w:rFonts w:eastAsiaTheme="minorHAnsi"/>
          <w:szCs w:val="24"/>
          <w:lang w:eastAsia="en-US"/>
        </w:rPr>
        <w:t xml:space="preserve">the </w:t>
      </w:r>
      <w:r>
        <w:rPr>
          <w:szCs w:val="24"/>
        </w:rPr>
        <w:t>Principal</w:t>
      </w:r>
      <w:r w:rsidRPr="00400B46">
        <w:rPr>
          <w:szCs w:val="24"/>
        </w:rPr>
        <w:t xml:space="preserve"> </w:t>
      </w:r>
      <w:r w:rsidR="002C4F19" w:rsidRPr="00A7553B">
        <w:rPr>
          <w:rFonts w:eastAsiaTheme="minorHAnsi"/>
          <w:szCs w:val="24"/>
          <w:lang w:eastAsia="en-US"/>
        </w:rPr>
        <w:t>Regulations</w:t>
      </w:r>
      <w:r>
        <w:rPr>
          <w:rFonts w:eastAsiaTheme="minorHAnsi"/>
          <w:szCs w:val="24"/>
          <w:lang w:eastAsia="en-US"/>
        </w:rPr>
        <w:t>’)</w:t>
      </w:r>
      <w:r w:rsidR="002C4F19" w:rsidRPr="00A7553B">
        <w:rPr>
          <w:rFonts w:eastAsiaTheme="minorHAnsi"/>
          <w:szCs w:val="24"/>
          <w:lang w:eastAsia="en-US"/>
        </w:rPr>
        <w:t xml:space="preserve"> provide that the application may be made as an Internet application</w:t>
      </w:r>
      <w:r w:rsidR="002C4F19">
        <w:rPr>
          <w:rFonts w:eastAsiaTheme="minorHAnsi"/>
          <w:szCs w:val="24"/>
          <w:lang w:eastAsia="en-US"/>
        </w:rPr>
        <w:t>, rather than on whether it is possible for the application to be made as an Internet application</w:t>
      </w:r>
      <w:r w:rsidR="002C4F19" w:rsidRPr="00A7553B">
        <w:rPr>
          <w:rFonts w:eastAsiaTheme="minorHAnsi"/>
          <w:szCs w:val="24"/>
          <w:lang w:eastAsia="en-US"/>
        </w:rPr>
        <w:t xml:space="preserve">. </w:t>
      </w:r>
    </w:p>
    <w:p w:rsidR="002C4F19" w:rsidRDefault="002C4F19" w:rsidP="002C4F19">
      <w:pPr>
        <w:keepNext/>
        <w:keepLines/>
        <w:spacing w:before="0"/>
        <w:ind w:right="748"/>
      </w:pPr>
    </w:p>
    <w:p w:rsidR="002C4F19" w:rsidRPr="005D42C6" w:rsidRDefault="002C4F19" w:rsidP="002C4F19">
      <w:pPr>
        <w:keepNext/>
        <w:keepLines/>
        <w:spacing w:before="0"/>
        <w:ind w:right="748"/>
      </w:pPr>
      <w:r>
        <w:t xml:space="preserve">The purpose of this amendment is to clarify the intended operation of the non-Internet application charge and, specifically, to ensure that the application of paragraph 2.12C(7)(b) is confined to situations where the </w:t>
      </w:r>
      <w:r w:rsidR="00782CCC">
        <w:rPr>
          <w:szCs w:val="24"/>
        </w:rPr>
        <w:t>Principal</w:t>
      </w:r>
      <w:r w:rsidR="00782CCC" w:rsidRPr="00400B46">
        <w:rPr>
          <w:szCs w:val="24"/>
        </w:rPr>
        <w:t xml:space="preserve"> </w:t>
      </w:r>
      <w:r>
        <w:t>Regulations provide that the application may be made as an Internet application.</w:t>
      </w:r>
    </w:p>
    <w:p w:rsidR="002C4F19" w:rsidRPr="009E2CC3" w:rsidRDefault="002C4F19" w:rsidP="002C4F19">
      <w:pPr>
        <w:spacing w:before="0"/>
        <w:ind w:right="748"/>
        <w:rPr>
          <w:b/>
          <w:szCs w:val="24"/>
        </w:rPr>
      </w:pPr>
    </w:p>
    <w:p w:rsidR="002C4F19" w:rsidRPr="009E2CC3" w:rsidRDefault="002C4F19" w:rsidP="002C4F19">
      <w:pPr>
        <w:keepNext/>
        <w:keepLines/>
        <w:spacing w:before="0"/>
        <w:ind w:right="748"/>
        <w:rPr>
          <w:szCs w:val="24"/>
          <w:u w:val="single"/>
        </w:rPr>
      </w:pPr>
      <w:r w:rsidRPr="009E2CC3">
        <w:rPr>
          <w:szCs w:val="24"/>
          <w:u w:val="single"/>
        </w:rPr>
        <w:t>Item [2] –</w:t>
      </w:r>
      <w:r w:rsidRPr="009E2CC3">
        <w:rPr>
          <w:bCs/>
          <w:szCs w:val="24"/>
          <w:u w:val="single"/>
        </w:rPr>
        <w:t>Paragraph 1114B(2)(b) of Schedule 1 (table item 2)</w:t>
      </w:r>
    </w:p>
    <w:p w:rsidR="002C4F19" w:rsidRDefault="002C4F19" w:rsidP="002C4F19">
      <w:pPr>
        <w:spacing w:before="0"/>
        <w:ind w:right="748"/>
      </w:pPr>
    </w:p>
    <w:p w:rsidR="002C4F19" w:rsidRDefault="002C4F19" w:rsidP="002C4F19">
      <w:pPr>
        <w:pStyle w:val="DINumberedParagraph"/>
        <w:numPr>
          <w:ilvl w:val="0"/>
          <w:numId w:val="0"/>
        </w:numPr>
        <w:tabs>
          <w:tab w:val="clear" w:pos="567"/>
        </w:tabs>
      </w:pPr>
      <w:r>
        <w:t>This item repeal</w:t>
      </w:r>
      <w:r w:rsidR="00C84CA1">
        <w:t>s</w:t>
      </w:r>
      <w:r>
        <w:t xml:space="preserve"> table item 2 of paragraph 1114B(2)(b) of Schedule 1 and substitute new table item 2, which would contain substantially the same words as current table item 2 but omit the word “who” after the word “Applicant” and insert the word “who” at the beginning of each of paragraphs (a) and (b) in item 2.  </w:t>
      </w:r>
    </w:p>
    <w:p w:rsidR="002C4F19" w:rsidRDefault="002C4F19" w:rsidP="002C4F19">
      <w:pPr>
        <w:pStyle w:val="DINumberedParagraph"/>
        <w:numPr>
          <w:ilvl w:val="0"/>
          <w:numId w:val="0"/>
        </w:numPr>
        <w:tabs>
          <w:tab w:val="clear" w:pos="567"/>
        </w:tabs>
      </w:pPr>
      <w:r>
        <w:t xml:space="preserve">The purpose of this amendment is to </w:t>
      </w:r>
      <w:r w:rsidR="00782CCC">
        <w:t>correct</w:t>
      </w:r>
      <w:r>
        <w:t xml:space="preserve"> a typographical error inserted into the </w:t>
      </w:r>
      <w:r w:rsidR="00782CCC">
        <w:rPr>
          <w:szCs w:val="24"/>
        </w:rPr>
        <w:t>Principal</w:t>
      </w:r>
      <w:r w:rsidR="00782CCC" w:rsidRPr="00400B46">
        <w:rPr>
          <w:szCs w:val="24"/>
        </w:rPr>
        <w:t xml:space="preserve"> </w:t>
      </w:r>
      <w:r>
        <w:t xml:space="preserve">Regulations by the </w:t>
      </w:r>
      <w:r>
        <w:rPr>
          <w:i/>
        </w:rPr>
        <w:t xml:space="preserve">Migration Amendment (Visa Application and Related Matters) Regulation 2013 </w:t>
      </w:r>
      <w:r>
        <w:t>and ensure that correct grammatical expression is used in this paragraph.</w:t>
      </w:r>
    </w:p>
    <w:p w:rsidR="002C4F19" w:rsidRDefault="002C4F19" w:rsidP="002C4F19">
      <w:pPr>
        <w:tabs>
          <w:tab w:val="left" w:pos="3060"/>
        </w:tabs>
      </w:pPr>
      <w:r w:rsidRPr="00176F13">
        <w:rPr>
          <w:u w:val="single"/>
        </w:rPr>
        <w:t>Item [3] –Paragraph 1114C(2)(</w:t>
      </w:r>
      <w:r>
        <w:rPr>
          <w:u w:val="single"/>
        </w:rPr>
        <w:t>b)  of Schedule 1 (table item 2)</w:t>
      </w:r>
      <w:r>
        <w:rPr>
          <w:u w:val="single"/>
        </w:rPr>
        <w:br/>
      </w:r>
      <w:r>
        <w:rPr>
          <w:u w:val="single"/>
        </w:rPr>
        <w:br/>
      </w:r>
      <w:r>
        <w:t>This item repeal</w:t>
      </w:r>
      <w:r w:rsidR="00C84CA1">
        <w:t>s</w:t>
      </w:r>
      <w:r>
        <w:t xml:space="preserve"> table item 2 of paragraph 1114C(2)(b) of Schedule 1 and substitute</w:t>
      </w:r>
      <w:r w:rsidR="00C84CA1">
        <w:t>s</w:t>
      </w:r>
      <w:r>
        <w:t xml:space="preserve"> new table item 2, which would contain substantially the same words as current table item 2 but omit the word “who” after the word “Applicant” and insert the word “who” at the beginning of each of paragraphs (a) and (b) in item 2. </w:t>
      </w:r>
      <w:r>
        <w:br/>
      </w:r>
    </w:p>
    <w:p w:rsidR="002C4F19" w:rsidRDefault="002C4F19" w:rsidP="002C4F19">
      <w:pPr>
        <w:pStyle w:val="DINumberedParagraph"/>
        <w:numPr>
          <w:ilvl w:val="0"/>
          <w:numId w:val="0"/>
        </w:numPr>
        <w:tabs>
          <w:tab w:val="clear" w:pos="567"/>
        </w:tabs>
      </w:pPr>
      <w:r>
        <w:t xml:space="preserve">The purpose of this amendment is to </w:t>
      </w:r>
      <w:r w:rsidR="00782CCC">
        <w:t>correct</w:t>
      </w:r>
      <w:r>
        <w:t xml:space="preserve"> a typographical error inserted into the </w:t>
      </w:r>
      <w:r w:rsidR="00782CCC">
        <w:rPr>
          <w:szCs w:val="24"/>
        </w:rPr>
        <w:t>Principal</w:t>
      </w:r>
      <w:r w:rsidR="00782CCC" w:rsidRPr="00400B46">
        <w:rPr>
          <w:szCs w:val="24"/>
        </w:rPr>
        <w:t xml:space="preserve"> </w:t>
      </w:r>
      <w:r>
        <w:t xml:space="preserve">Regulations by the </w:t>
      </w:r>
      <w:r>
        <w:rPr>
          <w:i/>
        </w:rPr>
        <w:t xml:space="preserve">Migration Amendment (Visa Application and Related Matters) Regulation 2013 </w:t>
      </w:r>
      <w:r>
        <w:t>and ensure that correct grammatical expression is used in this paragraph.</w:t>
      </w:r>
    </w:p>
    <w:p w:rsidR="002C4F19" w:rsidRDefault="002C4F19" w:rsidP="002C4F19">
      <w:pPr>
        <w:tabs>
          <w:tab w:val="left" w:pos="3060"/>
        </w:tabs>
      </w:pPr>
      <w:r w:rsidRPr="00176F13">
        <w:rPr>
          <w:u w:val="single"/>
        </w:rPr>
        <w:t>Item [4] –Paragraph</w:t>
      </w:r>
      <w:r>
        <w:rPr>
          <w:u w:val="single"/>
        </w:rPr>
        <w:t xml:space="preserve"> 1124B(3)(</w:t>
      </w:r>
      <w:proofErr w:type="spellStart"/>
      <w:r>
        <w:rPr>
          <w:u w:val="single"/>
        </w:rPr>
        <w:t>ca</w:t>
      </w:r>
      <w:proofErr w:type="spellEnd"/>
      <w:r>
        <w:rPr>
          <w:u w:val="single"/>
        </w:rPr>
        <w:t>) of Schedule 1</w:t>
      </w:r>
      <w:r>
        <w:br/>
      </w:r>
      <w:r>
        <w:rPr>
          <w:u w:val="single"/>
        </w:rPr>
        <w:br/>
      </w:r>
      <w:r w:rsidRPr="00176F13">
        <w:t>This item insert</w:t>
      </w:r>
      <w:r w:rsidR="00C84CA1">
        <w:t>s</w:t>
      </w:r>
      <w:r w:rsidRPr="00176F13">
        <w:t xml:space="preserve"> “(not being an Internet application)” after “An application”</w:t>
      </w:r>
      <w:r>
        <w:t xml:space="preserve"> in paragraph 1224B(3)(</w:t>
      </w:r>
      <w:proofErr w:type="spellStart"/>
      <w:r>
        <w:t>ca</w:t>
      </w:r>
      <w:proofErr w:type="spellEnd"/>
      <w:r>
        <w:t>)</w:t>
      </w:r>
      <w:r w:rsidRPr="00176F13">
        <w:t xml:space="preserve">. </w:t>
      </w:r>
    </w:p>
    <w:p w:rsidR="002C4F19" w:rsidRDefault="00782CCC" w:rsidP="002C4F19">
      <w:pPr>
        <w:tabs>
          <w:tab w:val="left" w:pos="3060"/>
        </w:tabs>
      </w:pPr>
      <w:r>
        <w:t>This amendment</w:t>
      </w:r>
      <w:r w:rsidR="002C4F19">
        <w:t xml:space="preserve"> ensure</w:t>
      </w:r>
      <w:r>
        <w:t>s</w:t>
      </w:r>
      <w:r w:rsidR="002C4F19" w:rsidRPr="00176F13">
        <w:t xml:space="preserve"> that the</w:t>
      </w:r>
      <w:r w:rsidR="002C4F19">
        <w:t xml:space="preserve"> requirement in </w:t>
      </w:r>
      <w:proofErr w:type="spellStart"/>
      <w:r w:rsidR="002C4F19">
        <w:t>subitem</w:t>
      </w:r>
      <w:proofErr w:type="spellEnd"/>
      <w:r w:rsidR="002C4F19">
        <w:t xml:space="preserve"> 1124B(3) of Schedule 1, for an application to be made by one of the methods prescribed in subparagraphs 1124B(3)(</w:t>
      </w:r>
      <w:proofErr w:type="spellStart"/>
      <w:r w:rsidR="002C4F19">
        <w:t>ca</w:t>
      </w:r>
      <w:proofErr w:type="spellEnd"/>
      <w:r w:rsidR="002C4F19">
        <w:t>)(</w:t>
      </w:r>
      <w:proofErr w:type="spellStart"/>
      <w:r w:rsidR="002C4F19">
        <w:t>i</w:t>
      </w:r>
      <w:proofErr w:type="spellEnd"/>
      <w:r w:rsidR="002C4F19">
        <w:t xml:space="preserve">), (ii) and (iii), </w:t>
      </w:r>
      <w:r w:rsidR="00C84CA1">
        <w:t>will</w:t>
      </w:r>
      <w:r w:rsidR="002C4F19">
        <w:t xml:space="preserve"> apply only to applications that are not Internet applications</w:t>
      </w:r>
      <w:r w:rsidR="002C4F19" w:rsidRPr="00176F13">
        <w:t xml:space="preserve">. </w:t>
      </w:r>
    </w:p>
    <w:p w:rsidR="002C4F19" w:rsidRDefault="002C4F19" w:rsidP="002C4F19">
      <w:pPr>
        <w:tabs>
          <w:tab w:val="left" w:pos="3060"/>
        </w:tabs>
      </w:pPr>
      <w:r w:rsidRPr="00176F13">
        <w:t xml:space="preserve">The purpose of this amendment is to </w:t>
      </w:r>
      <w:r>
        <w:t>provide that only applications</w:t>
      </w:r>
      <w:r w:rsidRPr="00176F13">
        <w:t xml:space="preserve"> </w:t>
      </w:r>
      <w:r>
        <w:t xml:space="preserve">for a Partner (Residence) (Class BS) that are not Internet applications </w:t>
      </w:r>
      <w:r w:rsidR="008961BD">
        <w:t>are</w:t>
      </w:r>
      <w:r>
        <w:t xml:space="preserve"> required to be made by one of the methods prescribed in subparagraphs 1124B(3)(</w:t>
      </w:r>
      <w:proofErr w:type="spellStart"/>
      <w:r>
        <w:t>ca</w:t>
      </w:r>
      <w:proofErr w:type="spellEnd"/>
      <w:r>
        <w:t>)(</w:t>
      </w:r>
      <w:proofErr w:type="spellStart"/>
      <w:r>
        <w:t>i</w:t>
      </w:r>
      <w:proofErr w:type="spellEnd"/>
      <w:r>
        <w:t>), (ii) or (iii)</w:t>
      </w:r>
      <w:r w:rsidRPr="00176F13">
        <w:t>.</w:t>
      </w:r>
      <w:r>
        <w:rPr>
          <w:u w:val="single"/>
        </w:rPr>
        <w:br/>
      </w:r>
      <w:r>
        <w:rPr>
          <w:u w:val="single"/>
        </w:rPr>
        <w:br/>
        <w:t>Item [5] - Item 1124B(3)(e)(ii) of Schedule 1</w:t>
      </w:r>
      <w:r>
        <w:rPr>
          <w:u w:val="single"/>
        </w:rPr>
        <w:br/>
      </w:r>
      <w:r>
        <w:rPr>
          <w:u w:val="single"/>
        </w:rPr>
        <w:br/>
      </w:r>
      <w:r w:rsidRPr="00176F13">
        <w:t>This item insert</w:t>
      </w:r>
      <w:r w:rsidR="00C84CA1">
        <w:t>s</w:t>
      </w:r>
      <w:r w:rsidRPr="00176F13">
        <w:t xml:space="preserve"> “or 40SP</w:t>
      </w:r>
      <w:r>
        <w:t xml:space="preserve"> </w:t>
      </w:r>
      <w:r w:rsidRPr="00176F13">
        <w:t>(Internet)” after “form 40SP”</w:t>
      </w:r>
      <w:r>
        <w:t xml:space="preserve"> in subparagraph 1124B(3)(e)(ii) of Schedule 1</w:t>
      </w:r>
      <w:r w:rsidRPr="00176F13">
        <w:t xml:space="preserve">. </w:t>
      </w:r>
    </w:p>
    <w:p w:rsidR="002C4F19" w:rsidRDefault="002C4F19" w:rsidP="002C4F19">
      <w:pPr>
        <w:tabs>
          <w:tab w:val="left" w:pos="3060"/>
        </w:tabs>
      </w:pPr>
      <w:r w:rsidRPr="00176F13">
        <w:t xml:space="preserve">The effect of this amendment </w:t>
      </w:r>
      <w:r w:rsidR="00C84CA1">
        <w:t xml:space="preserve">is </w:t>
      </w:r>
      <w:r w:rsidRPr="00176F13">
        <w:t xml:space="preserve">that it </w:t>
      </w:r>
      <w:r w:rsidR="00782CCC">
        <w:t xml:space="preserve">is </w:t>
      </w:r>
      <w:r w:rsidRPr="00176F13">
        <w:t xml:space="preserve">possible to provide a form 40SP (Internet) to support an application for a Partner (Residence) (Class BS) visa. </w:t>
      </w:r>
    </w:p>
    <w:p w:rsidR="002C4F19" w:rsidRDefault="00782CCC" w:rsidP="002C4F19">
      <w:pPr>
        <w:tabs>
          <w:tab w:val="left" w:pos="3060"/>
        </w:tabs>
        <w:rPr>
          <w:u w:val="single"/>
        </w:rPr>
      </w:pPr>
      <w:r>
        <w:t>This amendment</w:t>
      </w:r>
      <w:r w:rsidR="002C4F19" w:rsidRPr="00176F13">
        <w:t xml:space="preserve"> ensure</w:t>
      </w:r>
      <w:r>
        <w:t>s</w:t>
      </w:r>
      <w:r w:rsidR="002C4F19" w:rsidRPr="00176F13">
        <w:t xml:space="preserve"> that applicants </w:t>
      </w:r>
      <w:r w:rsidR="00C84CA1">
        <w:t xml:space="preserve">are </w:t>
      </w:r>
      <w:r w:rsidR="002C4F19">
        <w:t>able to</w:t>
      </w:r>
      <w:r w:rsidR="002C4F19" w:rsidRPr="00176F13">
        <w:t xml:space="preserve"> provide </w:t>
      </w:r>
      <w:r w:rsidR="002C4F19">
        <w:t xml:space="preserve">either an approved form 40SP or </w:t>
      </w:r>
      <w:r w:rsidR="002C4F19" w:rsidRPr="00176F13">
        <w:t>a</w:t>
      </w:r>
      <w:r w:rsidR="002C4F19">
        <w:t>n approved</w:t>
      </w:r>
      <w:r w:rsidR="002C4F19" w:rsidRPr="00176F13">
        <w:t xml:space="preserve"> form 40SP (Internet) to support an application for a Partner (Residence) (Class BS) visa. </w:t>
      </w:r>
      <w:r w:rsidR="002C4F19">
        <w:t>Form 40SP is the sponsorship form submitted by the spouse or de facto partner of an application for a Partner (Residence) (Class BS) visa. Form 40SP (Internet) is the Internet based version of that form.</w:t>
      </w:r>
    </w:p>
    <w:p w:rsidR="002C4F19" w:rsidRDefault="002C4F19" w:rsidP="002C4F19">
      <w:pPr>
        <w:tabs>
          <w:tab w:val="left" w:pos="3060"/>
        </w:tabs>
      </w:pPr>
      <w:r>
        <w:rPr>
          <w:u w:val="single"/>
        </w:rPr>
        <w:t xml:space="preserve">Item [6] – At the end of </w:t>
      </w:r>
      <w:proofErr w:type="spellStart"/>
      <w:r>
        <w:rPr>
          <w:u w:val="single"/>
        </w:rPr>
        <w:t>subitem</w:t>
      </w:r>
      <w:proofErr w:type="spellEnd"/>
      <w:r>
        <w:rPr>
          <w:u w:val="single"/>
        </w:rPr>
        <w:t xml:space="preserve"> 1128(2) of Schedule 1 </w:t>
      </w:r>
      <w:r>
        <w:rPr>
          <w:u w:val="single"/>
        </w:rPr>
        <w:br/>
      </w:r>
      <w:r>
        <w:rPr>
          <w:u w:val="single"/>
        </w:rPr>
        <w:br/>
      </w:r>
      <w:r w:rsidRPr="00176F13">
        <w:t>This item insert</w:t>
      </w:r>
      <w:r w:rsidR="00C84CA1">
        <w:t>s</w:t>
      </w:r>
      <w:r w:rsidRPr="00176F13">
        <w:t xml:space="preserve"> a note</w:t>
      </w:r>
      <w:r>
        <w:t xml:space="preserve"> at the end of </w:t>
      </w:r>
      <w:proofErr w:type="spellStart"/>
      <w:r>
        <w:t>subitem</w:t>
      </w:r>
      <w:proofErr w:type="spellEnd"/>
      <w:r>
        <w:t xml:space="preserve"> 1128(2) of Schedule 1.  </w:t>
      </w:r>
      <w:r>
        <w:br/>
      </w:r>
      <w:r>
        <w:br/>
        <w:t>The note provide</w:t>
      </w:r>
      <w:r w:rsidR="00C84CA1">
        <w:t>s</w:t>
      </w:r>
      <w:r w:rsidRPr="00176F13">
        <w:t xml:space="preserve"> that </w:t>
      </w:r>
      <w:r>
        <w:t>regulation 2.12C explains the components of the first instalment of visa application charge (</w:t>
      </w:r>
      <w:r w:rsidR="00782CCC">
        <w:t>‘</w:t>
      </w:r>
      <w:r>
        <w:t>VAC</w:t>
      </w:r>
      <w:r w:rsidR="00782CCC">
        <w:t>’</w:t>
      </w:r>
      <w:r>
        <w:t>) in full and specifies the amounts of subsequent temporary application charge and non-Internet application charge.  The note also provide</w:t>
      </w:r>
      <w:r w:rsidR="00C84CA1">
        <w:t>s</w:t>
      </w:r>
      <w:r>
        <w:t xml:space="preserve"> that not all of the components may apply to a particular application, and would clarify that additional applicant charge is paid by an applicant who claims to be a member of the family unit of another application and seeks to combine their application with that applicant’s application.   </w:t>
      </w:r>
    </w:p>
    <w:p w:rsidR="002C4F19" w:rsidRDefault="002C4F19" w:rsidP="002C4F19">
      <w:pPr>
        <w:tabs>
          <w:tab w:val="left" w:pos="3060"/>
        </w:tabs>
      </w:pPr>
      <w:r>
        <w:t xml:space="preserve">The purpose of this amendment is to provide, in item 1128, a reference to regulation 2.12C, and to explain the applicability of the non-Internet application charge and the subsequent temporary application charge.   This note should have been inserted here in the </w:t>
      </w:r>
      <w:r>
        <w:rPr>
          <w:i/>
        </w:rPr>
        <w:t>Migration Amendment (Visa Application Charge and Related Matters) Regulation 2013</w:t>
      </w:r>
      <w:r>
        <w:t xml:space="preserve"> but was erroneously omitted.</w:t>
      </w:r>
      <w:r>
        <w:rPr>
          <w:u w:val="single"/>
        </w:rPr>
        <w:br/>
      </w:r>
      <w:r>
        <w:rPr>
          <w:u w:val="single"/>
        </w:rPr>
        <w:br/>
      </w:r>
      <w:r w:rsidRPr="00176F13">
        <w:rPr>
          <w:u w:val="single"/>
        </w:rPr>
        <w:t>Item [7] – Paragraph 1129(3)(a) of Schedule 1</w:t>
      </w:r>
    </w:p>
    <w:p w:rsidR="002C4F19" w:rsidRDefault="002C4F19" w:rsidP="002C4F19">
      <w:pPr>
        <w:tabs>
          <w:tab w:val="left" w:pos="3060"/>
        </w:tabs>
      </w:pPr>
      <w:r w:rsidRPr="00176F13">
        <w:t>This item insert</w:t>
      </w:r>
      <w:r w:rsidR="00C84CA1">
        <w:t>s</w:t>
      </w:r>
      <w:r w:rsidRPr="00176F13">
        <w:t xml:space="preserve"> “(not being an Internet application)” after “Application”</w:t>
      </w:r>
      <w:r>
        <w:t xml:space="preserve"> in paragraph 1129(3)(a) of Schedule 1</w:t>
      </w:r>
      <w:r w:rsidRPr="00176F13">
        <w:t xml:space="preserve">. </w:t>
      </w:r>
    </w:p>
    <w:p w:rsidR="002C4F19" w:rsidRDefault="002C4F19" w:rsidP="002C4F19">
      <w:pPr>
        <w:tabs>
          <w:tab w:val="left" w:pos="3060"/>
        </w:tabs>
      </w:pPr>
      <w:r w:rsidRPr="00176F13">
        <w:t xml:space="preserve">The effect of this amendment </w:t>
      </w:r>
      <w:r w:rsidR="008961BD">
        <w:t>is</w:t>
      </w:r>
      <w:r w:rsidRPr="00176F13">
        <w:t xml:space="preserve"> </w:t>
      </w:r>
      <w:r>
        <w:t xml:space="preserve">to ensure </w:t>
      </w:r>
      <w:r w:rsidRPr="00176F13">
        <w:t>that</w:t>
      </w:r>
      <w:r>
        <w:t xml:space="preserve"> the requirement in </w:t>
      </w:r>
      <w:proofErr w:type="spellStart"/>
      <w:r>
        <w:t>subitem</w:t>
      </w:r>
      <w:proofErr w:type="spellEnd"/>
      <w:r>
        <w:t xml:space="preserve"> 1129(3) of Schedule 1 to the </w:t>
      </w:r>
      <w:r w:rsidR="00782CCC">
        <w:rPr>
          <w:szCs w:val="24"/>
        </w:rPr>
        <w:t>Principal</w:t>
      </w:r>
      <w:r w:rsidR="00782CCC" w:rsidRPr="00400B46">
        <w:rPr>
          <w:szCs w:val="24"/>
        </w:rPr>
        <w:t xml:space="preserve"> </w:t>
      </w:r>
      <w:r>
        <w:t>Regulations, for an application to be made outside Australia if it is made by the holder of a visa prescribed in subparagraphs 1129(3)(a)(</w:t>
      </w:r>
      <w:proofErr w:type="spellStart"/>
      <w:r>
        <w:t>i</w:t>
      </w:r>
      <w:proofErr w:type="spellEnd"/>
      <w:r>
        <w:t xml:space="preserve">) and (ii), </w:t>
      </w:r>
      <w:r w:rsidR="008961BD">
        <w:t>applies</w:t>
      </w:r>
      <w:r>
        <w:t xml:space="preserve"> only </w:t>
      </w:r>
      <w:r w:rsidRPr="00176F13">
        <w:t xml:space="preserve">to applications that are not Internet applications. </w:t>
      </w:r>
    </w:p>
    <w:p w:rsidR="002C4F19" w:rsidRPr="00A2323F" w:rsidRDefault="002C4F19" w:rsidP="002C4F19">
      <w:pPr>
        <w:tabs>
          <w:tab w:val="left" w:pos="3060"/>
        </w:tabs>
      </w:pPr>
      <w:r w:rsidRPr="00176F13">
        <w:t>The purpose of th</w:t>
      </w:r>
      <w:r>
        <w:t>is amendment is to exclude Internet applications from paragraph 1129(3)(a) so that Internet applications made by the holder of one of the visas prescribed in subparagraphs 1129(3)(a)(</w:t>
      </w:r>
      <w:proofErr w:type="spellStart"/>
      <w:r>
        <w:t>i</w:t>
      </w:r>
      <w:proofErr w:type="spellEnd"/>
      <w:r>
        <w:t xml:space="preserve">) and (ii) </w:t>
      </w:r>
      <w:r w:rsidR="008961BD">
        <w:t>are</w:t>
      </w:r>
      <w:r>
        <w:t xml:space="preserve"> not be required to be made outside Australia. </w:t>
      </w:r>
      <w:r>
        <w:br/>
      </w:r>
      <w:r>
        <w:rPr>
          <w:u w:val="single"/>
        </w:rPr>
        <w:br/>
        <w:t>Item [8] – Paragraph 1129(3)(f) of Schedule 1</w:t>
      </w:r>
    </w:p>
    <w:p w:rsidR="002C4F19" w:rsidRDefault="002C4F19" w:rsidP="002C4F19">
      <w:pPr>
        <w:tabs>
          <w:tab w:val="left" w:pos="3060"/>
        </w:tabs>
      </w:pPr>
      <w:r w:rsidRPr="00176F13">
        <w:t>This item insert</w:t>
      </w:r>
      <w:r w:rsidR="008961BD">
        <w:t>s</w:t>
      </w:r>
      <w:r w:rsidRPr="00176F13">
        <w:t xml:space="preserve"> “(not being an Internet application)” after “An application”</w:t>
      </w:r>
      <w:r w:rsidR="006F3E38">
        <w:t xml:space="preserve"> in paragraph 1</w:t>
      </w:r>
      <w:r>
        <w:t>129(3)(f) of Schedule 1</w:t>
      </w:r>
      <w:r w:rsidRPr="00176F13">
        <w:t xml:space="preserve">. </w:t>
      </w:r>
    </w:p>
    <w:p w:rsidR="002C4F19" w:rsidRDefault="002C4F19" w:rsidP="002C4F19">
      <w:pPr>
        <w:tabs>
          <w:tab w:val="left" w:pos="3060"/>
        </w:tabs>
      </w:pPr>
      <w:r w:rsidRPr="00176F13">
        <w:t>The effect of this amendment</w:t>
      </w:r>
      <w:r w:rsidR="000C1D4D">
        <w:t xml:space="preserve"> is</w:t>
      </w:r>
      <w:r w:rsidRPr="00176F13">
        <w:t xml:space="preserve"> that</w:t>
      </w:r>
      <w:r>
        <w:t xml:space="preserve"> the requirement in </w:t>
      </w:r>
      <w:proofErr w:type="spellStart"/>
      <w:r>
        <w:t>subitem</w:t>
      </w:r>
      <w:proofErr w:type="spellEnd"/>
      <w:r>
        <w:t xml:space="preserve"> 1129(3)(f) of Schedule 1 to the </w:t>
      </w:r>
      <w:r w:rsidR="00782CCC">
        <w:rPr>
          <w:szCs w:val="24"/>
        </w:rPr>
        <w:t>Principal</w:t>
      </w:r>
      <w:r w:rsidR="00782CCC" w:rsidRPr="00400B46">
        <w:rPr>
          <w:szCs w:val="24"/>
        </w:rPr>
        <w:t xml:space="preserve"> </w:t>
      </w:r>
      <w:r>
        <w:t>Regulations, for an application to be made by one of</w:t>
      </w:r>
      <w:r w:rsidRPr="00176F13">
        <w:t xml:space="preserve"> the methods</w:t>
      </w:r>
      <w:r>
        <w:t xml:space="preserve"> prescribed in subparagraphs 1129(3)(f)(</w:t>
      </w:r>
      <w:proofErr w:type="spellStart"/>
      <w:r>
        <w:t>i</w:t>
      </w:r>
      <w:proofErr w:type="spellEnd"/>
      <w:r>
        <w:t xml:space="preserve">), (ii) or (iii), </w:t>
      </w:r>
      <w:r w:rsidR="008961BD">
        <w:t>applies</w:t>
      </w:r>
      <w:r>
        <w:t xml:space="preserve"> only</w:t>
      </w:r>
      <w:r w:rsidRPr="00176F13">
        <w:t xml:space="preserve"> to applications that are not Internet applications. </w:t>
      </w:r>
    </w:p>
    <w:p w:rsidR="002C4F19" w:rsidRDefault="002C4F19" w:rsidP="002C4F19">
      <w:pPr>
        <w:tabs>
          <w:tab w:val="left" w:pos="3060"/>
        </w:tabs>
        <w:rPr>
          <w:u w:val="single"/>
        </w:rPr>
      </w:pPr>
      <w:r w:rsidRPr="00176F13">
        <w:t xml:space="preserve">The purpose of this amendment is to </w:t>
      </w:r>
      <w:r>
        <w:t>provide that only applications</w:t>
      </w:r>
      <w:r w:rsidRPr="00176F13">
        <w:t xml:space="preserve"> </w:t>
      </w:r>
      <w:r>
        <w:t>for a Partner (Migrant) (Class BC) (Subclass 100) visa</w:t>
      </w:r>
      <w:r w:rsidRPr="00176F13">
        <w:t xml:space="preserve"> that are not Internet applications</w:t>
      </w:r>
      <w:r>
        <w:t xml:space="preserve"> </w:t>
      </w:r>
      <w:r w:rsidR="008961BD">
        <w:t xml:space="preserve">are </w:t>
      </w:r>
      <w:r>
        <w:t>required to be made by one of the methods prescribed in subparagraphs 1129(3)(f)(</w:t>
      </w:r>
      <w:proofErr w:type="spellStart"/>
      <w:r>
        <w:t>i</w:t>
      </w:r>
      <w:proofErr w:type="spellEnd"/>
      <w:r>
        <w:t>), (ii) or (iii)</w:t>
      </w:r>
      <w:r w:rsidRPr="00176F13">
        <w:t>.</w:t>
      </w:r>
      <w:r>
        <w:br/>
      </w:r>
    </w:p>
    <w:p w:rsidR="002C4F19" w:rsidRDefault="002C4F19" w:rsidP="002C4F19">
      <w:pPr>
        <w:tabs>
          <w:tab w:val="left" w:pos="3060"/>
        </w:tabs>
        <w:rPr>
          <w:u w:val="single"/>
        </w:rPr>
      </w:pPr>
      <w:r>
        <w:rPr>
          <w:u w:val="single"/>
        </w:rPr>
        <w:t>Item [9] – Paragraph 1214C(3)(</w:t>
      </w:r>
      <w:proofErr w:type="spellStart"/>
      <w:r>
        <w:rPr>
          <w:u w:val="single"/>
        </w:rPr>
        <w:t>fa</w:t>
      </w:r>
      <w:proofErr w:type="spellEnd"/>
      <w:r>
        <w:rPr>
          <w:u w:val="single"/>
        </w:rPr>
        <w:t>) of Schedule 1</w:t>
      </w:r>
    </w:p>
    <w:p w:rsidR="002C4F19" w:rsidRDefault="002C4F19" w:rsidP="002C4F19">
      <w:pPr>
        <w:tabs>
          <w:tab w:val="left" w:pos="3060"/>
        </w:tabs>
      </w:pPr>
      <w:r w:rsidRPr="00176F13">
        <w:t>This item insert</w:t>
      </w:r>
      <w:r w:rsidR="008961BD">
        <w:t>s</w:t>
      </w:r>
      <w:r w:rsidRPr="00176F13">
        <w:t xml:space="preserve"> “(not being an Internet applic</w:t>
      </w:r>
      <w:r>
        <w:t>ation)” after “An application” in paragraph 1214(3)(</w:t>
      </w:r>
      <w:proofErr w:type="spellStart"/>
      <w:r>
        <w:t>fa</w:t>
      </w:r>
      <w:proofErr w:type="spellEnd"/>
      <w:r>
        <w:t>) of Schedule 1.</w:t>
      </w:r>
      <w:r w:rsidRPr="00A2323F">
        <w:t xml:space="preserve"> </w:t>
      </w:r>
    </w:p>
    <w:p w:rsidR="002C4F19" w:rsidRDefault="002C4F19" w:rsidP="002C4F19">
      <w:pPr>
        <w:tabs>
          <w:tab w:val="left" w:pos="3060"/>
        </w:tabs>
      </w:pPr>
      <w:r w:rsidRPr="00176F13">
        <w:t xml:space="preserve">The effect of this amendment </w:t>
      </w:r>
      <w:r w:rsidR="008961BD">
        <w:t>is</w:t>
      </w:r>
      <w:r>
        <w:t xml:space="preserve"> that the requirement in </w:t>
      </w:r>
      <w:proofErr w:type="spellStart"/>
      <w:r>
        <w:t>subitem</w:t>
      </w:r>
      <w:proofErr w:type="spellEnd"/>
      <w:r>
        <w:t xml:space="preserve"> 1214C(3) of Schedule 1 to the </w:t>
      </w:r>
      <w:r w:rsidR="00782CCC">
        <w:rPr>
          <w:szCs w:val="24"/>
        </w:rPr>
        <w:t>Principal</w:t>
      </w:r>
      <w:r w:rsidR="00782CCC" w:rsidRPr="00400B46">
        <w:rPr>
          <w:szCs w:val="24"/>
        </w:rPr>
        <w:t xml:space="preserve"> </w:t>
      </w:r>
      <w:r>
        <w:t>Regulations, for an application to be made by one of the methods prescribed in subparagraphs 1214C(3)(</w:t>
      </w:r>
      <w:proofErr w:type="spellStart"/>
      <w:r>
        <w:t>fa</w:t>
      </w:r>
      <w:proofErr w:type="spellEnd"/>
      <w:r>
        <w:t>)(</w:t>
      </w:r>
      <w:proofErr w:type="spellStart"/>
      <w:r>
        <w:t>i</w:t>
      </w:r>
      <w:proofErr w:type="spellEnd"/>
      <w:r>
        <w:t xml:space="preserve">), (ii) and (iii), would apply only to </w:t>
      </w:r>
      <w:r w:rsidRPr="00176F13">
        <w:t>applications tha</w:t>
      </w:r>
      <w:r>
        <w:t xml:space="preserve">t are not Internet applications. </w:t>
      </w:r>
      <w:r>
        <w:br/>
      </w:r>
      <w:r>
        <w:br/>
      </w:r>
      <w:r w:rsidRPr="00176F13">
        <w:t xml:space="preserve">The purpose of this amendment is to </w:t>
      </w:r>
      <w:r>
        <w:t xml:space="preserve">provide that only applications for a Partner (Temporary) (Class UK) visa that are not Internet applications </w:t>
      </w:r>
      <w:r w:rsidR="008961BD">
        <w:t>are</w:t>
      </w:r>
      <w:r>
        <w:t xml:space="preserve"> required to be made by one of the methods prescribed in subparagraphs 1214C(3)(</w:t>
      </w:r>
      <w:proofErr w:type="spellStart"/>
      <w:r>
        <w:t>fa</w:t>
      </w:r>
      <w:proofErr w:type="spellEnd"/>
      <w:r>
        <w:t>)(</w:t>
      </w:r>
      <w:proofErr w:type="spellStart"/>
      <w:r>
        <w:t>i</w:t>
      </w:r>
      <w:proofErr w:type="spellEnd"/>
      <w:r>
        <w:t>), (ii) or (iii)</w:t>
      </w:r>
      <w:r w:rsidRPr="00176F13">
        <w:t>.</w:t>
      </w:r>
    </w:p>
    <w:p w:rsidR="002C4F19" w:rsidRDefault="002C4F19" w:rsidP="002C4F19">
      <w:pPr>
        <w:tabs>
          <w:tab w:val="left" w:pos="3060"/>
        </w:tabs>
        <w:rPr>
          <w:u w:val="single"/>
        </w:rPr>
      </w:pPr>
      <w:r>
        <w:rPr>
          <w:u w:val="single"/>
        </w:rPr>
        <w:t>Item [10] – Paragraph 1215(3)(a) of Schedule 1</w:t>
      </w:r>
    </w:p>
    <w:p w:rsidR="002C4F19" w:rsidRDefault="002C4F19" w:rsidP="002C4F19">
      <w:pPr>
        <w:tabs>
          <w:tab w:val="left" w:pos="3060"/>
        </w:tabs>
      </w:pPr>
      <w:r w:rsidRPr="00176F13">
        <w:t>This item would insert “(not being an Internet applic</w:t>
      </w:r>
      <w:r>
        <w:t>ation)” after “Application” in paragraph 1215C(3)(a) of Schedule 1.</w:t>
      </w:r>
    </w:p>
    <w:p w:rsidR="002C4F19" w:rsidRDefault="002C4F19" w:rsidP="002C4F19">
      <w:pPr>
        <w:tabs>
          <w:tab w:val="left" w:pos="3060"/>
        </w:tabs>
      </w:pPr>
      <w:r w:rsidRPr="00176F13">
        <w:t xml:space="preserve">The effect of this amendment </w:t>
      </w:r>
      <w:r w:rsidR="008961BD">
        <w:t>is</w:t>
      </w:r>
      <w:r>
        <w:t xml:space="preserve"> to ensure that the requirement in paragraph 1215(3)(a) of Schedule 1 to the </w:t>
      </w:r>
      <w:r w:rsidR="00782CCC">
        <w:rPr>
          <w:szCs w:val="24"/>
        </w:rPr>
        <w:t>Principal</w:t>
      </w:r>
      <w:r w:rsidR="00782CCC" w:rsidRPr="00400B46">
        <w:rPr>
          <w:szCs w:val="24"/>
        </w:rPr>
        <w:t xml:space="preserve"> </w:t>
      </w:r>
      <w:r>
        <w:t xml:space="preserve">Regulations, for an application to be made outside Australia, </w:t>
      </w:r>
      <w:r w:rsidR="008961BD">
        <w:t>applies</w:t>
      </w:r>
      <w:r>
        <w:t xml:space="preserve"> only </w:t>
      </w:r>
      <w:r w:rsidRPr="00176F13">
        <w:t>to applications that are not Internet applications.</w:t>
      </w:r>
    </w:p>
    <w:p w:rsidR="002C4F19" w:rsidRPr="00176F13" w:rsidRDefault="002C4F19" w:rsidP="002C4F19">
      <w:pPr>
        <w:tabs>
          <w:tab w:val="left" w:pos="3060"/>
        </w:tabs>
      </w:pPr>
      <w:r w:rsidRPr="00176F13">
        <w:t xml:space="preserve">The purpose of this amendment is </w:t>
      </w:r>
      <w:r>
        <w:t xml:space="preserve">exclude Internet applications from paragraph 1215(3)(a) so that only applications for a Prospective Marriage (Temporary) (Class TO) visa that are not Internet applications </w:t>
      </w:r>
      <w:r w:rsidR="008961BD">
        <w:t xml:space="preserve">are </w:t>
      </w:r>
      <w:r>
        <w:t>required to be made outside Australia</w:t>
      </w:r>
      <w:r w:rsidRPr="00176F13">
        <w:t>.</w:t>
      </w:r>
    </w:p>
    <w:p w:rsidR="002C4F19" w:rsidRDefault="002C4F19" w:rsidP="002C4F19">
      <w:pPr>
        <w:keepNext/>
        <w:keepLines/>
        <w:spacing w:before="0"/>
        <w:ind w:right="748"/>
        <w:rPr>
          <w:u w:val="single"/>
        </w:rPr>
      </w:pPr>
    </w:p>
    <w:p w:rsidR="002C4F19" w:rsidRDefault="002C4F19" w:rsidP="002C4F19">
      <w:pPr>
        <w:keepNext/>
        <w:keepLines/>
        <w:spacing w:before="0"/>
        <w:ind w:right="748"/>
        <w:rPr>
          <w:u w:val="single"/>
        </w:rPr>
      </w:pPr>
      <w:r>
        <w:rPr>
          <w:u w:val="single"/>
        </w:rPr>
        <w:t>Item [11] – Paragraph 1220A(3)(a) of Schedule 1</w:t>
      </w:r>
    </w:p>
    <w:p w:rsidR="002C4F19" w:rsidRDefault="002C4F19" w:rsidP="006F3E38">
      <w:pPr>
        <w:keepNext/>
        <w:keepLines/>
        <w:spacing w:before="0"/>
        <w:ind w:right="95"/>
        <w:rPr>
          <w:u w:val="single"/>
        </w:rPr>
      </w:pPr>
    </w:p>
    <w:p w:rsidR="002C4F19" w:rsidRPr="00176F13" w:rsidRDefault="002C4F19" w:rsidP="006F3E38">
      <w:pPr>
        <w:keepNext/>
        <w:keepLines/>
        <w:spacing w:before="0"/>
        <w:ind w:right="95"/>
      </w:pPr>
      <w:r w:rsidRPr="00176F13">
        <w:t>This item would insert “(not being an Internet application)” after “</w:t>
      </w:r>
      <w:r>
        <w:t>A</w:t>
      </w:r>
      <w:r w:rsidRPr="00176F13">
        <w:t>pplication”</w:t>
      </w:r>
      <w:r>
        <w:t xml:space="preserve"> in paragraph 1220A(3)(a) of Schedule 1</w:t>
      </w:r>
      <w:r w:rsidRPr="00176F13">
        <w:t xml:space="preserve">. </w:t>
      </w:r>
    </w:p>
    <w:p w:rsidR="002C4F19" w:rsidRPr="00176F13" w:rsidRDefault="002C4F19" w:rsidP="006F3E38">
      <w:pPr>
        <w:keepNext/>
        <w:keepLines/>
        <w:spacing w:before="0"/>
        <w:ind w:right="95"/>
      </w:pPr>
    </w:p>
    <w:p w:rsidR="002C4F19" w:rsidRPr="00176F13" w:rsidRDefault="002C4F19" w:rsidP="006F3E38">
      <w:pPr>
        <w:keepNext/>
        <w:keepLines/>
        <w:spacing w:before="0"/>
        <w:ind w:right="95"/>
      </w:pPr>
      <w:r w:rsidRPr="00176F13">
        <w:t xml:space="preserve">The effect of this amendment </w:t>
      </w:r>
      <w:r w:rsidR="008961BD">
        <w:t>is</w:t>
      </w:r>
      <w:r>
        <w:t xml:space="preserve"> to ensure th</w:t>
      </w:r>
      <w:r w:rsidR="00782CCC">
        <w:t xml:space="preserve">at the requirement in paragraph </w:t>
      </w:r>
      <w:r>
        <w:t xml:space="preserve">1220A(3)(a) of Schedule 1 to the </w:t>
      </w:r>
      <w:r w:rsidR="00782CCC">
        <w:rPr>
          <w:szCs w:val="24"/>
        </w:rPr>
        <w:t>Principal</w:t>
      </w:r>
      <w:r w:rsidR="00782CCC" w:rsidRPr="00400B46">
        <w:rPr>
          <w:szCs w:val="24"/>
        </w:rPr>
        <w:t xml:space="preserve"> </w:t>
      </w:r>
      <w:r>
        <w:t>Regulations, for an application to be made outside Australia, would only apply</w:t>
      </w:r>
      <w:r w:rsidRPr="00176F13">
        <w:t xml:space="preserve"> to applications that are not Internet applications.</w:t>
      </w:r>
    </w:p>
    <w:p w:rsidR="002C4F19" w:rsidRPr="00176F13" w:rsidRDefault="002C4F19" w:rsidP="006F3E38">
      <w:pPr>
        <w:keepNext/>
        <w:keepLines/>
        <w:spacing w:before="0"/>
        <w:ind w:right="95"/>
      </w:pPr>
    </w:p>
    <w:p w:rsidR="002C4F19" w:rsidRPr="00176F13" w:rsidRDefault="002C4F19" w:rsidP="006F3E38">
      <w:pPr>
        <w:keepNext/>
        <w:keepLines/>
        <w:spacing w:before="0"/>
        <w:ind w:right="95"/>
      </w:pPr>
      <w:r w:rsidRPr="00176F13">
        <w:t xml:space="preserve">The purpose of this amendment is to </w:t>
      </w:r>
      <w:r>
        <w:t xml:space="preserve">exclude Internet applications from paragraph 1220A(3)(a) so that only applications for a Partner (Provisional) (Class UF) visa </w:t>
      </w:r>
      <w:r w:rsidRPr="00176F13">
        <w:t>that are not Internet applications</w:t>
      </w:r>
      <w:r>
        <w:t xml:space="preserve">, </w:t>
      </w:r>
      <w:r w:rsidR="008961BD">
        <w:t>are</w:t>
      </w:r>
      <w:r>
        <w:t xml:space="preserve"> be required to be made outside Australia</w:t>
      </w:r>
      <w:r w:rsidRPr="00176F13">
        <w:t>.</w:t>
      </w:r>
    </w:p>
    <w:p w:rsidR="002C4F19" w:rsidRPr="00176F13" w:rsidRDefault="002C4F19" w:rsidP="002C4F19">
      <w:pPr>
        <w:keepNext/>
        <w:keepLines/>
        <w:spacing w:before="0"/>
        <w:ind w:right="748"/>
        <w:rPr>
          <w:u w:val="single"/>
        </w:rPr>
      </w:pPr>
    </w:p>
    <w:p w:rsidR="002C4F19" w:rsidRPr="00176F13" w:rsidRDefault="002C4F19" w:rsidP="002C4F19">
      <w:pPr>
        <w:keepNext/>
        <w:keepLines/>
        <w:spacing w:before="0"/>
        <w:ind w:right="748"/>
        <w:rPr>
          <w:u w:val="single"/>
        </w:rPr>
      </w:pPr>
      <w:r w:rsidRPr="00176F13">
        <w:rPr>
          <w:u w:val="single"/>
        </w:rPr>
        <w:t>Item [12] – Sub-</w:t>
      </w:r>
      <w:r w:rsidRPr="00176F13">
        <w:rPr>
          <w:szCs w:val="24"/>
          <w:u w:val="single"/>
        </w:rPr>
        <w:t xml:space="preserve">subparagraph </w:t>
      </w:r>
      <w:r w:rsidRPr="00176F13">
        <w:rPr>
          <w:bCs/>
          <w:szCs w:val="24"/>
          <w:u w:val="single"/>
        </w:rPr>
        <w:t xml:space="preserve">1231(2)(a)(ii)(C) </w:t>
      </w:r>
      <w:r w:rsidRPr="00176F13">
        <w:rPr>
          <w:szCs w:val="24"/>
          <w:u w:val="single"/>
        </w:rPr>
        <w:t>of Schedule</w:t>
      </w:r>
      <w:r w:rsidRPr="00176F13">
        <w:rPr>
          <w:u w:val="single"/>
        </w:rPr>
        <w:t xml:space="preserve"> 1</w:t>
      </w:r>
    </w:p>
    <w:p w:rsidR="002C4F19" w:rsidRPr="002C4F19" w:rsidRDefault="002C4F19" w:rsidP="002C4F19">
      <w:pPr>
        <w:ind w:right="91"/>
        <w:rPr>
          <w:iCs/>
          <w:szCs w:val="24"/>
        </w:rPr>
      </w:pPr>
      <w:r w:rsidRPr="00176F13">
        <w:t>This item</w:t>
      </w:r>
      <w:r>
        <w:t xml:space="preserve"> </w:t>
      </w:r>
      <w:r w:rsidR="008961BD">
        <w:t>is to</w:t>
      </w:r>
      <w:r w:rsidRPr="00176F13">
        <w:t xml:space="preserve"> renumber</w:t>
      </w:r>
      <w:r>
        <w:t xml:space="preserve"> sub-subparagraph 1231(2)(a)(ii)(C) of Schedule 1</w:t>
      </w:r>
      <w:r w:rsidRPr="00176F13">
        <w:t xml:space="preserve"> as sub-subparagraph 1231(2)(a)(ii)(B). The purpose of this amendment is to correct a numbering error inserted </w:t>
      </w:r>
      <w:r w:rsidRPr="002C4B8E">
        <w:t xml:space="preserve">by </w:t>
      </w:r>
      <w:r w:rsidRPr="002C4B8E">
        <w:rPr>
          <w:i/>
          <w:iCs/>
          <w:szCs w:val="24"/>
        </w:rPr>
        <w:t>M</w:t>
      </w:r>
      <w:r w:rsidRPr="00DA64A1">
        <w:rPr>
          <w:i/>
          <w:iCs/>
          <w:szCs w:val="24"/>
        </w:rPr>
        <w:t>igration Amendment (Visa Application Charge and Related Matters) Regulation 2013</w:t>
      </w:r>
      <w:r>
        <w:rPr>
          <w:iCs/>
          <w:szCs w:val="24"/>
        </w:rPr>
        <w:t xml:space="preserve">.  This is a technical amendment made to ensure that the numbering of the sub-subparagraphs in subparagraph 1231(2)(a)(ii) is sequential.  </w:t>
      </w:r>
    </w:p>
    <w:p w:rsidR="002C4F19" w:rsidRDefault="002C4F19" w:rsidP="002C4F19">
      <w:pPr>
        <w:keepNext/>
        <w:keepLines/>
        <w:spacing w:before="0"/>
        <w:ind w:right="748"/>
      </w:pPr>
      <w:r w:rsidRPr="00176F13">
        <w:rPr>
          <w:iCs/>
          <w:szCs w:val="24"/>
          <w:u w:val="single"/>
        </w:rPr>
        <w:t xml:space="preserve">Item [13] – At the end of </w:t>
      </w:r>
      <w:proofErr w:type="spellStart"/>
      <w:r w:rsidRPr="00176F13">
        <w:rPr>
          <w:iCs/>
          <w:szCs w:val="24"/>
          <w:u w:val="single"/>
        </w:rPr>
        <w:t>subitem</w:t>
      </w:r>
      <w:proofErr w:type="spellEnd"/>
      <w:r w:rsidRPr="00176F13">
        <w:rPr>
          <w:iCs/>
          <w:szCs w:val="24"/>
          <w:u w:val="single"/>
        </w:rPr>
        <w:t xml:space="preserve"> 1236(2) of Schedule 1</w:t>
      </w:r>
      <w:r>
        <w:rPr>
          <w:iCs/>
          <w:szCs w:val="24"/>
          <w:u w:val="single"/>
        </w:rPr>
        <w:br/>
      </w:r>
      <w:r>
        <w:rPr>
          <w:iCs/>
          <w:szCs w:val="24"/>
          <w:u w:val="single"/>
        </w:rPr>
        <w:br/>
      </w:r>
      <w:r w:rsidRPr="00176F13">
        <w:t>This item insert</w:t>
      </w:r>
      <w:r w:rsidR="008961BD">
        <w:t>s</w:t>
      </w:r>
      <w:r w:rsidRPr="00176F13">
        <w:t xml:space="preserve"> a note</w:t>
      </w:r>
      <w:r>
        <w:t xml:space="preserve"> at the end of </w:t>
      </w:r>
      <w:proofErr w:type="spellStart"/>
      <w:r>
        <w:t>subitem</w:t>
      </w:r>
      <w:proofErr w:type="spellEnd"/>
      <w:r>
        <w:t xml:space="preserve"> 1236(2) of Schedule 1. </w:t>
      </w:r>
    </w:p>
    <w:p w:rsidR="002C4F19" w:rsidRDefault="002C4F19" w:rsidP="002C4F19">
      <w:pPr>
        <w:keepNext/>
        <w:keepLines/>
        <w:spacing w:before="0"/>
        <w:ind w:right="748"/>
      </w:pPr>
    </w:p>
    <w:p w:rsidR="002C4F19" w:rsidRDefault="002C4F19" w:rsidP="002C4F19">
      <w:pPr>
        <w:keepNext/>
        <w:keepLines/>
        <w:spacing w:before="0"/>
        <w:ind w:right="748"/>
      </w:pPr>
      <w:r>
        <w:t>The note provide</w:t>
      </w:r>
      <w:r w:rsidR="008961BD">
        <w:t>s</w:t>
      </w:r>
      <w:r>
        <w:t xml:space="preserve"> that regulation 2.12C provides the components of the first instalment of VAC and specifies the amounts of subsequent temporary application charge and non-Internet application charge.  The note also provide</w:t>
      </w:r>
      <w:r w:rsidR="008961BD">
        <w:t>s</w:t>
      </w:r>
      <w:r>
        <w:t xml:space="preserve"> that not all of the components may apply to a particular application, and would clarif</w:t>
      </w:r>
      <w:r w:rsidR="008961BD">
        <w:t>ies</w:t>
      </w:r>
      <w:r>
        <w:t xml:space="preserve"> that additional applicant charge is paid by an applicant who claims to be a member of the family unit of another application and seeks to combine their application with that applicant’s application.</w:t>
      </w:r>
    </w:p>
    <w:p w:rsidR="002C4F19" w:rsidRDefault="002C4F19" w:rsidP="002C4F19">
      <w:pPr>
        <w:keepNext/>
        <w:keepLines/>
        <w:spacing w:before="0"/>
        <w:ind w:right="748"/>
      </w:pPr>
    </w:p>
    <w:p w:rsidR="002C4F19" w:rsidRPr="00176F13" w:rsidRDefault="002C4F19" w:rsidP="002C4F19">
      <w:pPr>
        <w:keepNext/>
        <w:keepLines/>
        <w:spacing w:before="0"/>
        <w:ind w:right="748"/>
        <w:rPr>
          <w:iCs/>
          <w:szCs w:val="24"/>
          <w:u w:val="single"/>
        </w:rPr>
      </w:pPr>
      <w:r>
        <w:t xml:space="preserve">The purpose of this amendment is to provide, in item 1236, a reference to regulation 2.12C, and to explain the applicability of the non-Internet application charge and the subsequent temporary application charge.   This note should have been inserted here in the </w:t>
      </w:r>
      <w:r>
        <w:rPr>
          <w:i/>
        </w:rPr>
        <w:t xml:space="preserve">Migration Amendment (Visa Application Charge and Related Matters) Regulation 2013 </w:t>
      </w:r>
      <w:r w:rsidRPr="00C62347">
        <w:t xml:space="preserve">but was erroneously omitted. </w:t>
      </w:r>
      <w:r>
        <w:rPr>
          <w:u w:val="single"/>
        </w:rPr>
        <w:br/>
      </w:r>
      <w:r>
        <w:rPr>
          <w:iCs/>
          <w:szCs w:val="24"/>
          <w:u w:val="single"/>
        </w:rPr>
        <w:br/>
      </w:r>
      <w:r w:rsidRPr="00176F13">
        <w:rPr>
          <w:iCs/>
          <w:szCs w:val="24"/>
          <w:u w:val="single"/>
        </w:rPr>
        <w:t xml:space="preserve">Item [14] - </w:t>
      </w:r>
      <w:r w:rsidRPr="00176F13">
        <w:rPr>
          <w:bCs/>
          <w:sz w:val="23"/>
          <w:szCs w:val="23"/>
          <w:u w:val="single"/>
        </w:rPr>
        <w:t>Paragraph 1402(2)(b) of Schedule 1 (table, third item)</w:t>
      </w:r>
      <w:r>
        <w:rPr>
          <w:bCs/>
          <w:sz w:val="23"/>
          <w:szCs w:val="23"/>
          <w:u w:val="single"/>
        </w:rPr>
        <w:br/>
      </w:r>
    </w:p>
    <w:p w:rsidR="002C4F19" w:rsidRDefault="002C4F19" w:rsidP="002C4F19">
      <w:pPr>
        <w:keepNext/>
        <w:keepLines/>
        <w:spacing w:before="0"/>
        <w:ind w:right="748"/>
        <w:rPr>
          <w:u w:val="single"/>
        </w:rPr>
      </w:pPr>
      <w:r>
        <w:rPr>
          <w:iCs/>
          <w:szCs w:val="24"/>
        </w:rPr>
        <w:t>This item number</w:t>
      </w:r>
      <w:r w:rsidR="00664186">
        <w:rPr>
          <w:iCs/>
          <w:szCs w:val="24"/>
        </w:rPr>
        <w:t>s</w:t>
      </w:r>
      <w:r>
        <w:rPr>
          <w:iCs/>
          <w:szCs w:val="24"/>
        </w:rPr>
        <w:t xml:space="preserve"> the third item in the table to paragraph 1402(2)b) of Schedule 1 as number 3. The purpose of this amendment is to correct a typographical error made by the </w:t>
      </w:r>
      <w:r>
        <w:rPr>
          <w:i/>
          <w:iCs/>
          <w:szCs w:val="24"/>
        </w:rPr>
        <w:t>Migration Amendment (Visa Application Charge and Related Matters) Regulation 2013</w:t>
      </w:r>
      <w:r>
        <w:rPr>
          <w:iCs/>
          <w:szCs w:val="24"/>
        </w:rPr>
        <w:t xml:space="preserve"> that resulted in the third item in the table not being numbered.</w:t>
      </w:r>
    </w:p>
    <w:p w:rsidR="002C4F19" w:rsidRDefault="002C4F19" w:rsidP="002C4F19">
      <w:pPr>
        <w:keepNext/>
        <w:keepLines/>
        <w:spacing w:before="0"/>
        <w:ind w:right="748"/>
        <w:rPr>
          <w:u w:val="single"/>
        </w:rPr>
      </w:pPr>
    </w:p>
    <w:p w:rsidR="002C4F19" w:rsidRDefault="002C4F19" w:rsidP="002C4F19">
      <w:pPr>
        <w:keepNext/>
        <w:keepLines/>
        <w:spacing w:before="0"/>
        <w:ind w:right="748"/>
        <w:rPr>
          <w:u w:val="single"/>
        </w:rPr>
      </w:pPr>
      <w:r>
        <w:rPr>
          <w:u w:val="single"/>
        </w:rPr>
        <w:t>Item [15] – Paragraph 801.221(7)(c) of Schedule 2</w:t>
      </w:r>
    </w:p>
    <w:p w:rsidR="002C4F19" w:rsidRDefault="002C4F19" w:rsidP="002C4F19">
      <w:pPr>
        <w:keepNext/>
        <w:keepLines/>
        <w:spacing w:before="0"/>
        <w:ind w:right="748"/>
        <w:rPr>
          <w:u w:val="single"/>
        </w:rPr>
      </w:pPr>
    </w:p>
    <w:p w:rsidR="002C4F19" w:rsidRPr="00E54DBC" w:rsidRDefault="002C4F19" w:rsidP="002C4F19">
      <w:pPr>
        <w:keepNext/>
        <w:keepLines/>
        <w:spacing w:before="0"/>
        <w:ind w:right="748"/>
      </w:pPr>
      <w:r w:rsidRPr="00E54DBC">
        <w:t>This item insert</w:t>
      </w:r>
      <w:r w:rsidR="00664186">
        <w:t>s</w:t>
      </w:r>
      <w:r w:rsidRPr="00E54DBC">
        <w:t xml:space="preserve"> “</w:t>
      </w:r>
      <w:r>
        <w:t xml:space="preserve">47SP </w:t>
      </w:r>
      <w:r w:rsidRPr="00E54DBC">
        <w:t>(Internet)” after “</w:t>
      </w:r>
      <w:r>
        <w:t>47SP</w:t>
      </w:r>
      <w:r w:rsidRPr="00E54DBC">
        <w:t>”</w:t>
      </w:r>
      <w:r>
        <w:t xml:space="preserve"> in paragraph 801.221(7)(c) of Schedule 2 to the </w:t>
      </w:r>
      <w:r w:rsidR="00782CCC">
        <w:rPr>
          <w:szCs w:val="24"/>
        </w:rPr>
        <w:t>Principal</w:t>
      </w:r>
      <w:r w:rsidR="00782CCC" w:rsidRPr="00400B46">
        <w:rPr>
          <w:szCs w:val="24"/>
        </w:rPr>
        <w:t xml:space="preserve"> </w:t>
      </w:r>
      <w:r>
        <w:t>Regulations</w:t>
      </w:r>
      <w:r w:rsidRPr="00E54DBC">
        <w:t xml:space="preserve">. </w:t>
      </w:r>
    </w:p>
    <w:p w:rsidR="002C4F19" w:rsidRPr="00E54DBC" w:rsidRDefault="002C4F19" w:rsidP="002C4F19">
      <w:pPr>
        <w:keepNext/>
        <w:keepLines/>
        <w:spacing w:before="0"/>
        <w:ind w:right="748"/>
      </w:pPr>
    </w:p>
    <w:p w:rsidR="002C4F19" w:rsidRPr="00E54DBC" w:rsidRDefault="002C4F19" w:rsidP="002C4F19">
      <w:pPr>
        <w:keepNext/>
        <w:keepLines/>
        <w:spacing w:before="0"/>
        <w:ind w:right="748"/>
      </w:pPr>
      <w:r w:rsidRPr="00E54DBC">
        <w:t xml:space="preserve">The effect of this amendment </w:t>
      </w:r>
      <w:r w:rsidR="00664186">
        <w:t>is</w:t>
      </w:r>
      <w:r>
        <w:t xml:space="preserve"> to ensure</w:t>
      </w:r>
      <w:r w:rsidRPr="00E54DBC">
        <w:t xml:space="preserve"> that</w:t>
      </w:r>
      <w:r>
        <w:t xml:space="preserve"> it </w:t>
      </w:r>
      <w:r w:rsidR="00664186">
        <w:t xml:space="preserve">is </w:t>
      </w:r>
      <w:r>
        <w:t>possible to provide a form 47SP (Internet) in association with an application for a Partner (Residence) (Class BS) visa</w:t>
      </w:r>
      <w:r w:rsidRPr="00E54DBC">
        <w:t>.</w:t>
      </w:r>
    </w:p>
    <w:p w:rsidR="002C4F19" w:rsidRPr="00E54DBC" w:rsidRDefault="002C4F19" w:rsidP="002C4F19">
      <w:pPr>
        <w:keepNext/>
        <w:keepLines/>
        <w:spacing w:before="0"/>
        <w:ind w:right="748"/>
      </w:pPr>
    </w:p>
    <w:p w:rsidR="002C4F19" w:rsidRDefault="002C4F19" w:rsidP="002C4F19">
      <w:pPr>
        <w:keepNext/>
        <w:keepLines/>
        <w:spacing w:before="0"/>
        <w:ind w:right="748"/>
        <w:rPr>
          <w:u w:val="single"/>
        </w:rPr>
      </w:pPr>
      <w:r>
        <w:t xml:space="preserve">Paragraph 801.221(7)(c) relevantly permits the Minister to grant a subclass 801 (Partner) visa less than 2 years after the application is made where the applicant had been granted certain entry permits but where the application for a subclass 801 (Partner) visa was in accordance with approved forms 47SP or 887. Consistent with other measures in the Regulation which permit the making of Internet applications for some visas, paragraph 801.221(7)(c) </w:t>
      </w:r>
      <w:r w:rsidR="00664186">
        <w:t>has been</w:t>
      </w:r>
      <w:r>
        <w:t xml:space="preserve"> consequently amended to include visa applications made in accordance with approved 47SP (Internet) form</w:t>
      </w:r>
      <w:r w:rsidRPr="00E54DBC">
        <w:t>.</w:t>
      </w:r>
      <w:r>
        <w:t xml:space="preserve"> Form 47SP is the form submitted by an applicant for a Partner (Residence) (Class BS) visa. Form 47SP (Internet) is the Internet based version of that form.</w:t>
      </w:r>
    </w:p>
    <w:p w:rsidR="002C4F19" w:rsidRDefault="002C4F19" w:rsidP="002C4F19">
      <w:pPr>
        <w:keepNext/>
        <w:keepLines/>
        <w:spacing w:before="0"/>
        <w:ind w:right="748"/>
        <w:rPr>
          <w:u w:val="single"/>
        </w:rPr>
      </w:pPr>
    </w:p>
    <w:p w:rsidR="00664186" w:rsidRDefault="00664186" w:rsidP="002C4F19">
      <w:pPr>
        <w:keepNext/>
        <w:keepLines/>
        <w:spacing w:before="0"/>
        <w:ind w:right="748"/>
        <w:rPr>
          <w:u w:val="single"/>
        </w:rPr>
      </w:pPr>
    </w:p>
    <w:p w:rsidR="002C4F19" w:rsidRDefault="002C4F19" w:rsidP="002C4F19">
      <w:pPr>
        <w:keepNext/>
        <w:keepLines/>
        <w:spacing w:before="0"/>
        <w:ind w:right="748"/>
        <w:rPr>
          <w:u w:val="single"/>
        </w:rPr>
      </w:pPr>
    </w:p>
    <w:p w:rsidR="00664186" w:rsidRDefault="00664186" w:rsidP="002C4F19">
      <w:pPr>
        <w:keepNext/>
        <w:keepLines/>
        <w:spacing w:before="0"/>
        <w:ind w:right="748"/>
        <w:rPr>
          <w:u w:val="single"/>
        </w:rPr>
      </w:pPr>
    </w:p>
    <w:p w:rsidR="00664186" w:rsidRDefault="00664186" w:rsidP="002C4F19">
      <w:pPr>
        <w:keepNext/>
        <w:keepLines/>
        <w:spacing w:before="0"/>
        <w:ind w:right="748"/>
        <w:rPr>
          <w:u w:val="single"/>
        </w:rPr>
      </w:pPr>
    </w:p>
    <w:p w:rsidR="002C4F19" w:rsidRDefault="002C4F19" w:rsidP="002C4F19">
      <w:pPr>
        <w:keepNext/>
        <w:keepLines/>
        <w:spacing w:before="0"/>
        <w:ind w:right="748"/>
        <w:rPr>
          <w:u w:val="single"/>
        </w:rPr>
      </w:pPr>
    </w:p>
    <w:p w:rsidR="002C4F19" w:rsidRDefault="002C4F19" w:rsidP="002C4F19">
      <w:pPr>
        <w:keepNext/>
        <w:keepLines/>
        <w:spacing w:before="0"/>
        <w:ind w:right="748"/>
        <w:rPr>
          <w:u w:val="single"/>
        </w:rPr>
      </w:pPr>
    </w:p>
    <w:p w:rsidR="002C4F19" w:rsidRDefault="002C4F19" w:rsidP="002C4F19">
      <w:pPr>
        <w:keepNext/>
        <w:keepLines/>
        <w:spacing w:before="0"/>
        <w:ind w:right="748"/>
        <w:rPr>
          <w:u w:val="single"/>
        </w:rPr>
      </w:pPr>
      <w:r>
        <w:rPr>
          <w:u w:val="single"/>
        </w:rPr>
        <w:t>Item [16] – At the end of Schedule 13</w:t>
      </w:r>
    </w:p>
    <w:p w:rsidR="002C4F19" w:rsidRDefault="002C4F19" w:rsidP="002C4F19">
      <w:pPr>
        <w:keepNext/>
        <w:keepLines/>
        <w:spacing w:before="0"/>
        <w:ind w:right="748"/>
        <w:rPr>
          <w:u w:val="single"/>
        </w:rPr>
      </w:pPr>
    </w:p>
    <w:p w:rsidR="002C4F19" w:rsidRPr="00EE61AE" w:rsidRDefault="002C4F19" w:rsidP="002C4F19">
      <w:pPr>
        <w:keepNext/>
        <w:keepLines/>
        <w:spacing w:before="0"/>
        <w:ind w:right="748"/>
      </w:pPr>
      <w:r w:rsidRPr="00E54DBC">
        <w:t>This amendment insert</w:t>
      </w:r>
      <w:r w:rsidR="00664186">
        <w:t>s</w:t>
      </w:r>
      <w:r>
        <w:t xml:space="preserve"> a new</w:t>
      </w:r>
      <w:r w:rsidRPr="00E54DBC">
        <w:t xml:space="preserve"> Part 2</w:t>
      </w:r>
      <w:r>
        <w:t xml:space="preserve">4 into Schedule 13 to the </w:t>
      </w:r>
      <w:r w:rsidR="00782CCC">
        <w:rPr>
          <w:szCs w:val="24"/>
        </w:rPr>
        <w:t>Principal</w:t>
      </w:r>
      <w:r w:rsidR="00782CCC" w:rsidRPr="00400B46">
        <w:rPr>
          <w:szCs w:val="24"/>
        </w:rPr>
        <w:t xml:space="preserve"> </w:t>
      </w:r>
      <w:r>
        <w:t>Regulations to deal with transitional arrangements in respect of amendments made by this Regulation.  The heading of new Part 24 would be</w:t>
      </w:r>
      <w:r w:rsidRPr="00E54DBC">
        <w:t xml:space="preserve"> </w:t>
      </w:r>
      <w:r>
        <w:t>‘</w:t>
      </w:r>
      <w:r w:rsidRPr="00E54DBC">
        <w:t xml:space="preserve">Amendments made by the </w:t>
      </w:r>
      <w:r w:rsidRPr="00E54DBC">
        <w:rPr>
          <w:i/>
        </w:rPr>
        <w:t>Migration Amendment (Internet Applications and Related Matters) Regulation 2013</w:t>
      </w:r>
      <w:r>
        <w:t>’.</w:t>
      </w:r>
    </w:p>
    <w:p w:rsidR="002C4F19" w:rsidRPr="00E54DBC" w:rsidRDefault="002C4F19" w:rsidP="002C4F19">
      <w:pPr>
        <w:keepNext/>
        <w:keepLines/>
        <w:spacing w:before="0"/>
        <w:ind w:right="748"/>
        <w:rPr>
          <w:i/>
        </w:rPr>
      </w:pPr>
    </w:p>
    <w:p w:rsidR="002C4F19" w:rsidRDefault="002C4F19" w:rsidP="002C4F19">
      <w:pPr>
        <w:keepNext/>
        <w:keepLines/>
        <w:spacing w:before="0"/>
        <w:ind w:right="748"/>
      </w:pPr>
      <w:r>
        <w:t>This amendment also insert</w:t>
      </w:r>
      <w:r w:rsidR="00664186">
        <w:t>s</w:t>
      </w:r>
      <w:r>
        <w:t xml:space="preserve"> a new item 2401 into new Part 24.  </w:t>
      </w:r>
      <w:r w:rsidRPr="00E54DBC">
        <w:t xml:space="preserve">The title </w:t>
      </w:r>
      <w:r>
        <w:t>of new item 2401 would be ‘Operation of Schedule 1’.</w:t>
      </w:r>
    </w:p>
    <w:p w:rsidR="002C4F19" w:rsidRDefault="002C4F19" w:rsidP="002C4F19">
      <w:pPr>
        <w:keepNext/>
        <w:keepLines/>
        <w:spacing w:before="0"/>
        <w:ind w:right="748"/>
      </w:pPr>
    </w:p>
    <w:p w:rsidR="002C4F19" w:rsidRDefault="00782CCC" w:rsidP="002C4F19">
      <w:pPr>
        <w:keepNext/>
        <w:keepLines/>
        <w:spacing w:before="0"/>
        <w:ind w:right="748"/>
      </w:pPr>
      <w:r>
        <w:t>N</w:t>
      </w:r>
      <w:r w:rsidR="002C4F19">
        <w:t>ew item 2401 provide</w:t>
      </w:r>
      <w:r w:rsidR="00664186">
        <w:t>s</w:t>
      </w:r>
      <w:r w:rsidR="002C4F19">
        <w:t xml:space="preserve"> that amendments made by Schedule 1 to the </w:t>
      </w:r>
      <w:r w:rsidR="002C4F19">
        <w:rPr>
          <w:i/>
        </w:rPr>
        <w:t xml:space="preserve">Migration Amendment (Internet Applications and Related Matters) Regulation 2013 </w:t>
      </w:r>
      <w:r w:rsidR="002C4F19">
        <w:t>apply in relation to an application for a visa made on or after 23 November 2013.</w:t>
      </w:r>
    </w:p>
    <w:p w:rsidR="002C4F19" w:rsidRDefault="002C4F19" w:rsidP="002C4F19">
      <w:pPr>
        <w:keepNext/>
        <w:keepLines/>
        <w:spacing w:before="0"/>
        <w:ind w:right="748"/>
      </w:pPr>
    </w:p>
    <w:p w:rsidR="002C4F19" w:rsidRPr="00E54DBC" w:rsidRDefault="002C4F19" w:rsidP="002C4F19">
      <w:pPr>
        <w:keepNext/>
        <w:keepLines/>
        <w:spacing w:before="0"/>
        <w:ind w:right="748"/>
      </w:pPr>
      <w:r>
        <w:t xml:space="preserve">The purpose of new item 2401 is to clarify to whom the amendments in this Regulation apply. </w:t>
      </w:r>
    </w:p>
    <w:p w:rsidR="001010A0" w:rsidRDefault="001010A0" w:rsidP="00675DD4">
      <w:pPr>
        <w:keepNext/>
        <w:keepLines/>
        <w:tabs>
          <w:tab w:val="left" w:pos="8364"/>
        </w:tabs>
        <w:spacing w:before="0"/>
        <w:ind w:right="663"/>
        <w:jc w:val="both"/>
      </w:pPr>
    </w:p>
    <w:sectPr w:rsidR="001010A0" w:rsidSect="00884EE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CB" w:rsidRDefault="001D3FCB">
      <w:pPr>
        <w:spacing w:before="0"/>
      </w:pPr>
      <w:r>
        <w:separator/>
      </w:r>
    </w:p>
  </w:endnote>
  <w:endnote w:type="continuationSeparator" w:id="0">
    <w:p w:rsidR="001D3FCB" w:rsidRDefault="001D3F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CB" w:rsidRDefault="001D3FCB">
      <w:pPr>
        <w:spacing w:before="0"/>
      </w:pPr>
      <w:r>
        <w:separator/>
      </w:r>
    </w:p>
  </w:footnote>
  <w:footnote w:type="continuationSeparator" w:id="0">
    <w:p w:rsidR="001D3FCB" w:rsidRDefault="001D3F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68793"/>
      <w:docPartObj>
        <w:docPartGallery w:val="Page Numbers (Top of Page)"/>
        <w:docPartUnique/>
      </w:docPartObj>
    </w:sdtPr>
    <w:sdtEndPr>
      <w:rPr>
        <w:noProof/>
      </w:rPr>
    </w:sdtEndPr>
    <w:sdtContent>
      <w:p w:rsidR="00884EE2" w:rsidRDefault="00884EE2">
        <w:pPr>
          <w:pStyle w:val="Header"/>
          <w:jc w:val="center"/>
        </w:pPr>
        <w:r>
          <w:fldChar w:fldCharType="begin"/>
        </w:r>
        <w:r>
          <w:instrText xml:space="preserve"> PAGE   \* MERGEFORMAT </w:instrText>
        </w:r>
        <w:r>
          <w:fldChar w:fldCharType="separate"/>
        </w:r>
        <w:r w:rsidR="006421A6">
          <w:rPr>
            <w:noProof/>
          </w:rPr>
          <w:t>2</w:t>
        </w:r>
        <w:r>
          <w:rPr>
            <w:noProof/>
          </w:rPr>
          <w:fldChar w:fldCharType="end"/>
        </w:r>
      </w:p>
    </w:sdtContent>
  </w:sdt>
  <w:p w:rsidR="00884EE2" w:rsidRDefault="0088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2EC"/>
    <w:multiLevelType w:val="hybridMultilevel"/>
    <w:tmpl w:val="1C70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B44FDE"/>
    <w:multiLevelType w:val="singleLevel"/>
    <w:tmpl w:val="4350A1D6"/>
    <w:lvl w:ilvl="0">
      <w:start w:val="2"/>
      <w:numFmt w:val="decimal"/>
      <w:pStyle w:val="DINumberedParagraph"/>
      <w:lvlText w:val="%1."/>
      <w:lvlJc w:val="left"/>
      <w:pPr>
        <w:tabs>
          <w:tab w:val="num" w:pos="360"/>
        </w:tabs>
        <w:ind w:left="0" w:firstLine="0"/>
      </w:pPr>
      <w:rPr>
        <w:rFonts w:hint="default"/>
      </w:rPr>
    </w:lvl>
  </w:abstractNum>
  <w:abstractNum w:abstractNumId="2">
    <w:nsid w:val="1E7A6907"/>
    <w:multiLevelType w:val="hybridMultilevel"/>
    <w:tmpl w:val="9A3C6C5C"/>
    <w:lvl w:ilvl="0" w:tplc="A4E08DC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1F0B25F4"/>
    <w:multiLevelType w:val="hybridMultilevel"/>
    <w:tmpl w:val="92FC581E"/>
    <w:lvl w:ilvl="0" w:tplc="E0E8C0A2">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nsid w:val="26554CB2"/>
    <w:multiLevelType w:val="hybridMultilevel"/>
    <w:tmpl w:val="12ACCB10"/>
    <w:lvl w:ilvl="0" w:tplc="1C1CDE70">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nsid w:val="2C2B275A"/>
    <w:multiLevelType w:val="hybridMultilevel"/>
    <w:tmpl w:val="72686A6A"/>
    <w:lvl w:ilvl="0" w:tplc="6BECB1E6">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nsid w:val="2E6103A2"/>
    <w:multiLevelType w:val="hybridMultilevel"/>
    <w:tmpl w:val="25825D0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nsid w:val="37AA46CC"/>
    <w:multiLevelType w:val="hybridMultilevel"/>
    <w:tmpl w:val="3B3CF7C8"/>
    <w:lvl w:ilvl="0" w:tplc="44E2E4E0">
      <w:start w:val="1"/>
      <w:numFmt w:val="bullet"/>
      <w:pStyle w:val="EMDotPoint1"/>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9">
    <w:nsid w:val="3A2028F9"/>
    <w:multiLevelType w:val="hybridMultilevel"/>
    <w:tmpl w:val="1612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F545E3"/>
    <w:multiLevelType w:val="hybridMultilevel"/>
    <w:tmpl w:val="9222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72431B"/>
    <w:multiLevelType w:val="hybridMultilevel"/>
    <w:tmpl w:val="3DAA29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01E06"/>
    <w:multiLevelType w:val="hybridMultilevel"/>
    <w:tmpl w:val="0926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B3356C"/>
    <w:multiLevelType w:val="hybridMultilevel"/>
    <w:tmpl w:val="2F6CBB20"/>
    <w:lvl w:ilvl="0" w:tplc="1C1CDE7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nsid w:val="57837982"/>
    <w:multiLevelType w:val="hybridMultilevel"/>
    <w:tmpl w:val="77CAE038"/>
    <w:lvl w:ilvl="0" w:tplc="C8B8BD5E">
      <w:start w:val="1"/>
      <w:numFmt w:val="lowerLetter"/>
      <w:lvlText w:val="%1)"/>
      <w:lvlJc w:val="left"/>
      <w:pPr>
        <w:tabs>
          <w:tab w:val="num" w:pos="2160"/>
        </w:tabs>
        <w:ind w:left="2160" w:hanging="720"/>
      </w:pPr>
      <w:rPr>
        <w:rFonts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5">
    <w:nsid w:val="64DB7959"/>
    <w:multiLevelType w:val="hybridMultilevel"/>
    <w:tmpl w:val="829063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8210007"/>
    <w:multiLevelType w:val="hybridMultilevel"/>
    <w:tmpl w:val="6F3E385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nsid w:val="6F514B33"/>
    <w:multiLevelType w:val="hybridMultilevel"/>
    <w:tmpl w:val="2ACA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872330"/>
    <w:multiLevelType w:val="hybridMultilevel"/>
    <w:tmpl w:val="3BA6C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8EF304F"/>
    <w:multiLevelType w:val="hybridMultilevel"/>
    <w:tmpl w:val="BD3A0CF4"/>
    <w:lvl w:ilvl="0" w:tplc="DEB0B596">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9C13B3"/>
    <w:multiLevelType w:val="hybridMultilevel"/>
    <w:tmpl w:val="72E4FBBE"/>
    <w:lvl w:ilvl="0" w:tplc="0C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2160"/>
        </w:tabs>
        <w:ind w:left="-2160" w:hanging="360"/>
      </w:pPr>
      <w:rPr>
        <w:rFonts w:ascii="Symbol" w:hAnsi="Symbol" w:hint="default"/>
        <w:color w:val="auto"/>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num w:numId="1">
    <w:abstractNumId w:val="8"/>
  </w:num>
  <w:num w:numId="2">
    <w:abstractNumId w:val="17"/>
  </w:num>
  <w:num w:numId="3">
    <w:abstractNumId w:val="21"/>
  </w:num>
  <w:num w:numId="4">
    <w:abstractNumId w:val="1"/>
  </w:num>
  <w:num w:numId="5">
    <w:abstractNumId w:val="15"/>
  </w:num>
  <w:num w:numId="6">
    <w:abstractNumId w:val="3"/>
  </w:num>
  <w:num w:numId="7">
    <w:abstractNumId w:val="6"/>
  </w:num>
  <w:num w:numId="8">
    <w:abstractNumId w:val="13"/>
  </w:num>
  <w:num w:numId="9">
    <w:abstractNumId w:val="4"/>
  </w:num>
  <w:num w:numId="10">
    <w:abstractNumId w:val="2"/>
  </w:num>
  <w:num w:numId="11">
    <w:abstractNumId w:val="14"/>
  </w:num>
  <w:num w:numId="12">
    <w:abstractNumId w:val="5"/>
  </w:num>
  <w:num w:numId="13">
    <w:abstractNumId w:val="7"/>
  </w:num>
  <w:num w:numId="14">
    <w:abstractNumId w:val="11"/>
  </w:num>
  <w:num w:numId="15">
    <w:abstractNumId w:val="18"/>
  </w:num>
  <w:num w:numId="16">
    <w:abstractNumId w:val="9"/>
  </w:num>
  <w:num w:numId="17">
    <w:abstractNumId w:val="20"/>
  </w:num>
  <w:num w:numId="18">
    <w:abstractNumId w:val="10"/>
  </w:num>
  <w:num w:numId="19">
    <w:abstractNumId w:val="16"/>
  </w:num>
  <w:num w:numId="20">
    <w:abstractNumId w:val="12"/>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C"/>
    <w:rsid w:val="00001938"/>
    <w:rsid w:val="00002121"/>
    <w:rsid w:val="000111BC"/>
    <w:rsid w:val="000156CA"/>
    <w:rsid w:val="00021F8A"/>
    <w:rsid w:val="00025C61"/>
    <w:rsid w:val="0002625B"/>
    <w:rsid w:val="00033E0D"/>
    <w:rsid w:val="00041148"/>
    <w:rsid w:val="00047054"/>
    <w:rsid w:val="0005106E"/>
    <w:rsid w:val="00051568"/>
    <w:rsid w:val="00054377"/>
    <w:rsid w:val="0007430A"/>
    <w:rsid w:val="00075644"/>
    <w:rsid w:val="0007767D"/>
    <w:rsid w:val="00083574"/>
    <w:rsid w:val="000839BF"/>
    <w:rsid w:val="00085D73"/>
    <w:rsid w:val="00086716"/>
    <w:rsid w:val="00086A2A"/>
    <w:rsid w:val="00087ED0"/>
    <w:rsid w:val="000B2608"/>
    <w:rsid w:val="000B4AA7"/>
    <w:rsid w:val="000B6B33"/>
    <w:rsid w:val="000C1D4D"/>
    <w:rsid w:val="000C5BF7"/>
    <w:rsid w:val="000D012A"/>
    <w:rsid w:val="000D06BB"/>
    <w:rsid w:val="000D1C27"/>
    <w:rsid w:val="000F5407"/>
    <w:rsid w:val="000F67F0"/>
    <w:rsid w:val="001010A0"/>
    <w:rsid w:val="0010422C"/>
    <w:rsid w:val="00111C91"/>
    <w:rsid w:val="00122DD8"/>
    <w:rsid w:val="00124109"/>
    <w:rsid w:val="00124BA4"/>
    <w:rsid w:val="001429D5"/>
    <w:rsid w:val="001526B1"/>
    <w:rsid w:val="0015747D"/>
    <w:rsid w:val="00161D7D"/>
    <w:rsid w:val="00186302"/>
    <w:rsid w:val="00192B17"/>
    <w:rsid w:val="00194A2D"/>
    <w:rsid w:val="001B048A"/>
    <w:rsid w:val="001B292F"/>
    <w:rsid w:val="001C1516"/>
    <w:rsid w:val="001C7B94"/>
    <w:rsid w:val="001D3FCB"/>
    <w:rsid w:val="001D671B"/>
    <w:rsid w:val="001E64E8"/>
    <w:rsid w:val="001F103D"/>
    <w:rsid w:val="001F48D1"/>
    <w:rsid w:val="00201B42"/>
    <w:rsid w:val="00207065"/>
    <w:rsid w:val="00212142"/>
    <w:rsid w:val="00217F2A"/>
    <w:rsid w:val="00220ED6"/>
    <w:rsid w:val="00226589"/>
    <w:rsid w:val="0023149F"/>
    <w:rsid w:val="0023154F"/>
    <w:rsid w:val="00232938"/>
    <w:rsid w:val="00234826"/>
    <w:rsid w:val="00237DA9"/>
    <w:rsid w:val="002540E0"/>
    <w:rsid w:val="00257906"/>
    <w:rsid w:val="00263F98"/>
    <w:rsid w:val="00265BE7"/>
    <w:rsid w:val="00266E3A"/>
    <w:rsid w:val="00274210"/>
    <w:rsid w:val="00277DC6"/>
    <w:rsid w:val="00280F03"/>
    <w:rsid w:val="002918EF"/>
    <w:rsid w:val="002928FF"/>
    <w:rsid w:val="00293B47"/>
    <w:rsid w:val="002A2341"/>
    <w:rsid w:val="002A39A1"/>
    <w:rsid w:val="002C4F19"/>
    <w:rsid w:val="002D464D"/>
    <w:rsid w:val="002E2DF4"/>
    <w:rsid w:val="002E3165"/>
    <w:rsid w:val="002F0FF9"/>
    <w:rsid w:val="0030151C"/>
    <w:rsid w:val="00310D46"/>
    <w:rsid w:val="00314600"/>
    <w:rsid w:val="00350E85"/>
    <w:rsid w:val="00351B4A"/>
    <w:rsid w:val="0037112E"/>
    <w:rsid w:val="00375D62"/>
    <w:rsid w:val="00381969"/>
    <w:rsid w:val="0038389C"/>
    <w:rsid w:val="00386EBE"/>
    <w:rsid w:val="003910CB"/>
    <w:rsid w:val="0039482E"/>
    <w:rsid w:val="0039548B"/>
    <w:rsid w:val="003A0C51"/>
    <w:rsid w:val="003A1076"/>
    <w:rsid w:val="003A72A8"/>
    <w:rsid w:val="003B7C81"/>
    <w:rsid w:val="003C10B3"/>
    <w:rsid w:val="003C5C59"/>
    <w:rsid w:val="003C7BCE"/>
    <w:rsid w:val="003C7C51"/>
    <w:rsid w:val="003D11A6"/>
    <w:rsid w:val="003E1531"/>
    <w:rsid w:val="003F2A45"/>
    <w:rsid w:val="003F4076"/>
    <w:rsid w:val="003F4228"/>
    <w:rsid w:val="00400B46"/>
    <w:rsid w:val="00401E7A"/>
    <w:rsid w:val="0040555B"/>
    <w:rsid w:val="00415DBF"/>
    <w:rsid w:val="004227FA"/>
    <w:rsid w:val="004328CC"/>
    <w:rsid w:val="00435C42"/>
    <w:rsid w:val="00437B98"/>
    <w:rsid w:val="0044157C"/>
    <w:rsid w:val="00444622"/>
    <w:rsid w:val="00447859"/>
    <w:rsid w:val="00451EED"/>
    <w:rsid w:val="0045626E"/>
    <w:rsid w:val="00463B15"/>
    <w:rsid w:val="004664B0"/>
    <w:rsid w:val="004678E1"/>
    <w:rsid w:val="00474213"/>
    <w:rsid w:val="00474EBC"/>
    <w:rsid w:val="004807AB"/>
    <w:rsid w:val="00482195"/>
    <w:rsid w:val="004838CC"/>
    <w:rsid w:val="00484E3C"/>
    <w:rsid w:val="00493E2F"/>
    <w:rsid w:val="004A6DFA"/>
    <w:rsid w:val="004B22AE"/>
    <w:rsid w:val="004B28FE"/>
    <w:rsid w:val="004B4489"/>
    <w:rsid w:val="004B6393"/>
    <w:rsid w:val="004D4005"/>
    <w:rsid w:val="004D4814"/>
    <w:rsid w:val="004E2C0A"/>
    <w:rsid w:val="004E7124"/>
    <w:rsid w:val="004F06DF"/>
    <w:rsid w:val="004F0DF3"/>
    <w:rsid w:val="004F4061"/>
    <w:rsid w:val="004F564D"/>
    <w:rsid w:val="004F7CEC"/>
    <w:rsid w:val="0050700A"/>
    <w:rsid w:val="00507E30"/>
    <w:rsid w:val="00517FDC"/>
    <w:rsid w:val="00542FA9"/>
    <w:rsid w:val="005502C4"/>
    <w:rsid w:val="00562919"/>
    <w:rsid w:val="005730CF"/>
    <w:rsid w:val="0057566D"/>
    <w:rsid w:val="00582795"/>
    <w:rsid w:val="0059034A"/>
    <w:rsid w:val="005A365F"/>
    <w:rsid w:val="005A4AC2"/>
    <w:rsid w:val="005A601C"/>
    <w:rsid w:val="005A7E8F"/>
    <w:rsid w:val="005B3A21"/>
    <w:rsid w:val="005C01A7"/>
    <w:rsid w:val="005C1FFE"/>
    <w:rsid w:val="005C72FC"/>
    <w:rsid w:val="005C7420"/>
    <w:rsid w:val="005E2740"/>
    <w:rsid w:val="005F34FE"/>
    <w:rsid w:val="0060455B"/>
    <w:rsid w:val="006160B1"/>
    <w:rsid w:val="0061613E"/>
    <w:rsid w:val="00616971"/>
    <w:rsid w:val="00621D64"/>
    <w:rsid w:val="006338E9"/>
    <w:rsid w:val="006421A6"/>
    <w:rsid w:val="00642A18"/>
    <w:rsid w:val="00643A75"/>
    <w:rsid w:val="00644C46"/>
    <w:rsid w:val="006632B4"/>
    <w:rsid w:val="00664186"/>
    <w:rsid w:val="00670B4A"/>
    <w:rsid w:val="00675DD4"/>
    <w:rsid w:val="006816B9"/>
    <w:rsid w:val="0069150F"/>
    <w:rsid w:val="006A7EA1"/>
    <w:rsid w:val="006B1D6E"/>
    <w:rsid w:val="006D265D"/>
    <w:rsid w:val="006D6656"/>
    <w:rsid w:val="006F08E0"/>
    <w:rsid w:val="006F0943"/>
    <w:rsid w:val="006F3E38"/>
    <w:rsid w:val="007000C1"/>
    <w:rsid w:val="007003FE"/>
    <w:rsid w:val="0071082D"/>
    <w:rsid w:val="0071166E"/>
    <w:rsid w:val="00711CC8"/>
    <w:rsid w:val="00730B9C"/>
    <w:rsid w:val="00733352"/>
    <w:rsid w:val="00742E18"/>
    <w:rsid w:val="007440A4"/>
    <w:rsid w:val="007460D1"/>
    <w:rsid w:val="00753875"/>
    <w:rsid w:val="00767B74"/>
    <w:rsid w:val="00775062"/>
    <w:rsid w:val="00782CCC"/>
    <w:rsid w:val="00785858"/>
    <w:rsid w:val="00795EDE"/>
    <w:rsid w:val="007A14CF"/>
    <w:rsid w:val="007B7A13"/>
    <w:rsid w:val="007C794A"/>
    <w:rsid w:val="007D0A0D"/>
    <w:rsid w:val="007E3D37"/>
    <w:rsid w:val="007F284D"/>
    <w:rsid w:val="007F68A6"/>
    <w:rsid w:val="0080021E"/>
    <w:rsid w:val="00806B40"/>
    <w:rsid w:val="0080762E"/>
    <w:rsid w:val="00807A41"/>
    <w:rsid w:val="00830CBC"/>
    <w:rsid w:val="00840FA9"/>
    <w:rsid w:val="00850213"/>
    <w:rsid w:val="0085407D"/>
    <w:rsid w:val="00870FD7"/>
    <w:rsid w:val="0087659F"/>
    <w:rsid w:val="00884EE2"/>
    <w:rsid w:val="00890942"/>
    <w:rsid w:val="00891CF8"/>
    <w:rsid w:val="008961BD"/>
    <w:rsid w:val="008C04E8"/>
    <w:rsid w:val="008D40E3"/>
    <w:rsid w:val="008F6DA5"/>
    <w:rsid w:val="009045D2"/>
    <w:rsid w:val="00932202"/>
    <w:rsid w:val="00934BC4"/>
    <w:rsid w:val="009355D8"/>
    <w:rsid w:val="00946224"/>
    <w:rsid w:val="00946AF4"/>
    <w:rsid w:val="00953A32"/>
    <w:rsid w:val="00967026"/>
    <w:rsid w:val="00980BDE"/>
    <w:rsid w:val="00981AA5"/>
    <w:rsid w:val="00985726"/>
    <w:rsid w:val="00986DE5"/>
    <w:rsid w:val="009E3D5D"/>
    <w:rsid w:val="009E7654"/>
    <w:rsid w:val="009F493A"/>
    <w:rsid w:val="009F5DBA"/>
    <w:rsid w:val="00A01D1C"/>
    <w:rsid w:val="00A05379"/>
    <w:rsid w:val="00A10E17"/>
    <w:rsid w:val="00A12246"/>
    <w:rsid w:val="00A12A1F"/>
    <w:rsid w:val="00A17D22"/>
    <w:rsid w:val="00A306C1"/>
    <w:rsid w:val="00A355EF"/>
    <w:rsid w:val="00A40691"/>
    <w:rsid w:val="00A47B6F"/>
    <w:rsid w:val="00A5185E"/>
    <w:rsid w:val="00A63EE8"/>
    <w:rsid w:val="00A72349"/>
    <w:rsid w:val="00A72449"/>
    <w:rsid w:val="00A75B83"/>
    <w:rsid w:val="00A77A32"/>
    <w:rsid w:val="00A83728"/>
    <w:rsid w:val="00A86115"/>
    <w:rsid w:val="00A91668"/>
    <w:rsid w:val="00AB459E"/>
    <w:rsid w:val="00AB60B8"/>
    <w:rsid w:val="00AC290D"/>
    <w:rsid w:val="00AF1638"/>
    <w:rsid w:val="00AF789B"/>
    <w:rsid w:val="00B00773"/>
    <w:rsid w:val="00B02C99"/>
    <w:rsid w:val="00B05E6C"/>
    <w:rsid w:val="00B105B3"/>
    <w:rsid w:val="00B232E9"/>
    <w:rsid w:val="00B2388C"/>
    <w:rsid w:val="00B23901"/>
    <w:rsid w:val="00B23FC0"/>
    <w:rsid w:val="00B32CAD"/>
    <w:rsid w:val="00B35C91"/>
    <w:rsid w:val="00B51169"/>
    <w:rsid w:val="00B576D4"/>
    <w:rsid w:val="00B65E30"/>
    <w:rsid w:val="00B70E68"/>
    <w:rsid w:val="00B83F2D"/>
    <w:rsid w:val="00B94463"/>
    <w:rsid w:val="00B9693E"/>
    <w:rsid w:val="00BC240A"/>
    <w:rsid w:val="00BC68BD"/>
    <w:rsid w:val="00BD2306"/>
    <w:rsid w:val="00BF14C1"/>
    <w:rsid w:val="00BF6C14"/>
    <w:rsid w:val="00BF70E5"/>
    <w:rsid w:val="00C2050A"/>
    <w:rsid w:val="00C31C97"/>
    <w:rsid w:val="00C5125B"/>
    <w:rsid w:val="00C638EA"/>
    <w:rsid w:val="00C6392A"/>
    <w:rsid w:val="00C65D02"/>
    <w:rsid w:val="00C67E42"/>
    <w:rsid w:val="00C722CB"/>
    <w:rsid w:val="00C84CA1"/>
    <w:rsid w:val="00C86ACE"/>
    <w:rsid w:val="00C8711C"/>
    <w:rsid w:val="00C970C9"/>
    <w:rsid w:val="00CA10D2"/>
    <w:rsid w:val="00CA1C11"/>
    <w:rsid w:val="00CB7D55"/>
    <w:rsid w:val="00CC07BA"/>
    <w:rsid w:val="00CC0C61"/>
    <w:rsid w:val="00CD27CB"/>
    <w:rsid w:val="00CD347C"/>
    <w:rsid w:val="00CE31E3"/>
    <w:rsid w:val="00CE47C2"/>
    <w:rsid w:val="00CE6007"/>
    <w:rsid w:val="00CF0CC0"/>
    <w:rsid w:val="00CF1BF5"/>
    <w:rsid w:val="00CF43B5"/>
    <w:rsid w:val="00CF4BC3"/>
    <w:rsid w:val="00D16FD9"/>
    <w:rsid w:val="00D207F1"/>
    <w:rsid w:val="00D409CA"/>
    <w:rsid w:val="00D42073"/>
    <w:rsid w:val="00D43EEC"/>
    <w:rsid w:val="00D511AC"/>
    <w:rsid w:val="00D54F1E"/>
    <w:rsid w:val="00D56973"/>
    <w:rsid w:val="00D72619"/>
    <w:rsid w:val="00D75172"/>
    <w:rsid w:val="00D76AD6"/>
    <w:rsid w:val="00D82E6A"/>
    <w:rsid w:val="00D846F2"/>
    <w:rsid w:val="00D92497"/>
    <w:rsid w:val="00D934ED"/>
    <w:rsid w:val="00DA54C0"/>
    <w:rsid w:val="00DB011D"/>
    <w:rsid w:val="00DB3259"/>
    <w:rsid w:val="00DB69FE"/>
    <w:rsid w:val="00DB7BFB"/>
    <w:rsid w:val="00DC19AA"/>
    <w:rsid w:val="00DC27A9"/>
    <w:rsid w:val="00DC433D"/>
    <w:rsid w:val="00DC6C6A"/>
    <w:rsid w:val="00DD3616"/>
    <w:rsid w:val="00DD554C"/>
    <w:rsid w:val="00DD6BB9"/>
    <w:rsid w:val="00DF29B6"/>
    <w:rsid w:val="00E017C3"/>
    <w:rsid w:val="00E029D7"/>
    <w:rsid w:val="00E06912"/>
    <w:rsid w:val="00E07DC4"/>
    <w:rsid w:val="00E130EF"/>
    <w:rsid w:val="00E2071B"/>
    <w:rsid w:val="00E324F8"/>
    <w:rsid w:val="00E45775"/>
    <w:rsid w:val="00E6422E"/>
    <w:rsid w:val="00E65A2C"/>
    <w:rsid w:val="00E72F87"/>
    <w:rsid w:val="00E8326B"/>
    <w:rsid w:val="00E8464E"/>
    <w:rsid w:val="00E85720"/>
    <w:rsid w:val="00E90D0E"/>
    <w:rsid w:val="00E9569A"/>
    <w:rsid w:val="00EA1D3D"/>
    <w:rsid w:val="00EB1F38"/>
    <w:rsid w:val="00EB633D"/>
    <w:rsid w:val="00EC6592"/>
    <w:rsid w:val="00EE3F11"/>
    <w:rsid w:val="00EF7D47"/>
    <w:rsid w:val="00F1117F"/>
    <w:rsid w:val="00F261CD"/>
    <w:rsid w:val="00F4352C"/>
    <w:rsid w:val="00F43915"/>
    <w:rsid w:val="00F43C1E"/>
    <w:rsid w:val="00F521C6"/>
    <w:rsid w:val="00F66FE1"/>
    <w:rsid w:val="00F8061F"/>
    <w:rsid w:val="00F848E5"/>
    <w:rsid w:val="00F84AEE"/>
    <w:rsid w:val="00FA03CE"/>
    <w:rsid w:val="00FA5D69"/>
    <w:rsid w:val="00FB5957"/>
    <w:rsid w:val="00FC283C"/>
    <w:rsid w:val="00FC4D28"/>
    <w:rsid w:val="00FC7F2A"/>
    <w:rsid w:val="00FD4DA5"/>
    <w:rsid w:val="00FE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0D"/>
    <w:pPr>
      <w:spacing w:before="240"/>
    </w:pPr>
    <w:rPr>
      <w:sz w:val="24"/>
    </w:rPr>
  </w:style>
  <w:style w:type="paragraph" w:styleId="Heading2">
    <w:name w:val="heading 2"/>
    <w:basedOn w:val="Normal"/>
    <w:next w:val="Normal"/>
    <w:qFormat/>
    <w:rsid w:val="00217F2A"/>
    <w:pPr>
      <w:keepNext/>
      <w:spacing w:after="60"/>
      <w:outlineLvl w:val="1"/>
    </w:pPr>
    <w:rPr>
      <w:rFonts w:ascii="Arial" w:hAnsi="Arial" w:cs="Arial"/>
      <w:b/>
      <w:bCs/>
      <w:i/>
      <w:iCs/>
      <w:sz w:val="28"/>
      <w:szCs w:val="28"/>
    </w:rPr>
  </w:style>
  <w:style w:type="paragraph" w:styleId="Heading6">
    <w:name w:val="heading 6"/>
    <w:basedOn w:val="Normal"/>
    <w:next w:val="Normal"/>
    <w:qFormat/>
    <w:rsid w:val="00670B4A"/>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endixCharChar">
    <w:name w:val="Appendix Char Char"/>
    <w:basedOn w:val="DefaultParagraphFont"/>
    <w:link w:val="Appendix"/>
    <w:rsid w:val="00670B4A"/>
    <w:rPr>
      <w:b/>
      <w:sz w:val="24"/>
      <w:lang w:val="en-AU" w:eastAsia="en-AU" w:bidi="ar-SA"/>
    </w:rPr>
  </w:style>
  <w:style w:type="paragraph" w:customStyle="1" w:styleId="Appendix">
    <w:name w:val="Appendix"/>
    <w:basedOn w:val="Normal"/>
    <w:link w:val="AppendixCharChar"/>
    <w:rsid w:val="00670B4A"/>
    <w:pPr>
      <w:spacing w:before="0"/>
      <w:jc w:val="right"/>
    </w:pPr>
    <w:rPr>
      <w:b/>
    </w:rPr>
  </w:style>
  <w:style w:type="paragraph" w:customStyle="1" w:styleId="HB-dotpoint">
    <w:name w:val="HB - dotpoint"/>
    <w:basedOn w:val="Normal"/>
    <w:rsid w:val="00670B4A"/>
    <w:pPr>
      <w:numPr>
        <w:numId w:val="1"/>
      </w:numPr>
      <w:spacing w:before="180"/>
    </w:pPr>
  </w:style>
  <w:style w:type="paragraph" w:customStyle="1" w:styleId="EMparagraph">
    <w:name w:val="EM paragraph"/>
    <w:basedOn w:val="Normal"/>
    <w:rsid w:val="00EB1F38"/>
    <w:pPr>
      <w:widowControl w:val="0"/>
      <w:adjustRightInd w:val="0"/>
      <w:spacing w:before="0" w:after="240"/>
      <w:ind w:right="85"/>
      <w:textAlignment w:val="baseline"/>
    </w:pPr>
  </w:style>
  <w:style w:type="paragraph" w:styleId="Header">
    <w:name w:val="header"/>
    <w:basedOn w:val="Normal"/>
    <w:link w:val="HeaderChar"/>
    <w:uiPriority w:val="99"/>
    <w:rsid w:val="005B3A21"/>
    <w:pPr>
      <w:tabs>
        <w:tab w:val="center" w:pos="4153"/>
        <w:tab w:val="right" w:pos="8306"/>
      </w:tabs>
    </w:pPr>
  </w:style>
  <w:style w:type="paragraph" w:styleId="Footer">
    <w:name w:val="footer"/>
    <w:basedOn w:val="Normal"/>
    <w:rsid w:val="005B3A21"/>
    <w:pPr>
      <w:tabs>
        <w:tab w:val="center" w:pos="4153"/>
        <w:tab w:val="right" w:pos="8306"/>
      </w:tabs>
    </w:pPr>
  </w:style>
  <w:style w:type="paragraph" w:styleId="BodyText">
    <w:name w:val="Body Text"/>
    <w:basedOn w:val="Normal"/>
    <w:rsid w:val="00AC290D"/>
    <w:pPr>
      <w:spacing w:before="0"/>
    </w:pPr>
  </w:style>
  <w:style w:type="paragraph" w:customStyle="1" w:styleId="EMHeading">
    <w:name w:val="EM Heading"/>
    <w:basedOn w:val="Heading2"/>
    <w:link w:val="EMHeadingChar"/>
    <w:rsid w:val="00217F2A"/>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217F2A"/>
    <w:rPr>
      <w:sz w:val="24"/>
      <w:u w:val="single"/>
      <w:lang w:val="en-AU" w:eastAsia="en-AU" w:bidi="ar-SA"/>
    </w:rPr>
  </w:style>
  <w:style w:type="paragraph" w:customStyle="1" w:styleId="DINumberedParagraph">
    <w:name w:val="DI Numbered Paragraph"/>
    <w:basedOn w:val="Normal"/>
    <w:link w:val="DINumberedParagraphChar"/>
    <w:rsid w:val="00621D64"/>
    <w:pPr>
      <w:numPr>
        <w:numId w:val="4"/>
      </w:numPr>
      <w:tabs>
        <w:tab w:val="left" w:pos="567"/>
      </w:tabs>
      <w:spacing w:before="0" w:after="240"/>
    </w:pPr>
  </w:style>
  <w:style w:type="character" w:customStyle="1" w:styleId="DINumberedParagraphChar">
    <w:name w:val="DI Numbered Paragraph Char"/>
    <w:basedOn w:val="DefaultParagraphFont"/>
    <w:link w:val="DINumberedParagraph"/>
    <w:rsid w:val="00621D64"/>
    <w:rPr>
      <w:sz w:val="24"/>
      <w:lang w:val="en-AU" w:eastAsia="en-AU" w:bidi="ar-SA"/>
    </w:rPr>
  </w:style>
  <w:style w:type="paragraph" w:customStyle="1" w:styleId="EMDotPoint1">
    <w:name w:val="EM Dot Point 1"/>
    <w:basedOn w:val="Normal"/>
    <w:rsid w:val="00CD347C"/>
    <w:pPr>
      <w:widowControl w:val="0"/>
      <w:numPr>
        <w:numId w:val="13"/>
      </w:numPr>
      <w:adjustRightInd w:val="0"/>
      <w:spacing w:before="0" w:after="240"/>
      <w:contextualSpacing/>
      <w:textAlignment w:val="baseline"/>
    </w:pPr>
  </w:style>
  <w:style w:type="paragraph" w:customStyle="1" w:styleId="CharChar">
    <w:name w:val="Char Char"/>
    <w:basedOn w:val="Normal"/>
    <w:rsid w:val="00DD3616"/>
    <w:pPr>
      <w:spacing w:before="120" w:after="120"/>
    </w:pPr>
    <w:rPr>
      <w:rFonts w:ascii="Arial" w:hAnsi="Arial"/>
      <w:sz w:val="22"/>
      <w:lang w:eastAsia="en-US"/>
    </w:rPr>
  </w:style>
  <w:style w:type="character" w:styleId="CommentReference">
    <w:name w:val="annotation reference"/>
    <w:basedOn w:val="DefaultParagraphFont"/>
    <w:uiPriority w:val="99"/>
    <w:semiHidden/>
    <w:unhideWhenUsed/>
    <w:rsid w:val="005A7E8F"/>
    <w:rPr>
      <w:sz w:val="16"/>
      <w:szCs w:val="16"/>
    </w:rPr>
  </w:style>
  <w:style w:type="paragraph" w:styleId="CommentText">
    <w:name w:val="annotation text"/>
    <w:basedOn w:val="Normal"/>
    <w:link w:val="CommentTextChar"/>
    <w:uiPriority w:val="99"/>
    <w:semiHidden/>
    <w:unhideWhenUsed/>
    <w:rsid w:val="005A7E8F"/>
    <w:rPr>
      <w:sz w:val="20"/>
    </w:rPr>
  </w:style>
  <w:style w:type="character" w:customStyle="1" w:styleId="CommentTextChar">
    <w:name w:val="Comment Text Char"/>
    <w:basedOn w:val="DefaultParagraphFont"/>
    <w:link w:val="CommentText"/>
    <w:uiPriority w:val="99"/>
    <w:semiHidden/>
    <w:rsid w:val="005A7E8F"/>
  </w:style>
  <w:style w:type="paragraph" w:styleId="CommentSubject">
    <w:name w:val="annotation subject"/>
    <w:basedOn w:val="CommentText"/>
    <w:next w:val="CommentText"/>
    <w:link w:val="CommentSubjectChar"/>
    <w:uiPriority w:val="99"/>
    <w:semiHidden/>
    <w:unhideWhenUsed/>
    <w:rsid w:val="005A7E8F"/>
    <w:rPr>
      <w:b/>
      <w:bCs/>
    </w:rPr>
  </w:style>
  <w:style w:type="character" w:customStyle="1" w:styleId="CommentSubjectChar">
    <w:name w:val="Comment Subject Char"/>
    <w:basedOn w:val="CommentTextChar"/>
    <w:link w:val="CommentSubject"/>
    <w:uiPriority w:val="99"/>
    <w:semiHidden/>
    <w:rsid w:val="005A7E8F"/>
    <w:rPr>
      <w:b/>
      <w:bCs/>
    </w:rPr>
  </w:style>
  <w:style w:type="paragraph" w:styleId="BalloonText">
    <w:name w:val="Balloon Text"/>
    <w:basedOn w:val="Normal"/>
    <w:link w:val="BalloonTextChar"/>
    <w:uiPriority w:val="99"/>
    <w:semiHidden/>
    <w:unhideWhenUsed/>
    <w:rsid w:val="005A7E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8F"/>
    <w:rPr>
      <w:rFonts w:ascii="Tahoma" w:hAnsi="Tahoma" w:cs="Tahoma"/>
      <w:sz w:val="16"/>
      <w:szCs w:val="16"/>
    </w:rPr>
  </w:style>
  <w:style w:type="paragraph" w:styleId="ListParagraph">
    <w:name w:val="List Paragraph"/>
    <w:basedOn w:val="Normal"/>
    <w:uiPriority w:val="34"/>
    <w:qFormat/>
    <w:rsid w:val="007460D1"/>
    <w:pPr>
      <w:ind w:left="720"/>
      <w:contextualSpacing/>
    </w:pPr>
  </w:style>
  <w:style w:type="paragraph" w:customStyle="1" w:styleId="CharChar1">
    <w:name w:val="Char Char1"/>
    <w:basedOn w:val="Normal"/>
    <w:rsid w:val="00DC19AA"/>
    <w:pPr>
      <w:spacing w:before="120" w:after="120"/>
    </w:pPr>
    <w:rPr>
      <w:rFonts w:ascii="Arial" w:hAnsi="Arial"/>
      <w:sz w:val="22"/>
      <w:lang w:eastAsia="en-US"/>
    </w:rPr>
  </w:style>
  <w:style w:type="character" w:customStyle="1" w:styleId="HeaderChar">
    <w:name w:val="Header Char"/>
    <w:basedOn w:val="DefaultParagraphFont"/>
    <w:link w:val="Header"/>
    <w:uiPriority w:val="99"/>
    <w:rsid w:val="00884EE2"/>
    <w:rPr>
      <w:sz w:val="24"/>
    </w:rPr>
  </w:style>
  <w:style w:type="character" w:customStyle="1" w:styleId="popup">
    <w:name w:val="popup"/>
    <w:rsid w:val="00675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0D"/>
    <w:pPr>
      <w:spacing w:before="240"/>
    </w:pPr>
    <w:rPr>
      <w:sz w:val="24"/>
    </w:rPr>
  </w:style>
  <w:style w:type="paragraph" w:styleId="Heading2">
    <w:name w:val="heading 2"/>
    <w:basedOn w:val="Normal"/>
    <w:next w:val="Normal"/>
    <w:qFormat/>
    <w:rsid w:val="00217F2A"/>
    <w:pPr>
      <w:keepNext/>
      <w:spacing w:after="60"/>
      <w:outlineLvl w:val="1"/>
    </w:pPr>
    <w:rPr>
      <w:rFonts w:ascii="Arial" w:hAnsi="Arial" w:cs="Arial"/>
      <w:b/>
      <w:bCs/>
      <w:i/>
      <w:iCs/>
      <w:sz w:val="28"/>
      <w:szCs w:val="28"/>
    </w:rPr>
  </w:style>
  <w:style w:type="paragraph" w:styleId="Heading6">
    <w:name w:val="heading 6"/>
    <w:basedOn w:val="Normal"/>
    <w:next w:val="Normal"/>
    <w:qFormat/>
    <w:rsid w:val="00670B4A"/>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endixCharChar">
    <w:name w:val="Appendix Char Char"/>
    <w:basedOn w:val="DefaultParagraphFont"/>
    <w:link w:val="Appendix"/>
    <w:rsid w:val="00670B4A"/>
    <w:rPr>
      <w:b/>
      <w:sz w:val="24"/>
      <w:lang w:val="en-AU" w:eastAsia="en-AU" w:bidi="ar-SA"/>
    </w:rPr>
  </w:style>
  <w:style w:type="paragraph" w:customStyle="1" w:styleId="Appendix">
    <w:name w:val="Appendix"/>
    <w:basedOn w:val="Normal"/>
    <w:link w:val="AppendixCharChar"/>
    <w:rsid w:val="00670B4A"/>
    <w:pPr>
      <w:spacing w:before="0"/>
      <w:jc w:val="right"/>
    </w:pPr>
    <w:rPr>
      <w:b/>
    </w:rPr>
  </w:style>
  <w:style w:type="paragraph" w:customStyle="1" w:styleId="HB-dotpoint">
    <w:name w:val="HB - dotpoint"/>
    <w:basedOn w:val="Normal"/>
    <w:rsid w:val="00670B4A"/>
    <w:pPr>
      <w:numPr>
        <w:numId w:val="1"/>
      </w:numPr>
      <w:spacing w:before="180"/>
    </w:pPr>
  </w:style>
  <w:style w:type="paragraph" w:customStyle="1" w:styleId="EMparagraph">
    <w:name w:val="EM paragraph"/>
    <w:basedOn w:val="Normal"/>
    <w:rsid w:val="00EB1F38"/>
    <w:pPr>
      <w:widowControl w:val="0"/>
      <w:adjustRightInd w:val="0"/>
      <w:spacing w:before="0" w:after="240"/>
      <w:ind w:right="85"/>
      <w:textAlignment w:val="baseline"/>
    </w:pPr>
  </w:style>
  <w:style w:type="paragraph" w:styleId="Header">
    <w:name w:val="header"/>
    <w:basedOn w:val="Normal"/>
    <w:link w:val="HeaderChar"/>
    <w:uiPriority w:val="99"/>
    <w:rsid w:val="005B3A21"/>
    <w:pPr>
      <w:tabs>
        <w:tab w:val="center" w:pos="4153"/>
        <w:tab w:val="right" w:pos="8306"/>
      </w:tabs>
    </w:pPr>
  </w:style>
  <w:style w:type="paragraph" w:styleId="Footer">
    <w:name w:val="footer"/>
    <w:basedOn w:val="Normal"/>
    <w:rsid w:val="005B3A21"/>
    <w:pPr>
      <w:tabs>
        <w:tab w:val="center" w:pos="4153"/>
        <w:tab w:val="right" w:pos="8306"/>
      </w:tabs>
    </w:pPr>
  </w:style>
  <w:style w:type="paragraph" w:styleId="BodyText">
    <w:name w:val="Body Text"/>
    <w:basedOn w:val="Normal"/>
    <w:rsid w:val="00AC290D"/>
    <w:pPr>
      <w:spacing w:before="0"/>
    </w:pPr>
  </w:style>
  <w:style w:type="paragraph" w:customStyle="1" w:styleId="EMHeading">
    <w:name w:val="EM Heading"/>
    <w:basedOn w:val="Heading2"/>
    <w:link w:val="EMHeadingChar"/>
    <w:rsid w:val="00217F2A"/>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basedOn w:val="DefaultParagraphFont"/>
    <w:link w:val="EMHeading"/>
    <w:rsid w:val="00217F2A"/>
    <w:rPr>
      <w:sz w:val="24"/>
      <w:u w:val="single"/>
      <w:lang w:val="en-AU" w:eastAsia="en-AU" w:bidi="ar-SA"/>
    </w:rPr>
  </w:style>
  <w:style w:type="paragraph" w:customStyle="1" w:styleId="DINumberedParagraph">
    <w:name w:val="DI Numbered Paragraph"/>
    <w:basedOn w:val="Normal"/>
    <w:link w:val="DINumberedParagraphChar"/>
    <w:rsid w:val="00621D64"/>
    <w:pPr>
      <w:numPr>
        <w:numId w:val="4"/>
      </w:numPr>
      <w:tabs>
        <w:tab w:val="left" w:pos="567"/>
      </w:tabs>
      <w:spacing w:before="0" w:after="240"/>
    </w:pPr>
  </w:style>
  <w:style w:type="character" w:customStyle="1" w:styleId="DINumberedParagraphChar">
    <w:name w:val="DI Numbered Paragraph Char"/>
    <w:basedOn w:val="DefaultParagraphFont"/>
    <w:link w:val="DINumberedParagraph"/>
    <w:rsid w:val="00621D64"/>
    <w:rPr>
      <w:sz w:val="24"/>
      <w:lang w:val="en-AU" w:eastAsia="en-AU" w:bidi="ar-SA"/>
    </w:rPr>
  </w:style>
  <w:style w:type="paragraph" w:customStyle="1" w:styleId="EMDotPoint1">
    <w:name w:val="EM Dot Point 1"/>
    <w:basedOn w:val="Normal"/>
    <w:rsid w:val="00CD347C"/>
    <w:pPr>
      <w:widowControl w:val="0"/>
      <w:numPr>
        <w:numId w:val="13"/>
      </w:numPr>
      <w:adjustRightInd w:val="0"/>
      <w:spacing w:before="0" w:after="240"/>
      <w:contextualSpacing/>
      <w:textAlignment w:val="baseline"/>
    </w:pPr>
  </w:style>
  <w:style w:type="paragraph" w:customStyle="1" w:styleId="CharChar">
    <w:name w:val="Char Char"/>
    <w:basedOn w:val="Normal"/>
    <w:rsid w:val="00DD3616"/>
    <w:pPr>
      <w:spacing w:before="120" w:after="120"/>
    </w:pPr>
    <w:rPr>
      <w:rFonts w:ascii="Arial" w:hAnsi="Arial"/>
      <w:sz w:val="22"/>
      <w:lang w:eastAsia="en-US"/>
    </w:rPr>
  </w:style>
  <w:style w:type="character" w:styleId="CommentReference">
    <w:name w:val="annotation reference"/>
    <w:basedOn w:val="DefaultParagraphFont"/>
    <w:uiPriority w:val="99"/>
    <w:semiHidden/>
    <w:unhideWhenUsed/>
    <w:rsid w:val="005A7E8F"/>
    <w:rPr>
      <w:sz w:val="16"/>
      <w:szCs w:val="16"/>
    </w:rPr>
  </w:style>
  <w:style w:type="paragraph" w:styleId="CommentText">
    <w:name w:val="annotation text"/>
    <w:basedOn w:val="Normal"/>
    <w:link w:val="CommentTextChar"/>
    <w:uiPriority w:val="99"/>
    <w:semiHidden/>
    <w:unhideWhenUsed/>
    <w:rsid w:val="005A7E8F"/>
    <w:rPr>
      <w:sz w:val="20"/>
    </w:rPr>
  </w:style>
  <w:style w:type="character" w:customStyle="1" w:styleId="CommentTextChar">
    <w:name w:val="Comment Text Char"/>
    <w:basedOn w:val="DefaultParagraphFont"/>
    <w:link w:val="CommentText"/>
    <w:uiPriority w:val="99"/>
    <w:semiHidden/>
    <w:rsid w:val="005A7E8F"/>
  </w:style>
  <w:style w:type="paragraph" w:styleId="CommentSubject">
    <w:name w:val="annotation subject"/>
    <w:basedOn w:val="CommentText"/>
    <w:next w:val="CommentText"/>
    <w:link w:val="CommentSubjectChar"/>
    <w:uiPriority w:val="99"/>
    <w:semiHidden/>
    <w:unhideWhenUsed/>
    <w:rsid w:val="005A7E8F"/>
    <w:rPr>
      <w:b/>
      <w:bCs/>
    </w:rPr>
  </w:style>
  <w:style w:type="character" w:customStyle="1" w:styleId="CommentSubjectChar">
    <w:name w:val="Comment Subject Char"/>
    <w:basedOn w:val="CommentTextChar"/>
    <w:link w:val="CommentSubject"/>
    <w:uiPriority w:val="99"/>
    <w:semiHidden/>
    <w:rsid w:val="005A7E8F"/>
    <w:rPr>
      <w:b/>
      <w:bCs/>
    </w:rPr>
  </w:style>
  <w:style w:type="paragraph" w:styleId="BalloonText">
    <w:name w:val="Balloon Text"/>
    <w:basedOn w:val="Normal"/>
    <w:link w:val="BalloonTextChar"/>
    <w:uiPriority w:val="99"/>
    <w:semiHidden/>
    <w:unhideWhenUsed/>
    <w:rsid w:val="005A7E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8F"/>
    <w:rPr>
      <w:rFonts w:ascii="Tahoma" w:hAnsi="Tahoma" w:cs="Tahoma"/>
      <w:sz w:val="16"/>
      <w:szCs w:val="16"/>
    </w:rPr>
  </w:style>
  <w:style w:type="paragraph" w:styleId="ListParagraph">
    <w:name w:val="List Paragraph"/>
    <w:basedOn w:val="Normal"/>
    <w:uiPriority w:val="34"/>
    <w:qFormat/>
    <w:rsid w:val="007460D1"/>
    <w:pPr>
      <w:ind w:left="720"/>
      <w:contextualSpacing/>
    </w:pPr>
  </w:style>
  <w:style w:type="paragraph" w:customStyle="1" w:styleId="CharChar1">
    <w:name w:val="Char Char1"/>
    <w:basedOn w:val="Normal"/>
    <w:rsid w:val="00DC19AA"/>
    <w:pPr>
      <w:spacing w:before="120" w:after="120"/>
    </w:pPr>
    <w:rPr>
      <w:rFonts w:ascii="Arial" w:hAnsi="Arial"/>
      <w:sz w:val="22"/>
      <w:lang w:eastAsia="en-US"/>
    </w:rPr>
  </w:style>
  <w:style w:type="character" w:customStyle="1" w:styleId="HeaderChar">
    <w:name w:val="Header Char"/>
    <w:basedOn w:val="DefaultParagraphFont"/>
    <w:link w:val="Header"/>
    <w:uiPriority w:val="99"/>
    <w:rsid w:val="00884EE2"/>
    <w:rPr>
      <w:sz w:val="24"/>
    </w:rPr>
  </w:style>
  <w:style w:type="character" w:customStyle="1" w:styleId="popup">
    <w:name w:val="popup"/>
    <w:rsid w:val="0067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8D8A-E96F-4D21-9FCC-0910C118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4382</Words>
  <Characters>23806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CSC</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John LIN</dc:creator>
  <cp:lastModifiedBy>Hilhorst, Matt</cp:lastModifiedBy>
  <cp:revision>2</cp:revision>
  <cp:lastPrinted>2013-11-12T02:51:00Z</cp:lastPrinted>
  <dcterms:created xsi:type="dcterms:W3CDTF">2013-11-19T21:46:00Z</dcterms:created>
  <dcterms:modified xsi:type="dcterms:W3CDTF">2013-11-19T21:46:00Z</dcterms:modified>
</cp:coreProperties>
</file>