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5C3" w:rsidRPr="00651F58" w:rsidRDefault="002D65C3" w:rsidP="002D65C3">
      <w:pPr>
        <w:pStyle w:val="Title"/>
        <w:rPr>
          <w:sz w:val="24"/>
          <w:szCs w:val="24"/>
        </w:rPr>
      </w:pPr>
      <w:bookmarkStart w:id="0" w:name="_GoBack"/>
      <w:bookmarkEnd w:id="0"/>
      <w:r w:rsidRPr="00651F58">
        <w:rPr>
          <w:sz w:val="24"/>
          <w:szCs w:val="24"/>
        </w:rPr>
        <w:t>Explanatory Statement</w:t>
      </w:r>
    </w:p>
    <w:p w:rsidR="002D65C3" w:rsidRPr="00651F58" w:rsidRDefault="002D65C3" w:rsidP="002D65C3">
      <w:pPr>
        <w:pStyle w:val="Subtitle"/>
        <w:rPr>
          <w:sz w:val="24"/>
          <w:szCs w:val="24"/>
        </w:rPr>
      </w:pPr>
    </w:p>
    <w:p w:rsidR="002D65C3" w:rsidRPr="00651F58" w:rsidRDefault="002D65C3" w:rsidP="002D65C3">
      <w:pPr>
        <w:pStyle w:val="Subtitle"/>
        <w:rPr>
          <w:sz w:val="24"/>
          <w:szCs w:val="24"/>
        </w:rPr>
      </w:pPr>
      <w:r w:rsidRPr="00651F58">
        <w:rPr>
          <w:sz w:val="24"/>
          <w:szCs w:val="24"/>
        </w:rPr>
        <w:t>Currency Act 1965</w:t>
      </w:r>
    </w:p>
    <w:p w:rsidR="002D65C3" w:rsidRPr="00651F58" w:rsidRDefault="002D65C3" w:rsidP="002D65C3">
      <w:pPr>
        <w:pStyle w:val="Subtitle"/>
        <w:rPr>
          <w:sz w:val="24"/>
          <w:szCs w:val="24"/>
        </w:rPr>
      </w:pPr>
    </w:p>
    <w:p w:rsidR="002D65C3" w:rsidRPr="00651F58" w:rsidRDefault="002D65C3" w:rsidP="002D65C3">
      <w:pPr>
        <w:jc w:val="center"/>
        <w:rPr>
          <w:b/>
          <w:sz w:val="24"/>
          <w:szCs w:val="24"/>
        </w:rPr>
      </w:pPr>
      <w:r w:rsidRPr="00651F58">
        <w:rPr>
          <w:b/>
          <w:sz w:val="24"/>
          <w:szCs w:val="24"/>
        </w:rPr>
        <w:t>Currency (Royal Australian Mint) Determination 201</w:t>
      </w:r>
      <w:r>
        <w:rPr>
          <w:b/>
          <w:sz w:val="24"/>
          <w:szCs w:val="24"/>
        </w:rPr>
        <w:t>3</w:t>
      </w:r>
      <w:r w:rsidRPr="00651F58">
        <w:rPr>
          <w:b/>
          <w:sz w:val="24"/>
          <w:szCs w:val="24"/>
        </w:rPr>
        <w:t xml:space="preserve"> (No. </w:t>
      </w:r>
      <w:r w:rsidR="00A35398">
        <w:rPr>
          <w:b/>
          <w:sz w:val="24"/>
          <w:szCs w:val="24"/>
        </w:rPr>
        <w:t>5</w:t>
      </w:r>
      <w:r w:rsidRPr="00651F58">
        <w:rPr>
          <w:b/>
          <w:sz w:val="24"/>
          <w:szCs w:val="24"/>
        </w:rPr>
        <w:t>)</w:t>
      </w:r>
    </w:p>
    <w:p w:rsidR="002D65C3" w:rsidRPr="00651F58" w:rsidRDefault="002D65C3" w:rsidP="002D65C3">
      <w:pPr>
        <w:jc w:val="center"/>
        <w:rPr>
          <w:b/>
          <w:sz w:val="24"/>
          <w:szCs w:val="24"/>
        </w:rPr>
      </w:pPr>
    </w:p>
    <w:p w:rsidR="002D65C3" w:rsidRPr="00651F58" w:rsidRDefault="002D65C3" w:rsidP="002D65C3">
      <w:pPr>
        <w:spacing w:after="240"/>
        <w:rPr>
          <w:b/>
          <w:sz w:val="24"/>
          <w:szCs w:val="24"/>
        </w:rPr>
      </w:pPr>
      <w:r w:rsidRPr="00651F58">
        <w:rPr>
          <w:sz w:val="24"/>
          <w:szCs w:val="24"/>
        </w:rPr>
        <w:t xml:space="preserve">Under subsection 13A (1) of the </w:t>
      </w:r>
      <w:r w:rsidRPr="00651F58">
        <w:rPr>
          <w:i/>
          <w:sz w:val="24"/>
          <w:szCs w:val="24"/>
        </w:rPr>
        <w:t>Currency Act 1965</w:t>
      </w:r>
      <w:r w:rsidRPr="00651F58">
        <w:rPr>
          <w:sz w:val="24"/>
          <w:szCs w:val="24"/>
        </w:rPr>
        <w:t xml:space="preserve">, the Parliamentary Secretary to the Treasurer, </w:t>
      </w:r>
      <w:r w:rsidR="005A5F9A">
        <w:rPr>
          <w:sz w:val="24"/>
          <w:szCs w:val="24"/>
        </w:rPr>
        <w:t>Steven Ciobo</w:t>
      </w:r>
      <w:r w:rsidRPr="00651F58">
        <w:rPr>
          <w:sz w:val="24"/>
          <w:szCs w:val="24"/>
        </w:rPr>
        <w:t>, has made a determination regarding the specification of coins proposed to be issued by the Royal Australian Mint.</w:t>
      </w:r>
    </w:p>
    <w:p w:rsidR="002D65C3" w:rsidRPr="00651F58" w:rsidRDefault="002D65C3" w:rsidP="002D65C3">
      <w:pPr>
        <w:spacing w:after="240"/>
        <w:rPr>
          <w:sz w:val="24"/>
          <w:szCs w:val="24"/>
        </w:rPr>
      </w:pPr>
      <w:r w:rsidRPr="00651F58">
        <w:rPr>
          <w:sz w:val="24"/>
          <w:szCs w:val="24"/>
        </w:rPr>
        <w:t xml:space="preserve">Subsection 13A (1) of the </w:t>
      </w:r>
      <w:r w:rsidRPr="00651F58">
        <w:rPr>
          <w:i/>
          <w:sz w:val="24"/>
          <w:szCs w:val="24"/>
        </w:rPr>
        <w:t>Currency Act 1965</w:t>
      </w:r>
      <w:r w:rsidRPr="00651F58">
        <w:rPr>
          <w:sz w:val="24"/>
          <w:szCs w:val="24"/>
        </w:rPr>
        <w:t xml:space="preserve"> requires that the determination provides details of the coins’ characteristics, including standard composition, standard weight, allowable variation from standard weight, design and dimensions.</w:t>
      </w:r>
    </w:p>
    <w:p w:rsidR="002D65C3" w:rsidRPr="00651F58" w:rsidRDefault="002D65C3" w:rsidP="002D65C3">
      <w:pPr>
        <w:spacing w:after="240"/>
        <w:rPr>
          <w:sz w:val="24"/>
          <w:szCs w:val="24"/>
        </w:rPr>
      </w:pPr>
      <w:r w:rsidRPr="00651F58">
        <w:rPr>
          <w:sz w:val="24"/>
          <w:szCs w:val="24"/>
        </w:rPr>
        <w:t xml:space="preserve">This determination is a disallowable instrument for the purposes of section 42 of the </w:t>
      </w:r>
      <w:r w:rsidRPr="00651F58">
        <w:rPr>
          <w:i/>
          <w:sz w:val="24"/>
          <w:szCs w:val="24"/>
        </w:rPr>
        <w:t>Legislative Instruments Act 2003.</w:t>
      </w:r>
      <w:r w:rsidRPr="00651F58">
        <w:rPr>
          <w:sz w:val="24"/>
          <w:szCs w:val="24"/>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1101"/>
        <w:gridCol w:w="7421"/>
      </w:tblGrid>
      <w:tr w:rsidR="005A5F9A" w:rsidTr="005A5F9A">
        <w:trPr>
          <w:cantSplit/>
        </w:trPr>
        <w:tc>
          <w:tcPr>
            <w:tcW w:w="1101" w:type="dxa"/>
            <w:tcBorders>
              <w:top w:val="single" w:sz="4" w:space="0" w:color="auto"/>
              <w:left w:val="single" w:sz="4" w:space="0" w:color="auto"/>
              <w:bottom w:val="single" w:sz="4" w:space="0" w:color="auto"/>
              <w:right w:val="single" w:sz="4" w:space="0" w:color="auto"/>
            </w:tcBorders>
            <w:hideMark/>
          </w:tcPr>
          <w:p w:rsidR="005A5F9A" w:rsidRDefault="005A5F9A">
            <w:pPr>
              <w:rPr>
                <w:b/>
                <w:sz w:val="18"/>
                <w:szCs w:val="18"/>
              </w:rPr>
            </w:pPr>
            <w:r>
              <w:rPr>
                <w:b/>
                <w:sz w:val="18"/>
                <w:szCs w:val="18"/>
              </w:rPr>
              <w:t xml:space="preserve">Item 1 </w:t>
            </w:r>
          </w:p>
        </w:tc>
        <w:tc>
          <w:tcPr>
            <w:tcW w:w="7421" w:type="dxa"/>
            <w:tcBorders>
              <w:top w:val="single" w:sz="4" w:space="0" w:color="auto"/>
              <w:left w:val="single" w:sz="4" w:space="0" w:color="auto"/>
              <w:bottom w:val="single" w:sz="4" w:space="0" w:color="auto"/>
              <w:right w:val="single" w:sz="4" w:space="0" w:color="auto"/>
            </w:tcBorders>
          </w:tcPr>
          <w:p w:rsidR="005A5F9A" w:rsidRDefault="005A5F9A">
            <w:pPr>
              <w:rPr>
                <w:b/>
                <w:sz w:val="18"/>
                <w:szCs w:val="18"/>
              </w:rPr>
            </w:pPr>
            <w:r>
              <w:rPr>
                <w:b/>
                <w:sz w:val="18"/>
                <w:szCs w:val="18"/>
              </w:rPr>
              <w:t xml:space="preserve">50c Silver Coin – Snake Lunar Series </w:t>
            </w:r>
          </w:p>
          <w:p w:rsidR="005A5F9A" w:rsidRDefault="005A5F9A">
            <w:pPr>
              <w:rPr>
                <w:b/>
                <w:sz w:val="18"/>
                <w:szCs w:val="18"/>
              </w:rPr>
            </w:pPr>
          </w:p>
          <w:p w:rsidR="005A5F9A" w:rsidRDefault="005A5F9A">
            <w:pPr>
              <w:rPr>
                <w:b/>
                <w:sz w:val="18"/>
                <w:szCs w:val="18"/>
              </w:rPr>
            </w:pPr>
            <w:r>
              <w:rPr>
                <w:b/>
                <w:sz w:val="18"/>
                <w:szCs w:val="18"/>
              </w:rPr>
              <w:t>Reverse</w:t>
            </w:r>
          </w:p>
          <w:p w:rsidR="005A5F9A" w:rsidRPr="005A5F9A" w:rsidRDefault="005A5F9A" w:rsidP="005A5F9A">
            <w:pPr>
              <w:pStyle w:val="TableText"/>
              <w:spacing w:before="0"/>
              <w:rPr>
                <w:sz w:val="18"/>
                <w:szCs w:val="18"/>
              </w:rPr>
            </w:pPr>
            <w:r w:rsidRPr="005A5F9A">
              <w:rPr>
                <w:sz w:val="18"/>
                <w:szCs w:val="18"/>
              </w:rPr>
              <w:t>A representation of a snake among grass and the Chinese character pronounced ‘</w:t>
            </w:r>
            <w:r w:rsidRPr="005A5F9A">
              <w:rPr>
                <w:rStyle w:val="st1"/>
                <w:sz w:val="18"/>
                <w:szCs w:val="18"/>
              </w:rPr>
              <w:t>shé</w:t>
            </w:r>
            <w:r w:rsidRPr="005A5F9A">
              <w:rPr>
                <w:sz w:val="18"/>
                <w:szCs w:val="18"/>
              </w:rPr>
              <w:t xml:space="preserve">’ and meaning ‘snake’. The design includes the inscription ‘50’. </w:t>
            </w:r>
          </w:p>
          <w:p w:rsidR="005A5F9A" w:rsidRDefault="005A5F9A">
            <w:pPr>
              <w:rPr>
                <w:sz w:val="18"/>
                <w:szCs w:val="18"/>
              </w:rPr>
            </w:pPr>
          </w:p>
          <w:p w:rsidR="005A5F9A" w:rsidRDefault="005A5F9A">
            <w:pPr>
              <w:rPr>
                <w:b/>
                <w:sz w:val="18"/>
                <w:szCs w:val="18"/>
              </w:rPr>
            </w:pPr>
            <w:r>
              <w:rPr>
                <w:b/>
                <w:sz w:val="18"/>
                <w:szCs w:val="18"/>
              </w:rPr>
              <w:t>Obverse</w:t>
            </w:r>
          </w:p>
          <w:p w:rsidR="005A5F9A" w:rsidRDefault="005A5F9A">
            <w:pPr>
              <w:rPr>
                <w:sz w:val="18"/>
                <w:szCs w:val="18"/>
              </w:rPr>
            </w:pPr>
            <w:r>
              <w:rPr>
                <w:sz w:val="18"/>
                <w:szCs w:val="18"/>
              </w:rPr>
              <w:t>Consistent with all Australian legal tender coinage, an effigy of Her Majesty Queen Elizabeth II will appear on the obverse side of the coin together with the inscriptions ‘ELIZABETH II’, ‘AUSTRALIA’ and the inscription, in numerals, of a year. The obverse design includes the initials of the designer Ian Rank-Broadley ‘IRB’.</w:t>
            </w:r>
          </w:p>
        </w:tc>
      </w:tr>
      <w:tr w:rsidR="005A5F9A" w:rsidTr="005A5F9A">
        <w:trPr>
          <w:cantSplit/>
        </w:trPr>
        <w:tc>
          <w:tcPr>
            <w:tcW w:w="1101" w:type="dxa"/>
            <w:tcBorders>
              <w:top w:val="single" w:sz="4" w:space="0" w:color="auto"/>
              <w:left w:val="single" w:sz="4" w:space="0" w:color="auto"/>
              <w:bottom w:val="single" w:sz="4" w:space="0" w:color="auto"/>
              <w:right w:val="single" w:sz="4" w:space="0" w:color="auto"/>
            </w:tcBorders>
            <w:hideMark/>
          </w:tcPr>
          <w:p w:rsidR="005A5F9A" w:rsidRDefault="005A5F9A">
            <w:pPr>
              <w:rPr>
                <w:b/>
                <w:sz w:val="18"/>
                <w:szCs w:val="18"/>
              </w:rPr>
            </w:pPr>
            <w:r>
              <w:rPr>
                <w:b/>
                <w:sz w:val="18"/>
                <w:szCs w:val="18"/>
              </w:rPr>
              <w:t>Item 2</w:t>
            </w:r>
          </w:p>
        </w:tc>
        <w:tc>
          <w:tcPr>
            <w:tcW w:w="7421" w:type="dxa"/>
            <w:tcBorders>
              <w:top w:val="single" w:sz="4" w:space="0" w:color="auto"/>
              <w:left w:val="single" w:sz="4" w:space="0" w:color="auto"/>
              <w:bottom w:val="single" w:sz="4" w:space="0" w:color="auto"/>
              <w:right w:val="single" w:sz="4" w:space="0" w:color="auto"/>
            </w:tcBorders>
          </w:tcPr>
          <w:p w:rsidR="005A5F9A" w:rsidRDefault="005A5F9A" w:rsidP="005A5F9A">
            <w:pPr>
              <w:rPr>
                <w:b/>
                <w:sz w:val="18"/>
                <w:szCs w:val="18"/>
              </w:rPr>
            </w:pPr>
            <w:r>
              <w:rPr>
                <w:b/>
                <w:sz w:val="18"/>
                <w:szCs w:val="18"/>
              </w:rPr>
              <w:t xml:space="preserve">50c Silver Coin – Horse Lunar Series </w:t>
            </w:r>
          </w:p>
          <w:p w:rsidR="005A5F9A" w:rsidRDefault="005A5F9A">
            <w:pPr>
              <w:rPr>
                <w:b/>
                <w:sz w:val="18"/>
                <w:szCs w:val="18"/>
              </w:rPr>
            </w:pPr>
          </w:p>
          <w:p w:rsidR="005A5F9A" w:rsidRDefault="005A5F9A">
            <w:pPr>
              <w:rPr>
                <w:b/>
                <w:sz w:val="18"/>
                <w:szCs w:val="18"/>
              </w:rPr>
            </w:pPr>
            <w:r>
              <w:rPr>
                <w:b/>
                <w:sz w:val="18"/>
                <w:szCs w:val="18"/>
              </w:rPr>
              <w:t>Reverse</w:t>
            </w:r>
          </w:p>
          <w:p w:rsidR="005A5F9A" w:rsidRDefault="005A5F9A" w:rsidP="00BB5005">
            <w:pPr>
              <w:pStyle w:val="TableText"/>
              <w:tabs>
                <w:tab w:val="right" w:pos="34"/>
                <w:tab w:val="left" w:pos="3600"/>
              </w:tabs>
              <w:spacing w:beforeLines="20" w:before="48" w:afterLines="20" w:after="48"/>
              <w:rPr>
                <w:sz w:val="18"/>
                <w:szCs w:val="18"/>
              </w:rPr>
            </w:pPr>
            <w:r>
              <w:rPr>
                <w:sz w:val="18"/>
                <w:szCs w:val="18"/>
              </w:rPr>
              <w:t xml:space="preserve">A representation of </w:t>
            </w:r>
            <w:r w:rsidRPr="00A96445">
              <w:rPr>
                <w:sz w:val="18"/>
                <w:szCs w:val="18"/>
              </w:rPr>
              <w:t>a horse jumping in a field of grass</w:t>
            </w:r>
            <w:r>
              <w:rPr>
                <w:sz w:val="18"/>
                <w:szCs w:val="18"/>
              </w:rPr>
              <w:t xml:space="preserve"> </w:t>
            </w:r>
            <w:r w:rsidRPr="00A96445">
              <w:rPr>
                <w:sz w:val="18"/>
                <w:szCs w:val="18"/>
              </w:rPr>
              <w:t>and</w:t>
            </w:r>
            <w:r>
              <w:rPr>
                <w:sz w:val="18"/>
                <w:szCs w:val="18"/>
              </w:rPr>
              <w:t xml:space="preserve"> </w:t>
            </w:r>
            <w:r w:rsidRPr="00A96445">
              <w:rPr>
                <w:sz w:val="18"/>
                <w:szCs w:val="18"/>
              </w:rPr>
              <w:t>the Chinese character pronounced ‘</w:t>
            </w:r>
            <w:r w:rsidRPr="0076432B">
              <w:rPr>
                <w:sz w:val="18"/>
                <w:szCs w:val="18"/>
              </w:rPr>
              <w:t>mǎ</w:t>
            </w:r>
            <w:r w:rsidRPr="00A96445">
              <w:rPr>
                <w:sz w:val="18"/>
                <w:szCs w:val="18"/>
              </w:rPr>
              <w:t>’ and meaning ‘horse’</w:t>
            </w:r>
            <w:r w:rsidR="00BB5005">
              <w:rPr>
                <w:sz w:val="18"/>
                <w:szCs w:val="18"/>
              </w:rPr>
              <w:t>. The design includes the inscription ‘</w:t>
            </w:r>
            <w:r w:rsidRPr="000960D2">
              <w:rPr>
                <w:sz w:val="18"/>
                <w:szCs w:val="18"/>
              </w:rPr>
              <w:t>50’</w:t>
            </w:r>
            <w:r w:rsidR="00BB5005">
              <w:rPr>
                <w:sz w:val="18"/>
                <w:szCs w:val="18"/>
              </w:rPr>
              <w:t>.</w:t>
            </w:r>
          </w:p>
          <w:p w:rsidR="005A5F9A" w:rsidRDefault="005A5F9A">
            <w:pPr>
              <w:rPr>
                <w:sz w:val="18"/>
                <w:szCs w:val="18"/>
              </w:rPr>
            </w:pPr>
          </w:p>
          <w:p w:rsidR="005A5F9A" w:rsidRDefault="005A5F9A">
            <w:pPr>
              <w:rPr>
                <w:b/>
                <w:sz w:val="18"/>
                <w:szCs w:val="18"/>
              </w:rPr>
            </w:pPr>
            <w:r>
              <w:rPr>
                <w:b/>
                <w:sz w:val="18"/>
                <w:szCs w:val="18"/>
              </w:rPr>
              <w:t>Obverse</w:t>
            </w:r>
          </w:p>
          <w:p w:rsidR="005A5F9A" w:rsidRDefault="00BB5005">
            <w:pPr>
              <w:rPr>
                <w:sz w:val="18"/>
                <w:szCs w:val="18"/>
              </w:rPr>
            </w:pPr>
            <w:r>
              <w:rPr>
                <w:sz w:val="18"/>
                <w:szCs w:val="18"/>
              </w:rPr>
              <w:t>Consistent with all Australian legal tender coinage, an effigy of Her Majesty Queen Elizabeth II will appear on the obverse side of the coin together with the inscriptions ‘ELIZABETH II’, ‘AUSTRALIA’ and the inscription, in numerals, of a year. The obverse design includes the initials of the designer Ian Rank-Broadley ‘IRB’.</w:t>
            </w:r>
          </w:p>
        </w:tc>
      </w:tr>
      <w:tr w:rsidR="005A5F9A" w:rsidRPr="00674847" w:rsidTr="00FC55BB">
        <w:trPr>
          <w:cantSplit/>
        </w:trPr>
        <w:tc>
          <w:tcPr>
            <w:tcW w:w="1101" w:type="dxa"/>
          </w:tcPr>
          <w:p w:rsidR="005A5F9A" w:rsidRDefault="005A5F9A" w:rsidP="00BB5005">
            <w:pPr>
              <w:rPr>
                <w:b/>
                <w:sz w:val="18"/>
                <w:szCs w:val="18"/>
              </w:rPr>
            </w:pPr>
            <w:r>
              <w:rPr>
                <w:b/>
                <w:sz w:val="18"/>
                <w:szCs w:val="18"/>
              </w:rPr>
              <w:t xml:space="preserve">Item </w:t>
            </w:r>
            <w:r w:rsidR="00BB5005">
              <w:rPr>
                <w:b/>
                <w:sz w:val="18"/>
                <w:szCs w:val="18"/>
              </w:rPr>
              <w:t>3</w:t>
            </w:r>
          </w:p>
        </w:tc>
        <w:tc>
          <w:tcPr>
            <w:tcW w:w="7421" w:type="dxa"/>
          </w:tcPr>
          <w:p w:rsidR="005A5F9A" w:rsidRDefault="00BB5005" w:rsidP="002D0C4F">
            <w:pPr>
              <w:rPr>
                <w:b/>
                <w:sz w:val="18"/>
                <w:szCs w:val="18"/>
              </w:rPr>
            </w:pPr>
            <w:r>
              <w:rPr>
                <w:b/>
                <w:sz w:val="18"/>
                <w:szCs w:val="18"/>
              </w:rPr>
              <w:t>$</w:t>
            </w:r>
            <w:r w:rsidR="005A5F9A">
              <w:rPr>
                <w:b/>
                <w:sz w:val="18"/>
                <w:szCs w:val="18"/>
              </w:rPr>
              <w:t xml:space="preserve">5  </w:t>
            </w:r>
            <w:r>
              <w:rPr>
                <w:b/>
                <w:sz w:val="18"/>
                <w:szCs w:val="18"/>
              </w:rPr>
              <w:t xml:space="preserve">Silver </w:t>
            </w:r>
            <w:r w:rsidR="005A5F9A">
              <w:rPr>
                <w:b/>
                <w:sz w:val="18"/>
                <w:szCs w:val="18"/>
              </w:rPr>
              <w:t xml:space="preserve">Coin – </w:t>
            </w:r>
            <w:r>
              <w:rPr>
                <w:b/>
                <w:sz w:val="18"/>
                <w:szCs w:val="18"/>
              </w:rPr>
              <w:t>Southern Sky</w:t>
            </w:r>
            <w:r w:rsidR="00623A3B">
              <w:rPr>
                <w:b/>
                <w:sz w:val="18"/>
                <w:szCs w:val="18"/>
              </w:rPr>
              <w:t xml:space="preserve"> – </w:t>
            </w:r>
            <w:r>
              <w:rPr>
                <w:b/>
                <w:sz w:val="18"/>
                <w:szCs w:val="18"/>
              </w:rPr>
              <w:t>Orion</w:t>
            </w:r>
          </w:p>
          <w:p w:rsidR="005A5F9A" w:rsidRDefault="005A5F9A" w:rsidP="002D0C4F">
            <w:pPr>
              <w:rPr>
                <w:b/>
                <w:sz w:val="18"/>
                <w:szCs w:val="18"/>
              </w:rPr>
            </w:pPr>
          </w:p>
          <w:p w:rsidR="005A5F9A" w:rsidRDefault="005A5F9A" w:rsidP="002D0C4F">
            <w:pPr>
              <w:rPr>
                <w:b/>
                <w:sz w:val="18"/>
                <w:szCs w:val="18"/>
              </w:rPr>
            </w:pPr>
            <w:r>
              <w:rPr>
                <w:b/>
                <w:sz w:val="18"/>
                <w:szCs w:val="18"/>
              </w:rPr>
              <w:t>Reverse</w:t>
            </w:r>
          </w:p>
          <w:p w:rsidR="005A5F9A" w:rsidRDefault="00BB5005" w:rsidP="003E3496">
            <w:pPr>
              <w:pStyle w:val="TableText"/>
              <w:spacing w:beforeLines="20" w:before="48" w:afterLines="20" w:after="48"/>
              <w:rPr>
                <w:sz w:val="18"/>
                <w:szCs w:val="18"/>
                <w:lang w:val="en-US"/>
              </w:rPr>
            </w:pPr>
            <w:r>
              <w:rPr>
                <w:sz w:val="18"/>
                <w:szCs w:val="18"/>
              </w:rPr>
              <w:t xml:space="preserve">A design consisting </w:t>
            </w:r>
            <w:r w:rsidR="003E3496">
              <w:rPr>
                <w:sz w:val="18"/>
                <w:szCs w:val="18"/>
              </w:rPr>
              <w:t xml:space="preserve">of a </w:t>
            </w:r>
            <w:r w:rsidR="003E3496" w:rsidRPr="00AC4928">
              <w:rPr>
                <w:sz w:val="18"/>
                <w:szCs w:val="18"/>
              </w:rPr>
              <w:t>stylised representation of the constellation</w:t>
            </w:r>
            <w:r w:rsidR="003E3496">
              <w:rPr>
                <w:sz w:val="18"/>
                <w:szCs w:val="18"/>
              </w:rPr>
              <w:t xml:space="preserve"> Orion superimposed on a coloured representation of a field of stars, which is in turn superimposed on </w:t>
            </w:r>
            <w:r>
              <w:rPr>
                <w:sz w:val="18"/>
                <w:szCs w:val="18"/>
              </w:rPr>
              <w:t>a stylised representation of a compass</w:t>
            </w:r>
            <w:r w:rsidR="003E3496">
              <w:rPr>
                <w:sz w:val="18"/>
                <w:szCs w:val="18"/>
              </w:rPr>
              <w:t xml:space="preserve">. The design includes the inscriptions </w:t>
            </w:r>
            <w:r w:rsidRPr="00554AC6">
              <w:rPr>
                <w:sz w:val="18"/>
                <w:szCs w:val="18"/>
              </w:rPr>
              <w:t>‘NORTH’</w:t>
            </w:r>
            <w:r w:rsidR="003E3496">
              <w:rPr>
                <w:sz w:val="18"/>
                <w:szCs w:val="18"/>
              </w:rPr>
              <w:t xml:space="preserve">, </w:t>
            </w:r>
            <w:r w:rsidRPr="00554AC6">
              <w:rPr>
                <w:sz w:val="18"/>
                <w:szCs w:val="18"/>
              </w:rPr>
              <w:t>‘SOUTH’</w:t>
            </w:r>
            <w:r w:rsidR="003E3496">
              <w:rPr>
                <w:sz w:val="18"/>
                <w:szCs w:val="18"/>
              </w:rPr>
              <w:t xml:space="preserve">, </w:t>
            </w:r>
            <w:r w:rsidRPr="00554AC6">
              <w:rPr>
                <w:sz w:val="18"/>
                <w:szCs w:val="18"/>
              </w:rPr>
              <w:t>‘EAST’</w:t>
            </w:r>
            <w:r w:rsidR="003E3496">
              <w:rPr>
                <w:sz w:val="18"/>
                <w:szCs w:val="18"/>
              </w:rPr>
              <w:t xml:space="preserve">, </w:t>
            </w:r>
            <w:r w:rsidRPr="00554AC6">
              <w:rPr>
                <w:sz w:val="18"/>
                <w:szCs w:val="18"/>
              </w:rPr>
              <w:t>‘WEST’</w:t>
            </w:r>
            <w:r w:rsidR="003E3496">
              <w:rPr>
                <w:sz w:val="18"/>
                <w:szCs w:val="18"/>
              </w:rPr>
              <w:t xml:space="preserve">, </w:t>
            </w:r>
            <w:r w:rsidRPr="00554AC6">
              <w:rPr>
                <w:sz w:val="18"/>
                <w:szCs w:val="18"/>
              </w:rPr>
              <w:t>‘SOUTHERN SKY’</w:t>
            </w:r>
            <w:r w:rsidR="003E3496">
              <w:rPr>
                <w:sz w:val="18"/>
                <w:szCs w:val="18"/>
              </w:rPr>
              <w:t xml:space="preserve">, </w:t>
            </w:r>
            <w:r w:rsidRPr="00554AC6">
              <w:rPr>
                <w:sz w:val="18"/>
                <w:szCs w:val="18"/>
              </w:rPr>
              <w:t xml:space="preserve">‘RA </w:t>
            </w:r>
            <w:r>
              <w:rPr>
                <w:sz w:val="18"/>
                <w:szCs w:val="18"/>
              </w:rPr>
              <w:t>05</w:t>
            </w:r>
            <w:r w:rsidRPr="00554AC6">
              <w:rPr>
                <w:sz w:val="18"/>
                <w:szCs w:val="18"/>
              </w:rPr>
              <w:t xml:space="preserve">h </w:t>
            </w:r>
            <w:r>
              <w:rPr>
                <w:sz w:val="18"/>
                <w:szCs w:val="18"/>
              </w:rPr>
              <w:t>4</w:t>
            </w:r>
            <w:r w:rsidRPr="00554AC6">
              <w:rPr>
                <w:sz w:val="18"/>
                <w:szCs w:val="18"/>
              </w:rPr>
              <w:t>0m 0s’</w:t>
            </w:r>
            <w:r w:rsidR="003E3496">
              <w:rPr>
                <w:sz w:val="18"/>
                <w:szCs w:val="18"/>
              </w:rPr>
              <w:t xml:space="preserve">, </w:t>
            </w:r>
            <w:r w:rsidRPr="00554AC6">
              <w:rPr>
                <w:sz w:val="18"/>
                <w:szCs w:val="18"/>
              </w:rPr>
              <w:t>‘</w:t>
            </w:r>
            <w:r>
              <w:rPr>
                <w:sz w:val="18"/>
                <w:szCs w:val="18"/>
              </w:rPr>
              <w:t>ORION</w:t>
            </w:r>
            <w:r w:rsidRPr="00554AC6">
              <w:rPr>
                <w:sz w:val="18"/>
                <w:szCs w:val="18"/>
              </w:rPr>
              <w:t>’</w:t>
            </w:r>
            <w:r w:rsidR="003E3496">
              <w:rPr>
                <w:sz w:val="18"/>
                <w:szCs w:val="18"/>
              </w:rPr>
              <w:t xml:space="preserve"> and </w:t>
            </w:r>
            <w:r w:rsidRPr="000960D2">
              <w:rPr>
                <w:sz w:val="18"/>
                <w:szCs w:val="18"/>
              </w:rPr>
              <w:t>‘</w:t>
            </w:r>
            <w:r>
              <w:rPr>
                <w:sz w:val="18"/>
                <w:szCs w:val="18"/>
              </w:rPr>
              <w:t>DEC +05</w:t>
            </w:r>
            <w:r w:rsidRPr="00554AC6">
              <w:rPr>
                <w:sz w:val="18"/>
                <w:szCs w:val="18"/>
              </w:rPr>
              <w:sym w:font="Symbol" w:char="F0B0"/>
            </w:r>
            <w:r w:rsidRPr="000960D2">
              <w:rPr>
                <w:sz w:val="18"/>
                <w:szCs w:val="18"/>
              </w:rPr>
              <w:t xml:space="preserve"> 0’ 0”</w:t>
            </w:r>
            <w:r w:rsidRPr="000960D2">
              <w:rPr>
                <w:sz w:val="18"/>
                <w:szCs w:val="18"/>
                <w:lang w:val="en-US"/>
              </w:rPr>
              <w:t>’</w:t>
            </w:r>
            <w:r w:rsidR="003E3496">
              <w:rPr>
                <w:sz w:val="18"/>
                <w:szCs w:val="18"/>
                <w:lang w:val="en-US"/>
              </w:rPr>
              <w:t>.</w:t>
            </w:r>
          </w:p>
          <w:p w:rsidR="003E3496" w:rsidRDefault="003E3496" w:rsidP="003E3496">
            <w:pPr>
              <w:pStyle w:val="TableText"/>
              <w:spacing w:beforeLines="20" w:before="48" w:afterLines="20" w:after="48"/>
              <w:rPr>
                <w:sz w:val="18"/>
                <w:szCs w:val="18"/>
              </w:rPr>
            </w:pPr>
          </w:p>
          <w:p w:rsidR="00BB5005" w:rsidRDefault="00BB5005" w:rsidP="00BB5005">
            <w:pPr>
              <w:rPr>
                <w:b/>
                <w:sz w:val="18"/>
                <w:szCs w:val="18"/>
              </w:rPr>
            </w:pPr>
            <w:r>
              <w:rPr>
                <w:b/>
                <w:sz w:val="18"/>
                <w:szCs w:val="18"/>
              </w:rPr>
              <w:t>Obverse</w:t>
            </w:r>
          </w:p>
          <w:p w:rsidR="005A5F9A" w:rsidRDefault="00BB5005" w:rsidP="002D0C4F">
            <w:pPr>
              <w:rPr>
                <w:sz w:val="18"/>
                <w:szCs w:val="18"/>
              </w:rPr>
            </w:pPr>
            <w:r>
              <w:rPr>
                <w:sz w:val="18"/>
                <w:szCs w:val="18"/>
              </w:rPr>
              <w:t>Consistent with all Australian legal tender coinage, an effigy of Her Majesty Queen Elizabeth II will appear on the obverse side of the coin together with the inscriptions ‘ELIZABETH II’, ‘AUSTRALIA’, ‘5 DOLLARS’, 2 representations of a dot and the inscription, in numerals, of a year. The obverse design includes the initials of the designer Ian Rank-Broadley ‘IRB’.</w:t>
            </w:r>
          </w:p>
        </w:tc>
      </w:tr>
      <w:tr w:rsidR="00BB5005" w:rsidRPr="00674847" w:rsidTr="00FC55BB">
        <w:trPr>
          <w:cantSplit/>
        </w:trPr>
        <w:tc>
          <w:tcPr>
            <w:tcW w:w="1101" w:type="dxa"/>
          </w:tcPr>
          <w:p w:rsidR="00BB5005" w:rsidRDefault="00BB5005" w:rsidP="00BB5005">
            <w:pPr>
              <w:rPr>
                <w:b/>
                <w:sz w:val="18"/>
                <w:szCs w:val="18"/>
              </w:rPr>
            </w:pPr>
            <w:r>
              <w:rPr>
                <w:b/>
                <w:sz w:val="18"/>
                <w:szCs w:val="18"/>
              </w:rPr>
              <w:lastRenderedPageBreak/>
              <w:t xml:space="preserve">Item </w:t>
            </w:r>
            <w:r w:rsidR="003E3496">
              <w:rPr>
                <w:b/>
                <w:sz w:val="18"/>
                <w:szCs w:val="18"/>
              </w:rPr>
              <w:t>4</w:t>
            </w:r>
          </w:p>
        </w:tc>
        <w:tc>
          <w:tcPr>
            <w:tcW w:w="7421" w:type="dxa"/>
          </w:tcPr>
          <w:p w:rsidR="00BB5005" w:rsidRDefault="003E3496" w:rsidP="00BB5005">
            <w:pPr>
              <w:rPr>
                <w:b/>
                <w:sz w:val="18"/>
                <w:szCs w:val="18"/>
              </w:rPr>
            </w:pPr>
            <w:r>
              <w:rPr>
                <w:b/>
                <w:sz w:val="18"/>
                <w:szCs w:val="18"/>
              </w:rPr>
              <w:t>20c</w:t>
            </w:r>
            <w:r w:rsidR="00BB5005">
              <w:rPr>
                <w:b/>
                <w:sz w:val="18"/>
                <w:szCs w:val="18"/>
              </w:rPr>
              <w:t xml:space="preserve">  </w:t>
            </w:r>
            <w:r w:rsidR="00735E44">
              <w:rPr>
                <w:b/>
                <w:sz w:val="18"/>
                <w:szCs w:val="18"/>
              </w:rPr>
              <w:t>Copper and Nickel</w:t>
            </w:r>
            <w:r w:rsidR="00BB5005">
              <w:rPr>
                <w:b/>
                <w:sz w:val="18"/>
                <w:szCs w:val="18"/>
              </w:rPr>
              <w:t xml:space="preserve"> Coin –</w:t>
            </w:r>
            <w:r w:rsidR="00735E44">
              <w:rPr>
                <w:b/>
                <w:sz w:val="18"/>
                <w:szCs w:val="18"/>
              </w:rPr>
              <w:t xml:space="preserve"> Australia Remembers Australian Comforts Fund</w:t>
            </w:r>
            <w:r w:rsidR="00BB5005">
              <w:rPr>
                <w:b/>
                <w:sz w:val="18"/>
                <w:szCs w:val="18"/>
              </w:rPr>
              <w:t xml:space="preserve"> </w:t>
            </w:r>
          </w:p>
          <w:p w:rsidR="00BB5005" w:rsidRDefault="00BB5005" w:rsidP="00BB5005">
            <w:pPr>
              <w:rPr>
                <w:b/>
                <w:sz w:val="18"/>
                <w:szCs w:val="18"/>
              </w:rPr>
            </w:pPr>
          </w:p>
          <w:p w:rsidR="00BB5005" w:rsidRDefault="00BB5005" w:rsidP="00BB5005">
            <w:pPr>
              <w:rPr>
                <w:b/>
                <w:sz w:val="18"/>
                <w:szCs w:val="18"/>
              </w:rPr>
            </w:pPr>
            <w:r>
              <w:rPr>
                <w:b/>
                <w:sz w:val="18"/>
                <w:szCs w:val="18"/>
              </w:rPr>
              <w:t>Reverse</w:t>
            </w:r>
          </w:p>
          <w:p w:rsidR="00BB5005" w:rsidRDefault="00A360FB" w:rsidP="00A360FB">
            <w:pPr>
              <w:pStyle w:val="TableText"/>
              <w:spacing w:beforeLines="20" w:before="48"/>
              <w:rPr>
                <w:sz w:val="18"/>
                <w:szCs w:val="18"/>
              </w:rPr>
            </w:pPr>
            <w:r>
              <w:rPr>
                <w:sz w:val="18"/>
                <w:szCs w:val="18"/>
              </w:rPr>
              <w:t xml:space="preserve">A representation of </w:t>
            </w:r>
            <w:r w:rsidR="00735E44">
              <w:rPr>
                <w:sz w:val="18"/>
                <w:szCs w:val="18"/>
              </w:rPr>
              <w:t>a female knitting a sock</w:t>
            </w:r>
            <w:r>
              <w:rPr>
                <w:sz w:val="18"/>
                <w:szCs w:val="18"/>
              </w:rPr>
              <w:t xml:space="preserve"> and </w:t>
            </w:r>
            <w:r w:rsidR="00735E44">
              <w:rPr>
                <w:sz w:val="18"/>
                <w:szCs w:val="18"/>
              </w:rPr>
              <w:t>a male soldier reading a letter</w:t>
            </w:r>
            <w:r>
              <w:rPr>
                <w:sz w:val="18"/>
                <w:szCs w:val="18"/>
              </w:rPr>
              <w:t>. The design includes a horizontal line, a representation</w:t>
            </w:r>
            <w:r w:rsidR="00735E44">
              <w:rPr>
                <w:sz w:val="18"/>
                <w:szCs w:val="18"/>
              </w:rPr>
              <w:t xml:space="preserve"> of a </w:t>
            </w:r>
            <w:r w:rsidR="00A50F1C">
              <w:rPr>
                <w:sz w:val="18"/>
                <w:szCs w:val="18"/>
              </w:rPr>
              <w:t xml:space="preserve">6-pointed </w:t>
            </w:r>
            <w:r w:rsidR="00735E44">
              <w:rPr>
                <w:sz w:val="18"/>
                <w:szCs w:val="18"/>
              </w:rPr>
              <w:t>star containing the inscription ‘A.C.F.’</w:t>
            </w:r>
            <w:r>
              <w:rPr>
                <w:sz w:val="18"/>
                <w:szCs w:val="18"/>
              </w:rPr>
              <w:t xml:space="preserve"> and in the background, a</w:t>
            </w:r>
            <w:r w:rsidR="00735E44">
              <w:rPr>
                <w:sz w:val="18"/>
                <w:szCs w:val="18"/>
              </w:rPr>
              <w:t xml:space="preserve"> representation of parcels</w:t>
            </w:r>
            <w:r>
              <w:rPr>
                <w:sz w:val="18"/>
                <w:szCs w:val="18"/>
              </w:rPr>
              <w:t xml:space="preserve">. The inscriptions </w:t>
            </w:r>
            <w:r w:rsidR="00735E44">
              <w:rPr>
                <w:sz w:val="18"/>
                <w:szCs w:val="18"/>
              </w:rPr>
              <w:t>‘AUSTRALIA REMEMBERS’</w:t>
            </w:r>
            <w:r>
              <w:rPr>
                <w:sz w:val="18"/>
                <w:szCs w:val="18"/>
              </w:rPr>
              <w:t xml:space="preserve">, </w:t>
            </w:r>
            <w:r w:rsidR="00735E44">
              <w:rPr>
                <w:sz w:val="18"/>
                <w:szCs w:val="18"/>
              </w:rPr>
              <w:t>‘AUSTRALIAN COMFORTS FUND’</w:t>
            </w:r>
            <w:r>
              <w:rPr>
                <w:sz w:val="18"/>
                <w:szCs w:val="18"/>
              </w:rPr>
              <w:t xml:space="preserve"> and </w:t>
            </w:r>
            <w:r w:rsidR="00735E44">
              <w:rPr>
                <w:sz w:val="18"/>
                <w:szCs w:val="18"/>
              </w:rPr>
              <w:t>‘20’</w:t>
            </w:r>
            <w:r>
              <w:rPr>
                <w:sz w:val="18"/>
                <w:szCs w:val="18"/>
              </w:rPr>
              <w:t xml:space="preserve"> are also included in the design. </w:t>
            </w:r>
          </w:p>
          <w:p w:rsidR="00BB5005" w:rsidRDefault="00BB5005" w:rsidP="002D0C4F">
            <w:pPr>
              <w:rPr>
                <w:b/>
                <w:sz w:val="18"/>
                <w:szCs w:val="18"/>
              </w:rPr>
            </w:pPr>
          </w:p>
          <w:p w:rsidR="00735E44" w:rsidRDefault="00735E44" w:rsidP="00735E44">
            <w:pPr>
              <w:rPr>
                <w:b/>
                <w:sz w:val="18"/>
                <w:szCs w:val="18"/>
              </w:rPr>
            </w:pPr>
            <w:r>
              <w:rPr>
                <w:b/>
                <w:sz w:val="18"/>
                <w:szCs w:val="18"/>
              </w:rPr>
              <w:t>Obverse</w:t>
            </w:r>
          </w:p>
          <w:p w:rsidR="00BB5005" w:rsidRDefault="00735E44" w:rsidP="00735E44">
            <w:pPr>
              <w:rPr>
                <w:b/>
                <w:sz w:val="18"/>
                <w:szCs w:val="18"/>
              </w:rPr>
            </w:pPr>
            <w:r>
              <w:rPr>
                <w:sz w:val="18"/>
                <w:szCs w:val="18"/>
              </w:rPr>
              <w:t>Consistent with all Australian legal tender coinage, an effigy of Her Majesty Queen Elizabeth II will appear on the obverse side of the coin together with the inscriptions ‘ELIZABETH II’, ‘AUSTRALIA’ and the inscription, in numerals, of a year. The obverse design includes the initials of the designer Ian Rank-Broadley ‘IRB’.</w:t>
            </w:r>
          </w:p>
        </w:tc>
      </w:tr>
      <w:tr w:rsidR="00735E44" w:rsidRPr="00674847" w:rsidTr="00FC55BB">
        <w:trPr>
          <w:cantSplit/>
        </w:trPr>
        <w:tc>
          <w:tcPr>
            <w:tcW w:w="1101" w:type="dxa"/>
          </w:tcPr>
          <w:p w:rsidR="00735E44" w:rsidRDefault="00ED399A" w:rsidP="00BB5005">
            <w:pPr>
              <w:rPr>
                <w:b/>
                <w:sz w:val="18"/>
                <w:szCs w:val="18"/>
              </w:rPr>
            </w:pPr>
            <w:r>
              <w:rPr>
                <w:b/>
                <w:sz w:val="18"/>
                <w:szCs w:val="18"/>
              </w:rPr>
              <w:t>Item 5</w:t>
            </w:r>
          </w:p>
        </w:tc>
        <w:tc>
          <w:tcPr>
            <w:tcW w:w="7421" w:type="dxa"/>
          </w:tcPr>
          <w:p w:rsidR="00735E44" w:rsidRDefault="00ED399A" w:rsidP="00BB5005">
            <w:pPr>
              <w:rPr>
                <w:b/>
                <w:sz w:val="18"/>
                <w:szCs w:val="18"/>
              </w:rPr>
            </w:pPr>
            <w:r>
              <w:rPr>
                <w:b/>
                <w:sz w:val="18"/>
                <w:szCs w:val="18"/>
              </w:rPr>
              <w:t>$1 Silver Coin – Australian Decimal Currency Effigies</w:t>
            </w:r>
          </w:p>
          <w:p w:rsidR="00ED399A" w:rsidRDefault="00ED399A" w:rsidP="00BB5005">
            <w:pPr>
              <w:rPr>
                <w:b/>
                <w:sz w:val="18"/>
                <w:szCs w:val="18"/>
              </w:rPr>
            </w:pPr>
          </w:p>
          <w:p w:rsidR="00ED399A" w:rsidRDefault="00ED399A" w:rsidP="00BB5005">
            <w:pPr>
              <w:rPr>
                <w:b/>
                <w:sz w:val="18"/>
                <w:szCs w:val="18"/>
              </w:rPr>
            </w:pPr>
            <w:r>
              <w:rPr>
                <w:b/>
                <w:sz w:val="18"/>
                <w:szCs w:val="18"/>
              </w:rPr>
              <w:t>Reverse</w:t>
            </w:r>
          </w:p>
          <w:p w:rsidR="00ED399A" w:rsidRDefault="00ED399A" w:rsidP="00A50F1C">
            <w:pPr>
              <w:pStyle w:val="TableText"/>
              <w:spacing w:beforeLines="20" w:before="48"/>
              <w:rPr>
                <w:sz w:val="18"/>
                <w:szCs w:val="18"/>
              </w:rPr>
            </w:pPr>
            <w:r>
              <w:rPr>
                <w:sz w:val="18"/>
                <w:szCs w:val="18"/>
              </w:rPr>
              <w:t xml:space="preserve">A design </w:t>
            </w:r>
            <w:r w:rsidR="00A50F1C">
              <w:rPr>
                <w:sz w:val="18"/>
                <w:szCs w:val="18"/>
              </w:rPr>
              <w:t xml:space="preserve">featuring </w:t>
            </w:r>
            <w:r>
              <w:rPr>
                <w:sz w:val="18"/>
                <w:szCs w:val="18"/>
              </w:rPr>
              <w:t>3 effigies of Queen Elizabeth II</w:t>
            </w:r>
            <w:r w:rsidR="00A50F1C">
              <w:rPr>
                <w:sz w:val="18"/>
                <w:szCs w:val="18"/>
              </w:rPr>
              <w:t xml:space="preserve"> and the inscriptions ‘IRB’, ‘</w:t>
            </w:r>
            <w:r>
              <w:rPr>
                <w:sz w:val="18"/>
                <w:szCs w:val="18"/>
              </w:rPr>
              <w:t>AUSTRALIAN DECIMAL CURRENCY EFFIGIES</w:t>
            </w:r>
            <w:r w:rsidR="00A50F1C">
              <w:rPr>
                <w:sz w:val="18"/>
                <w:szCs w:val="18"/>
              </w:rPr>
              <w:t>’ and ‘</w:t>
            </w:r>
            <w:r>
              <w:rPr>
                <w:sz w:val="18"/>
                <w:szCs w:val="18"/>
              </w:rPr>
              <w:t>1966-2014’</w:t>
            </w:r>
            <w:r w:rsidR="00A50F1C">
              <w:rPr>
                <w:sz w:val="18"/>
                <w:szCs w:val="18"/>
              </w:rPr>
              <w:t>.</w:t>
            </w:r>
          </w:p>
          <w:p w:rsidR="00ED399A" w:rsidRDefault="00ED399A" w:rsidP="00BB5005">
            <w:pPr>
              <w:rPr>
                <w:sz w:val="18"/>
                <w:szCs w:val="18"/>
              </w:rPr>
            </w:pPr>
          </w:p>
          <w:p w:rsidR="00ED399A" w:rsidRDefault="00ED399A" w:rsidP="00ED399A">
            <w:pPr>
              <w:rPr>
                <w:b/>
                <w:sz w:val="18"/>
                <w:szCs w:val="18"/>
              </w:rPr>
            </w:pPr>
            <w:r>
              <w:rPr>
                <w:b/>
                <w:sz w:val="18"/>
                <w:szCs w:val="18"/>
              </w:rPr>
              <w:t>Obverse</w:t>
            </w:r>
          </w:p>
          <w:p w:rsidR="00ED399A" w:rsidRPr="00ED399A" w:rsidRDefault="00ED399A" w:rsidP="00ED399A">
            <w:pPr>
              <w:rPr>
                <w:sz w:val="18"/>
                <w:szCs w:val="18"/>
              </w:rPr>
            </w:pPr>
            <w:r>
              <w:rPr>
                <w:sz w:val="18"/>
                <w:szCs w:val="18"/>
              </w:rPr>
              <w:t>Consistent with all Australian legal tender coinage, an effigy of Her Majesty Queen Elizabeth II will appear on the obverse side of the coin together with the inscriptions ‘ELIZABETH II’, ‘AUSTRALIA’, ‘1 DOLLAR’, 2 representations of a dot and the inscription, in numerals, of a year. The obverse design includes the initials of the designer Ian Rank-Broadley ‘IRB’.</w:t>
            </w:r>
          </w:p>
        </w:tc>
      </w:tr>
      <w:tr w:rsidR="00525F69" w:rsidRPr="00674847" w:rsidTr="00FC55BB">
        <w:trPr>
          <w:cantSplit/>
        </w:trPr>
        <w:tc>
          <w:tcPr>
            <w:tcW w:w="1101" w:type="dxa"/>
          </w:tcPr>
          <w:p w:rsidR="00525F69" w:rsidRDefault="00623A3B" w:rsidP="00BB5005">
            <w:pPr>
              <w:rPr>
                <w:b/>
                <w:sz w:val="18"/>
                <w:szCs w:val="18"/>
              </w:rPr>
            </w:pPr>
            <w:r>
              <w:rPr>
                <w:b/>
                <w:sz w:val="18"/>
                <w:szCs w:val="18"/>
              </w:rPr>
              <w:t xml:space="preserve">Item </w:t>
            </w:r>
            <w:r w:rsidR="000C0E7B">
              <w:rPr>
                <w:b/>
                <w:sz w:val="18"/>
                <w:szCs w:val="18"/>
              </w:rPr>
              <w:t>6</w:t>
            </w:r>
          </w:p>
        </w:tc>
        <w:tc>
          <w:tcPr>
            <w:tcW w:w="7421" w:type="dxa"/>
          </w:tcPr>
          <w:p w:rsidR="00F650B3" w:rsidRDefault="00F650B3" w:rsidP="00F650B3">
            <w:pPr>
              <w:rPr>
                <w:b/>
                <w:sz w:val="18"/>
                <w:szCs w:val="18"/>
              </w:rPr>
            </w:pPr>
            <w:r>
              <w:rPr>
                <w:b/>
                <w:sz w:val="18"/>
                <w:szCs w:val="18"/>
              </w:rPr>
              <w:t>$</w:t>
            </w:r>
            <w:r w:rsidR="00623A3B">
              <w:rPr>
                <w:b/>
                <w:sz w:val="18"/>
                <w:szCs w:val="18"/>
              </w:rPr>
              <w:t xml:space="preserve">2 Copper, Aluminium and Nickel Coloured Coin </w:t>
            </w:r>
            <w:r>
              <w:rPr>
                <w:b/>
                <w:sz w:val="18"/>
                <w:szCs w:val="18"/>
              </w:rPr>
              <w:t xml:space="preserve">– </w:t>
            </w:r>
            <w:r w:rsidR="00623A3B">
              <w:rPr>
                <w:b/>
                <w:sz w:val="18"/>
                <w:szCs w:val="18"/>
              </w:rPr>
              <w:t>Remembrance Day</w:t>
            </w:r>
          </w:p>
          <w:p w:rsidR="00F650B3" w:rsidRDefault="00F650B3" w:rsidP="00F650B3">
            <w:pPr>
              <w:rPr>
                <w:b/>
                <w:sz w:val="18"/>
                <w:szCs w:val="18"/>
              </w:rPr>
            </w:pPr>
          </w:p>
          <w:p w:rsidR="00F650B3" w:rsidRDefault="00F650B3" w:rsidP="00F650B3">
            <w:pPr>
              <w:rPr>
                <w:b/>
                <w:sz w:val="18"/>
                <w:szCs w:val="18"/>
              </w:rPr>
            </w:pPr>
            <w:r>
              <w:rPr>
                <w:b/>
                <w:sz w:val="18"/>
                <w:szCs w:val="18"/>
              </w:rPr>
              <w:t>Reverse</w:t>
            </w:r>
          </w:p>
          <w:p w:rsidR="00F650B3" w:rsidRDefault="00623A3B" w:rsidP="00623A3B">
            <w:pPr>
              <w:pStyle w:val="TableText"/>
              <w:spacing w:beforeLines="20" w:before="48"/>
              <w:rPr>
                <w:sz w:val="18"/>
                <w:szCs w:val="18"/>
              </w:rPr>
            </w:pPr>
            <w:r>
              <w:rPr>
                <w:sz w:val="18"/>
                <w:szCs w:val="18"/>
              </w:rPr>
              <w:t>A</w:t>
            </w:r>
            <w:r w:rsidR="00F650B3">
              <w:rPr>
                <w:sz w:val="18"/>
                <w:szCs w:val="18"/>
              </w:rPr>
              <w:t xml:space="preserve"> stylised representation of sun rays surrounding a series of green </w:t>
            </w:r>
            <w:r w:rsidR="00BA3418">
              <w:rPr>
                <w:sz w:val="18"/>
                <w:szCs w:val="18"/>
              </w:rPr>
              <w:t xml:space="preserve">coloured </w:t>
            </w:r>
            <w:r w:rsidR="00F650B3">
              <w:rPr>
                <w:sz w:val="18"/>
                <w:szCs w:val="18"/>
              </w:rPr>
              <w:t>stripes arranged in a repetitive circular pattern</w:t>
            </w:r>
            <w:r>
              <w:rPr>
                <w:sz w:val="18"/>
                <w:szCs w:val="18"/>
              </w:rPr>
              <w:t xml:space="preserve">. The design includes </w:t>
            </w:r>
            <w:r w:rsidR="001D0B86">
              <w:rPr>
                <w:sz w:val="18"/>
                <w:szCs w:val="18"/>
              </w:rPr>
              <w:t xml:space="preserve">a representation of a circle and </w:t>
            </w:r>
            <w:r w:rsidR="00F650B3">
              <w:rPr>
                <w:sz w:val="18"/>
                <w:szCs w:val="18"/>
              </w:rPr>
              <w:t>a central circle containing a representation of a dove with an olive branch in its beak</w:t>
            </w:r>
            <w:r>
              <w:rPr>
                <w:sz w:val="18"/>
                <w:szCs w:val="18"/>
              </w:rPr>
              <w:t xml:space="preserve">. The inscriptions </w:t>
            </w:r>
            <w:r w:rsidR="00F650B3" w:rsidRPr="00011402">
              <w:rPr>
                <w:sz w:val="18"/>
                <w:szCs w:val="18"/>
              </w:rPr>
              <w:t>‘</w:t>
            </w:r>
            <w:r w:rsidR="00F650B3">
              <w:rPr>
                <w:sz w:val="18"/>
                <w:szCs w:val="18"/>
              </w:rPr>
              <w:t>REMEMBRANCE’</w:t>
            </w:r>
            <w:r>
              <w:rPr>
                <w:sz w:val="18"/>
                <w:szCs w:val="18"/>
              </w:rPr>
              <w:t xml:space="preserve"> and </w:t>
            </w:r>
            <w:r w:rsidR="00F650B3">
              <w:rPr>
                <w:sz w:val="18"/>
                <w:szCs w:val="18"/>
              </w:rPr>
              <w:t>‘TWO DOLLARS’</w:t>
            </w:r>
            <w:r>
              <w:rPr>
                <w:sz w:val="18"/>
                <w:szCs w:val="18"/>
              </w:rPr>
              <w:t xml:space="preserve"> and </w:t>
            </w:r>
            <w:r w:rsidR="00F650B3">
              <w:rPr>
                <w:sz w:val="18"/>
                <w:szCs w:val="18"/>
              </w:rPr>
              <w:t>2 representations of a dot</w:t>
            </w:r>
            <w:r>
              <w:rPr>
                <w:sz w:val="18"/>
                <w:szCs w:val="18"/>
              </w:rPr>
              <w:t xml:space="preserve"> are also included in the design. </w:t>
            </w:r>
          </w:p>
          <w:p w:rsidR="00623A3B" w:rsidRDefault="00623A3B" w:rsidP="00623A3B">
            <w:pPr>
              <w:rPr>
                <w:sz w:val="18"/>
                <w:szCs w:val="18"/>
              </w:rPr>
            </w:pPr>
          </w:p>
          <w:p w:rsidR="00623A3B" w:rsidRDefault="00623A3B" w:rsidP="00623A3B">
            <w:pPr>
              <w:rPr>
                <w:b/>
                <w:sz w:val="18"/>
                <w:szCs w:val="18"/>
              </w:rPr>
            </w:pPr>
            <w:r>
              <w:rPr>
                <w:b/>
                <w:sz w:val="18"/>
                <w:szCs w:val="18"/>
              </w:rPr>
              <w:t>Obverse</w:t>
            </w:r>
          </w:p>
          <w:p w:rsidR="00F650B3" w:rsidRDefault="00623A3B" w:rsidP="00623A3B">
            <w:pPr>
              <w:rPr>
                <w:b/>
                <w:sz w:val="18"/>
                <w:szCs w:val="18"/>
              </w:rPr>
            </w:pPr>
            <w:r>
              <w:rPr>
                <w:sz w:val="18"/>
                <w:szCs w:val="18"/>
              </w:rPr>
              <w:t>Consistent with all Australian legal tender coinage, an effigy of Her Majesty Queen Elizabeth II will appear on the obverse side of the coin together with the inscriptions ‘ELIZABETH II’, ‘AUSTRALIA’ and the inscription, in numerals, of a year. The obverse design includes the initials of the designer Ian Rank-Broadley ‘IRB’.</w:t>
            </w:r>
          </w:p>
        </w:tc>
      </w:tr>
      <w:tr w:rsidR="00623A3B" w:rsidRPr="00674847" w:rsidTr="00FC55BB">
        <w:trPr>
          <w:cantSplit/>
        </w:trPr>
        <w:tc>
          <w:tcPr>
            <w:tcW w:w="1101" w:type="dxa"/>
          </w:tcPr>
          <w:p w:rsidR="00623A3B" w:rsidRDefault="00623A3B" w:rsidP="00BB5005">
            <w:pPr>
              <w:rPr>
                <w:b/>
                <w:sz w:val="18"/>
                <w:szCs w:val="18"/>
              </w:rPr>
            </w:pPr>
            <w:r>
              <w:rPr>
                <w:b/>
                <w:sz w:val="18"/>
                <w:szCs w:val="18"/>
              </w:rPr>
              <w:t xml:space="preserve">Item </w:t>
            </w:r>
            <w:r w:rsidR="000C0E7B">
              <w:rPr>
                <w:b/>
                <w:sz w:val="18"/>
                <w:szCs w:val="18"/>
              </w:rPr>
              <w:t>7</w:t>
            </w:r>
          </w:p>
        </w:tc>
        <w:tc>
          <w:tcPr>
            <w:tcW w:w="7421" w:type="dxa"/>
          </w:tcPr>
          <w:p w:rsidR="00623A3B" w:rsidRDefault="00623A3B" w:rsidP="00623A3B">
            <w:pPr>
              <w:rPr>
                <w:b/>
                <w:sz w:val="18"/>
                <w:szCs w:val="18"/>
              </w:rPr>
            </w:pPr>
            <w:r>
              <w:rPr>
                <w:b/>
                <w:sz w:val="18"/>
                <w:szCs w:val="18"/>
              </w:rPr>
              <w:t>$2 Copper, Aluminium and Nickel Coloured Coin – Remembrance Day ‘C’ Mintmark</w:t>
            </w:r>
          </w:p>
          <w:p w:rsidR="00623A3B" w:rsidRDefault="00623A3B" w:rsidP="00623A3B">
            <w:pPr>
              <w:rPr>
                <w:b/>
                <w:sz w:val="18"/>
                <w:szCs w:val="18"/>
              </w:rPr>
            </w:pPr>
          </w:p>
          <w:p w:rsidR="00623A3B" w:rsidRDefault="00623A3B" w:rsidP="00623A3B">
            <w:pPr>
              <w:rPr>
                <w:b/>
                <w:sz w:val="18"/>
                <w:szCs w:val="18"/>
              </w:rPr>
            </w:pPr>
            <w:r>
              <w:rPr>
                <w:b/>
                <w:sz w:val="18"/>
                <w:szCs w:val="18"/>
              </w:rPr>
              <w:t>Reverse</w:t>
            </w:r>
          </w:p>
          <w:p w:rsidR="00623A3B" w:rsidRDefault="00623A3B" w:rsidP="00623A3B">
            <w:pPr>
              <w:pStyle w:val="TableText"/>
              <w:spacing w:beforeLines="20" w:before="48"/>
              <w:rPr>
                <w:sz w:val="18"/>
                <w:szCs w:val="18"/>
              </w:rPr>
            </w:pPr>
            <w:r>
              <w:rPr>
                <w:sz w:val="18"/>
                <w:szCs w:val="18"/>
              </w:rPr>
              <w:t xml:space="preserve">A stylised representation of sun rays surrounding a series of green </w:t>
            </w:r>
            <w:r w:rsidR="00BA3418">
              <w:rPr>
                <w:sz w:val="18"/>
                <w:szCs w:val="18"/>
              </w:rPr>
              <w:t xml:space="preserve">coloured </w:t>
            </w:r>
            <w:r>
              <w:rPr>
                <w:sz w:val="18"/>
                <w:szCs w:val="18"/>
              </w:rPr>
              <w:t xml:space="preserve">stripes arranged in a repetitive circular pattern. The design includes </w:t>
            </w:r>
            <w:r w:rsidR="001D0B86">
              <w:rPr>
                <w:sz w:val="18"/>
                <w:szCs w:val="18"/>
              </w:rPr>
              <w:t xml:space="preserve">a representation of a circle and </w:t>
            </w:r>
            <w:r>
              <w:rPr>
                <w:sz w:val="18"/>
                <w:szCs w:val="18"/>
              </w:rPr>
              <w:t xml:space="preserve">a central circle containing a representation of a dove with an olive branch in its beak. The inscriptions </w:t>
            </w:r>
            <w:r w:rsidRPr="00011402">
              <w:rPr>
                <w:sz w:val="18"/>
                <w:szCs w:val="18"/>
              </w:rPr>
              <w:t>‘</w:t>
            </w:r>
            <w:r>
              <w:rPr>
                <w:sz w:val="18"/>
                <w:szCs w:val="18"/>
              </w:rPr>
              <w:t>REMEMBRANCE’ and ‘TWO DOLLARS’ and 2 representations of a dot a</w:t>
            </w:r>
            <w:r w:rsidR="00BA3418">
              <w:rPr>
                <w:sz w:val="18"/>
                <w:szCs w:val="18"/>
              </w:rPr>
              <w:t>re also included in the design, as well as the letter ‘C’, which denotes the Royal Australian Mint in Canberra.</w:t>
            </w:r>
          </w:p>
          <w:p w:rsidR="00623A3B" w:rsidRDefault="00623A3B" w:rsidP="00623A3B">
            <w:pPr>
              <w:rPr>
                <w:sz w:val="18"/>
                <w:szCs w:val="18"/>
              </w:rPr>
            </w:pPr>
          </w:p>
          <w:p w:rsidR="00623A3B" w:rsidRDefault="00623A3B" w:rsidP="00623A3B">
            <w:pPr>
              <w:rPr>
                <w:b/>
                <w:sz w:val="18"/>
                <w:szCs w:val="18"/>
              </w:rPr>
            </w:pPr>
            <w:r>
              <w:rPr>
                <w:b/>
                <w:sz w:val="18"/>
                <w:szCs w:val="18"/>
              </w:rPr>
              <w:t>Obverse</w:t>
            </w:r>
          </w:p>
          <w:p w:rsidR="00623A3B" w:rsidRDefault="00623A3B" w:rsidP="00623A3B">
            <w:pPr>
              <w:rPr>
                <w:b/>
                <w:sz w:val="18"/>
                <w:szCs w:val="18"/>
              </w:rPr>
            </w:pPr>
            <w:r>
              <w:rPr>
                <w:sz w:val="18"/>
                <w:szCs w:val="18"/>
              </w:rPr>
              <w:t>Consistent with all Australian legal tender coinage, an effigy of Her Majesty Queen Elizabeth II will appear on the obverse side of the coin together with the inscriptions ‘ELIZABETH II’, ‘AUSTRALIA’ and the inscription, in numerals, of a year. The obverse design includes the initials of the designer Ian Rank-Broadley ‘IRB’.</w:t>
            </w:r>
          </w:p>
        </w:tc>
      </w:tr>
    </w:tbl>
    <w:p w:rsidR="00BA3418" w:rsidRDefault="00BA3418" w:rsidP="002D65C3">
      <w:pPr>
        <w:outlineLvl w:val="0"/>
        <w:rPr>
          <w:b/>
          <w:bCs/>
          <w:sz w:val="24"/>
          <w:szCs w:val="24"/>
        </w:rPr>
      </w:pPr>
    </w:p>
    <w:p w:rsidR="00BA3418" w:rsidRDefault="00BA3418" w:rsidP="002D65C3">
      <w:pPr>
        <w:outlineLvl w:val="0"/>
        <w:rPr>
          <w:b/>
          <w:bCs/>
          <w:sz w:val="24"/>
          <w:szCs w:val="24"/>
        </w:rPr>
      </w:pPr>
    </w:p>
    <w:p w:rsidR="000C0E7B" w:rsidRDefault="000C0E7B" w:rsidP="002D65C3">
      <w:pPr>
        <w:outlineLvl w:val="0"/>
        <w:rPr>
          <w:b/>
          <w:bCs/>
          <w:sz w:val="24"/>
          <w:szCs w:val="24"/>
        </w:rPr>
      </w:pPr>
    </w:p>
    <w:p w:rsidR="000C0E7B" w:rsidRDefault="000C0E7B" w:rsidP="002D65C3">
      <w:pPr>
        <w:outlineLvl w:val="0"/>
        <w:rPr>
          <w:b/>
          <w:bCs/>
          <w:sz w:val="24"/>
          <w:szCs w:val="24"/>
        </w:rPr>
      </w:pPr>
    </w:p>
    <w:p w:rsidR="000C0E7B" w:rsidRDefault="000C0E7B" w:rsidP="002D65C3">
      <w:pPr>
        <w:outlineLvl w:val="0"/>
        <w:rPr>
          <w:b/>
          <w:bCs/>
          <w:sz w:val="24"/>
          <w:szCs w:val="24"/>
        </w:rPr>
      </w:pPr>
    </w:p>
    <w:p w:rsidR="002D65C3" w:rsidRPr="00651F58" w:rsidRDefault="002D65C3" w:rsidP="002D65C3">
      <w:pPr>
        <w:outlineLvl w:val="0"/>
        <w:rPr>
          <w:b/>
          <w:bCs/>
          <w:sz w:val="24"/>
          <w:szCs w:val="24"/>
        </w:rPr>
      </w:pPr>
      <w:r w:rsidRPr="00651F58">
        <w:rPr>
          <w:b/>
          <w:bCs/>
          <w:sz w:val="24"/>
          <w:szCs w:val="24"/>
        </w:rPr>
        <w:lastRenderedPageBreak/>
        <w:t>Consultation</w:t>
      </w:r>
    </w:p>
    <w:p w:rsidR="002D65C3" w:rsidRPr="00651F58" w:rsidRDefault="002D65C3" w:rsidP="002D65C3">
      <w:pPr>
        <w:rPr>
          <w:sz w:val="24"/>
          <w:szCs w:val="24"/>
        </w:rPr>
      </w:pPr>
      <w:r>
        <w:rPr>
          <w:sz w:val="24"/>
          <w:szCs w:val="24"/>
        </w:rPr>
        <w:br/>
      </w:r>
      <w:r w:rsidRPr="00651F58">
        <w:rPr>
          <w:sz w:val="24"/>
          <w:szCs w:val="24"/>
        </w:rPr>
        <w:t xml:space="preserve">No public consultation was undertaken in relation to the currency determination. The effect of this instrument is to determine the weight, design and dimension of coins to enable the Royal Australian Mint to continue its production of circulating and numismatic coins. The Mint receives public submissions on coin designs and determines appropriate designs in accordance with its Coin Design Policy. The Mint used market based tools to identify interested parties and gauge interest in coin themes. </w:t>
      </w:r>
    </w:p>
    <w:p w:rsidR="002D65C3" w:rsidRPr="00651F58" w:rsidRDefault="002D65C3" w:rsidP="002D65C3">
      <w:pPr>
        <w:rPr>
          <w:sz w:val="24"/>
          <w:szCs w:val="24"/>
        </w:rPr>
      </w:pPr>
    </w:p>
    <w:p w:rsidR="004368EE" w:rsidRDefault="004368EE" w:rsidP="002D65C3">
      <w:pPr>
        <w:outlineLvl w:val="0"/>
        <w:rPr>
          <w:b/>
          <w:sz w:val="24"/>
          <w:szCs w:val="24"/>
        </w:rPr>
      </w:pPr>
    </w:p>
    <w:p w:rsidR="002D65C3" w:rsidRPr="00651F58" w:rsidRDefault="002D65C3" w:rsidP="002D65C3">
      <w:pPr>
        <w:outlineLvl w:val="0"/>
        <w:rPr>
          <w:b/>
          <w:sz w:val="24"/>
          <w:szCs w:val="24"/>
        </w:rPr>
      </w:pPr>
      <w:r w:rsidRPr="00651F58">
        <w:rPr>
          <w:b/>
          <w:sz w:val="24"/>
          <w:szCs w:val="24"/>
        </w:rPr>
        <w:t>Commencement</w:t>
      </w:r>
    </w:p>
    <w:p w:rsidR="002D65C3" w:rsidRPr="00651F58" w:rsidRDefault="002D65C3" w:rsidP="002D65C3">
      <w:pPr>
        <w:outlineLvl w:val="0"/>
        <w:rPr>
          <w:b/>
          <w:sz w:val="24"/>
          <w:szCs w:val="24"/>
        </w:rPr>
      </w:pPr>
      <w:r>
        <w:rPr>
          <w:sz w:val="24"/>
          <w:szCs w:val="24"/>
        </w:rPr>
        <w:br/>
      </w:r>
      <w:r w:rsidRPr="00651F58">
        <w:rPr>
          <w:sz w:val="24"/>
          <w:szCs w:val="24"/>
        </w:rPr>
        <w:t>The determination commences on the day after it is registered.</w:t>
      </w:r>
      <w:r w:rsidRPr="00651F58">
        <w:rPr>
          <w:b/>
          <w:sz w:val="24"/>
          <w:szCs w:val="24"/>
        </w:rPr>
        <w:t xml:space="preserve"> </w:t>
      </w:r>
    </w:p>
    <w:p w:rsidR="000D7267" w:rsidRDefault="000D7267" w:rsidP="002D65C3">
      <w:pPr>
        <w:rPr>
          <w:b/>
          <w:sz w:val="24"/>
          <w:szCs w:val="24"/>
        </w:rPr>
      </w:pPr>
    </w:p>
    <w:p w:rsidR="002D65C3" w:rsidRPr="00651F58" w:rsidRDefault="002D65C3" w:rsidP="002D65C3">
      <w:pPr>
        <w:rPr>
          <w:b/>
          <w:sz w:val="24"/>
          <w:szCs w:val="24"/>
        </w:rPr>
      </w:pPr>
      <w:r w:rsidRPr="00651F58">
        <w:rPr>
          <w:b/>
          <w:sz w:val="24"/>
          <w:szCs w:val="24"/>
        </w:rPr>
        <w:t>Statement of Compatibility with Human Rights</w:t>
      </w:r>
    </w:p>
    <w:p w:rsidR="002D65C3" w:rsidRPr="00651F58" w:rsidRDefault="002D65C3" w:rsidP="002D65C3">
      <w:pPr>
        <w:rPr>
          <w:b/>
          <w:sz w:val="24"/>
          <w:szCs w:val="24"/>
        </w:rPr>
      </w:pPr>
      <w:r>
        <w:rPr>
          <w:sz w:val="24"/>
          <w:szCs w:val="24"/>
        </w:rPr>
        <w:br/>
      </w:r>
      <w:r w:rsidRPr="00651F58">
        <w:rPr>
          <w:sz w:val="24"/>
          <w:szCs w:val="24"/>
        </w:rPr>
        <w:t xml:space="preserve">This instrument is compatible with the human rights and freedoms recognised or declared in the international instruments listed in section 3 of the </w:t>
      </w:r>
      <w:r w:rsidRPr="00651F58">
        <w:rPr>
          <w:i/>
          <w:sz w:val="24"/>
          <w:szCs w:val="24"/>
        </w:rPr>
        <w:t>Human Rights (Parliamentary Scrutiny) Act 2011</w:t>
      </w:r>
      <w:r w:rsidRPr="00651F58">
        <w:rPr>
          <w:sz w:val="24"/>
          <w:szCs w:val="24"/>
        </w:rPr>
        <w:t>. The purpose of</w:t>
      </w:r>
      <w:r w:rsidRPr="00A028DB">
        <w:rPr>
          <w:sz w:val="24"/>
          <w:szCs w:val="24"/>
        </w:rPr>
        <w:t xml:space="preserve"> the </w:t>
      </w:r>
      <w:r w:rsidRPr="00A028DB">
        <w:rPr>
          <w:i/>
          <w:sz w:val="24"/>
          <w:szCs w:val="24"/>
        </w:rPr>
        <w:t>Currency (Royal Australian Mint) Determination 201</w:t>
      </w:r>
      <w:r w:rsidR="00FA24CE" w:rsidRPr="00A028DB">
        <w:rPr>
          <w:i/>
          <w:sz w:val="24"/>
          <w:szCs w:val="24"/>
        </w:rPr>
        <w:t>3</w:t>
      </w:r>
      <w:r w:rsidR="005B48C0" w:rsidRPr="00A028DB">
        <w:rPr>
          <w:i/>
          <w:sz w:val="24"/>
          <w:szCs w:val="24"/>
        </w:rPr>
        <w:t xml:space="preserve"> (No. </w:t>
      </w:r>
      <w:r w:rsidR="00E92D47">
        <w:rPr>
          <w:i/>
          <w:sz w:val="24"/>
          <w:szCs w:val="24"/>
        </w:rPr>
        <w:t>5</w:t>
      </w:r>
      <w:r w:rsidRPr="00A028DB">
        <w:rPr>
          <w:i/>
          <w:sz w:val="24"/>
          <w:szCs w:val="24"/>
        </w:rPr>
        <w:t>)</w:t>
      </w:r>
      <w:r w:rsidRPr="00651F58">
        <w:rPr>
          <w:sz w:val="24"/>
          <w:szCs w:val="24"/>
        </w:rPr>
        <w:t xml:space="preserve"> is to determine the weight, design and dimension of circulating and numismatic coins. This instrument does not engage any of the applicable rights or freedoms. This instrument is compatible with human rights as it does not raise any human rights issues. This determination has been made by the Parliamentary Secretary to the Treasurer, </w:t>
      </w:r>
      <w:r w:rsidR="00BA3418">
        <w:rPr>
          <w:sz w:val="24"/>
          <w:szCs w:val="24"/>
        </w:rPr>
        <w:t>Steven Ciobo</w:t>
      </w:r>
      <w:r w:rsidRPr="00651F58">
        <w:rPr>
          <w:sz w:val="24"/>
          <w:szCs w:val="24"/>
        </w:rPr>
        <w:t xml:space="preserve">, in accordance with subsection 13A (1) of the </w:t>
      </w:r>
      <w:r w:rsidRPr="00651F58">
        <w:rPr>
          <w:i/>
          <w:sz w:val="24"/>
          <w:szCs w:val="24"/>
        </w:rPr>
        <w:t>Currency Act 1965.</w:t>
      </w:r>
    </w:p>
    <w:p w:rsidR="00402857" w:rsidRPr="002D65C3" w:rsidRDefault="00402857" w:rsidP="002D65C3"/>
    <w:sectPr w:rsidR="00402857" w:rsidRPr="002D65C3" w:rsidSect="00B95154">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599" w:rsidRDefault="006A5599">
      <w:r>
        <w:separator/>
      </w:r>
    </w:p>
  </w:endnote>
  <w:endnote w:type="continuationSeparator" w:id="0">
    <w:p w:rsidR="006A5599" w:rsidRDefault="006A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99" w:rsidRDefault="006A5599" w:rsidP="00CA4223">
    <w:pPr>
      <w:pStyle w:val="Subtitle"/>
      <w:spacing w:before="20"/>
      <w:rPr>
        <w:rFonts w:ascii="Arial" w:hAnsi="Arial" w:cs="Arial"/>
        <w:b w:val="0"/>
        <w:i/>
        <w:sz w:val="18"/>
        <w:szCs w:val="18"/>
      </w:rPr>
    </w:pPr>
    <w:r w:rsidRPr="00CA4223">
      <w:rPr>
        <w:rFonts w:ascii="Arial" w:hAnsi="Arial" w:cs="Arial"/>
        <w:b w:val="0"/>
        <w:i/>
        <w:sz w:val="18"/>
        <w:szCs w:val="18"/>
      </w:rPr>
      <w:tab/>
    </w:r>
  </w:p>
  <w:p w:rsidR="006A5599" w:rsidRPr="00CA4223" w:rsidRDefault="006A5599" w:rsidP="00CA4223">
    <w:pPr>
      <w:pStyle w:val="Subtitle"/>
      <w:spacing w:before="20"/>
      <w:rPr>
        <w:rFonts w:ascii="Arial" w:hAnsi="Arial" w:cs="Arial"/>
        <w:i/>
        <w:sz w:val="18"/>
        <w:szCs w:val="18"/>
      </w:rPr>
    </w:pPr>
    <w:r w:rsidRPr="00CA4223">
      <w:rPr>
        <w:rFonts w:ascii="Arial" w:hAnsi="Arial" w:cs="Arial"/>
        <w:i/>
        <w:sz w:val="18"/>
        <w:szCs w:val="18"/>
      </w:rPr>
      <w:t>Explanatory Statement</w:t>
    </w:r>
  </w:p>
  <w:p w:rsidR="006A5599" w:rsidRPr="00CA4223" w:rsidRDefault="006A5599" w:rsidP="00CA4223">
    <w:pPr>
      <w:pStyle w:val="Subtitle"/>
      <w:spacing w:before="20"/>
      <w:rPr>
        <w:rFonts w:ascii="Arial" w:hAnsi="Arial" w:cs="Arial"/>
        <w:b w:val="0"/>
        <w:i/>
        <w:sz w:val="18"/>
        <w:szCs w:val="18"/>
      </w:rPr>
    </w:pPr>
    <w:r w:rsidRPr="00CA4223">
      <w:rPr>
        <w:rFonts w:ascii="Arial" w:hAnsi="Arial" w:cs="Arial"/>
        <w:i/>
        <w:sz w:val="18"/>
        <w:szCs w:val="18"/>
      </w:rPr>
      <w:t>Currency Act 1965 - Currency (Royal Australian Mint) Determination 201</w:t>
    </w:r>
    <w:r>
      <w:rPr>
        <w:rFonts w:ascii="Arial" w:hAnsi="Arial" w:cs="Arial"/>
        <w:i/>
        <w:sz w:val="18"/>
        <w:szCs w:val="18"/>
      </w:rPr>
      <w:t>3</w:t>
    </w:r>
    <w:r w:rsidRPr="00CA4223">
      <w:rPr>
        <w:rFonts w:ascii="Arial" w:hAnsi="Arial" w:cs="Arial"/>
        <w:i/>
        <w:sz w:val="18"/>
        <w:szCs w:val="18"/>
      </w:rPr>
      <w:t xml:space="preserve"> </w:t>
    </w:r>
    <w:r>
      <w:rPr>
        <w:rFonts w:ascii="Arial" w:hAnsi="Arial" w:cs="Arial"/>
        <w:i/>
        <w:sz w:val="18"/>
        <w:szCs w:val="18"/>
      </w:rPr>
      <w:t xml:space="preserve">(No. </w:t>
    </w:r>
    <w:r w:rsidR="00E92D47">
      <w:rPr>
        <w:rFonts w:ascii="Arial" w:hAnsi="Arial" w:cs="Arial"/>
        <w:i/>
        <w:sz w:val="18"/>
        <w:szCs w:val="18"/>
      </w:rPr>
      <w:t>5</w:t>
    </w:r>
    <w:r w:rsidRPr="0028769D">
      <w:rPr>
        <w:rFonts w:ascii="Arial" w:hAnsi="Arial" w:cs="Arial"/>
        <w:i/>
        <w:sz w:val="18"/>
        <w:szCs w:val="18"/>
      </w:rPr>
      <w:t>)</w:t>
    </w:r>
  </w:p>
  <w:p w:rsidR="006A5599" w:rsidRDefault="006A5599" w:rsidP="0020400B">
    <w:pPr>
      <w:pStyle w:val="Footer"/>
      <w:jc w:val="right"/>
    </w:pPr>
    <w:r>
      <w:rPr>
        <w:rStyle w:val="PageNumber"/>
      </w:rPr>
      <w:fldChar w:fldCharType="begin"/>
    </w:r>
    <w:r>
      <w:rPr>
        <w:rStyle w:val="PageNumber"/>
      </w:rPr>
      <w:instrText xml:space="preserve"> PAGE </w:instrText>
    </w:r>
    <w:r>
      <w:rPr>
        <w:rStyle w:val="PageNumber"/>
      </w:rPr>
      <w:fldChar w:fldCharType="separate"/>
    </w:r>
    <w:r w:rsidR="00B64FC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599" w:rsidRDefault="006A5599">
      <w:r>
        <w:separator/>
      </w:r>
    </w:p>
  </w:footnote>
  <w:footnote w:type="continuationSeparator" w:id="0">
    <w:p w:rsidR="006A5599" w:rsidRDefault="006A5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99" w:rsidRPr="002D62CE" w:rsidRDefault="006A5599" w:rsidP="002D62CE">
    <w:pPr>
      <w:pStyle w:val="Title"/>
      <w:jc w:val="right"/>
    </w:pPr>
    <w:r w:rsidRPr="002D62CE">
      <w:t>ATTACHMENT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BE44C77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8E409A2"/>
    <w:multiLevelType w:val="hybridMultilevel"/>
    <w:tmpl w:val="F326881C"/>
    <w:lvl w:ilvl="0" w:tplc="5BB24AB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5E2D31"/>
    <w:multiLevelType w:val="hybridMultilevel"/>
    <w:tmpl w:val="FE1E8BFC"/>
    <w:lvl w:ilvl="0" w:tplc="D710FC04">
      <w:start w:val="1"/>
      <w:numFmt w:val="lowerRoman"/>
      <w:lvlText w:val="(%1)"/>
      <w:lvlJc w:val="righ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6E50B31"/>
    <w:multiLevelType w:val="hybridMultilevel"/>
    <w:tmpl w:val="3E7C794E"/>
    <w:name w:val="StandardBulletedList2"/>
    <w:lvl w:ilvl="0" w:tplc="BE9011EA">
      <w:start w:val="1"/>
      <w:numFmt w:val="bullet"/>
      <w:lvlText w:val=""/>
      <w:lvlJc w:val="left"/>
      <w:pPr>
        <w:tabs>
          <w:tab w:val="num" w:pos="360"/>
        </w:tabs>
        <w:ind w:left="360" w:hanging="360"/>
      </w:pPr>
      <w:rPr>
        <w:rFonts w:ascii="Symbol" w:hAnsi="Symbol" w:hint="default"/>
        <w:sz w:val="16"/>
        <w:szCs w:val="16"/>
      </w:rPr>
    </w:lvl>
    <w:lvl w:ilvl="1" w:tplc="0C090001">
      <w:start w:val="1"/>
      <w:numFmt w:val="bullet"/>
      <w:lvlText w:val=""/>
      <w:lvlJc w:val="left"/>
      <w:pPr>
        <w:tabs>
          <w:tab w:val="num" w:pos="1080"/>
        </w:tabs>
        <w:ind w:left="1080" w:hanging="360"/>
      </w:pPr>
      <w:rPr>
        <w:rFonts w:ascii="Symbol" w:hAnsi="Symbol" w:hint="default"/>
        <w:sz w:val="16"/>
        <w:szCs w:val="16"/>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491317C3"/>
    <w:multiLevelType w:val="hybridMultilevel"/>
    <w:tmpl w:val="3CA88934"/>
    <w:lvl w:ilvl="0" w:tplc="D710FC04">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7BF782C"/>
    <w:multiLevelType w:val="hybridMultilevel"/>
    <w:tmpl w:val="F326881C"/>
    <w:lvl w:ilvl="0" w:tplc="5BB24AB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9CE20B7"/>
    <w:multiLevelType w:val="hybridMultilevel"/>
    <w:tmpl w:val="F326881C"/>
    <w:lvl w:ilvl="0" w:tplc="5BB24AB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E4F62A8"/>
    <w:multiLevelType w:val="hybridMultilevel"/>
    <w:tmpl w:val="FE1E8BFC"/>
    <w:lvl w:ilvl="0" w:tplc="D710FC04">
      <w:start w:val="1"/>
      <w:numFmt w:val="lowerRoman"/>
      <w:lvlText w:val="(%1)"/>
      <w:lvlJc w:val="righ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7"/>
  </w:num>
  <w:num w:numId="5">
    <w:abstractNumId w:val="6"/>
  </w:num>
  <w:num w:numId="6">
    <w:abstractNumId w:val="9"/>
  </w:num>
  <w:num w:numId="7">
    <w:abstractNumId w:val="8"/>
  </w:num>
  <w:num w:numId="8">
    <w:abstractNumId w:val="3"/>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727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C64D2FC1-D3B4-4E0C-B30A-32B2E8D49469}"/>
    <w:docVar w:name="dgnword-eventsink" w:val="20838384"/>
  </w:docVars>
  <w:rsids>
    <w:rsidRoot w:val="009A2CCB"/>
    <w:rsid w:val="000008C6"/>
    <w:rsid w:val="00003890"/>
    <w:rsid w:val="00006FAE"/>
    <w:rsid w:val="00016755"/>
    <w:rsid w:val="00017C8A"/>
    <w:rsid w:val="0002612F"/>
    <w:rsid w:val="00027EE5"/>
    <w:rsid w:val="000305F0"/>
    <w:rsid w:val="00030888"/>
    <w:rsid w:val="00030ABE"/>
    <w:rsid w:val="000319D5"/>
    <w:rsid w:val="00040AD4"/>
    <w:rsid w:val="00041176"/>
    <w:rsid w:val="0004288E"/>
    <w:rsid w:val="00043142"/>
    <w:rsid w:val="00045F6E"/>
    <w:rsid w:val="00047482"/>
    <w:rsid w:val="00052FBC"/>
    <w:rsid w:val="00061B9C"/>
    <w:rsid w:val="00062C06"/>
    <w:rsid w:val="00066C35"/>
    <w:rsid w:val="00067D0F"/>
    <w:rsid w:val="00067D9D"/>
    <w:rsid w:val="00070116"/>
    <w:rsid w:val="0007069F"/>
    <w:rsid w:val="00073307"/>
    <w:rsid w:val="00080FF3"/>
    <w:rsid w:val="000859B5"/>
    <w:rsid w:val="00085C90"/>
    <w:rsid w:val="000903B8"/>
    <w:rsid w:val="00092628"/>
    <w:rsid w:val="00093654"/>
    <w:rsid w:val="00094955"/>
    <w:rsid w:val="00094E7B"/>
    <w:rsid w:val="000A15F5"/>
    <w:rsid w:val="000A224E"/>
    <w:rsid w:val="000A3774"/>
    <w:rsid w:val="000A6E71"/>
    <w:rsid w:val="000B451D"/>
    <w:rsid w:val="000B6B4E"/>
    <w:rsid w:val="000C0E7B"/>
    <w:rsid w:val="000C10DF"/>
    <w:rsid w:val="000D008D"/>
    <w:rsid w:val="000D321F"/>
    <w:rsid w:val="000D377C"/>
    <w:rsid w:val="000D3A5E"/>
    <w:rsid w:val="000D4131"/>
    <w:rsid w:val="000D696F"/>
    <w:rsid w:val="000D7267"/>
    <w:rsid w:val="000D7463"/>
    <w:rsid w:val="000E25F5"/>
    <w:rsid w:val="000E32F1"/>
    <w:rsid w:val="000E6BD9"/>
    <w:rsid w:val="000E73DE"/>
    <w:rsid w:val="000E76B2"/>
    <w:rsid w:val="000E7C48"/>
    <w:rsid w:val="000E7F1D"/>
    <w:rsid w:val="000F10A5"/>
    <w:rsid w:val="000F1164"/>
    <w:rsid w:val="000F1A5A"/>
    <w:rsid w:val="000F3EFA"/>
    <w:rsid w:val="000F6FC2"/>
    <w:rsid w:val="00100AD5"/>
    <w:rsid w:val="001016F3"/>
    <w:rsid w:val="00101E12"/>
    <w:rsid w:val="00102FA4"/>
    <w:rsid w:val="0010529E"/>
    <w:rsid w:val="001060C3"/>
    <w:rsid w:val="001118CD"/>
    <w:rsid w:val="00112705"/>
    <w:rsid w:val="00112856"/>
    <w:rsid w:val="001137EE"/>
    <w:rsid w:val="001143BC"/>
    <w:rsid w:val="00114A66"/>
    <w:rsid w:val="00116A7B"/>
    <w:rsid w:val="00121024"/>
    <w:rsid w:val="0012230C"/>
    <w:rsid w:val="00124704"/>
    <w:rsid w:val="0012483A"/>
    <w:rsid w:val="00127C3C"/>
    <w:rsid w:val="001319FE"/>
    <w:rsid w:val="0013467A"/>
    <w:rsid w:val="001500A7"/>
    <w:rsid w:val="00151A46"/>
    <w:rsid w:val="00151B4D"/>
    <w:rsid w:val="001534A1"/>
    <w:rsid w:val="0015389E"/>
    <w:rsid w:val="0015397F"/>
    <w:rsid w:val="00153C01"/>
    <w:rsid w:val="001613FB"/>
    <w:rsid w:val="00161CAE"/>
    <w:rsid w:val="00161D58"/>
    <w:rsid w:val="00161FEA"/>
    <w:rsid w:val="00163F52"/>
    <w:rsid w:val="00165084"/>
    <w:rsid w:val="00165B67"/>
    <w:rsid w:val="00167769"/>
    <w:rsid w:val="00173DAA"/>
    <w:rsid w:val="00174E6C"/>
    <w:rsid w:val="00176C1D"/>
    <w:rsid w:val="00183FAF"/>
    <w:rsid w:val="001840F8"/>
    <w:rsid w:val="00184BB9"/>
    <w:rsid w:val="00185772"/>
    <w:rsid w:val="001921B5"/>
    <w:rsid w:val="00195DCE"/>
    <w:rsid w:val="00196BF4"/>
    <w:rsid w:val="00196D58"/>
    <w:rsid w:val="001A1EB8"/>
    <w:rsid w:val="001B01A1"/>
    <w:rsid w:val="001B1692"/>
    <w:rsid w:val="001B32A7"/>
    <w:rsid w:val="001B4A20"/>
    <w:rsid w:val="001B5550"/>
    <w:rsid w:val="001B654D"/>
    <w:rsid w:val="001B76EB"/>
    <w:rsid w:val="001B794C"/>
    <w:rsid w:val="001C1D40"/>
    <w:rsid w:val="001C32E4"/>
    <w:rsid w:val="001C4DD8"/>
    <w:rsid w:val="001C7B1D"/>
    <w:rsid w:val="001D0B86"/>
    <w:rsid w:val="001D4569"/>
    <w:rsid w:val="001D52C5"/>
    <w:rsid w:val="001D7AB4"/>
    <w:rsid w:val="001E0F61"/>
    <w:rsid w:val="001E1BC9"/>
    <w:rsid w:val="001E298D"/>
    <w:rsid w:val="001E6946"/>
    <w:rsid w:val="001F09D4"/>
    <w:rsid w:val="001F0F94"/>
    <w:rsid w:val="00200488"/>
    <w:rsid w:val="0020400B"/>
    <w:rsid w:val="00205CEE"/>
    <w:rsid w:val="00206C94"/>
    <w:rsid w:val="00211C90"/>
    <w:rsid w:val="00220DD4"/>
    <w:rsid w:val="00222678"/>
    <w:rsid w:val="002240C2"/>
    <w:rsid w:val="00230194"/>
    <w:rsid w:val="00235BC2"/>
    <w:rsid w:val="00241C44"/>
    <w:rsid w:val="00245900"/>
    <w:rsid w:val="00245A68"/>
    <w:rsid w:val="00256269"/>
    <w:rsid w:val="00256D66"/>
    <w:rsid w:val="00260228"/>
    <w:rsid w:val="00262D9C"/>
    <w:rsid w:val="00265B18"/>
    <w:rsid w:val="00266C3F"/>
    <w:rsid w:val="00266E89"/>
    <w:rsid w:val="00270FAF"/>
    <w:rsid w:val="00271E1C"/>
    <w:rsid w:val="00273082"/>
    <w:rsid w:val="002750CC"/>
    <w:rsid w:val="0027523A"/>
    <w:rsid w:val="00276576"/>
    <w:rsid w:val="002810C5"/>
    <w:rsid w:val="00282610"/>
    <w:rsid w:val="0028336C"/>
    <w:rsid w:val="002833E5"/>
    <w:rsid w:val="00283711"/>
    <w:rsid w:val="00285457"/>
    <w:rsid w:val="002863C1"/>
    <w:rsid w:val="0028769D"/>
    <w:rsid w:val="0029110C"/>
    <w:rsid w:val="002927B6"/>
    <w:rsid w:val="00293022"/>
    <w:rsid w:val="00293EBF"/>
    <w:rsid w:val="00294262"/>
    <w:rsid w:val="00294E19"/>
    <w:rsid w:val="002954C3"/>
    <w:rsid w:val="002A3E59"/>
    <w:rsid w:val="002A4022"/>
    <w:rsid w:val="002A4AB3"/>
    <w:rsid w:val="002A6B36"/>
    <w:rsid w:val="002B010C"/>
    <w:rsid w:val="002B2C2B"/>
    <w:rsid w:val="002B50DA"/>
    <w:rsid w:val="002B54F9"/>
    <w:rsid w:val="002B7304"/>
    <w:rsid w:val="002C0934"/>
    <w:rsid w:val="002C34B7"/>
    <w:rsid w:val="002C3622"/>
    <w:rsid w:val="002C45F8"/>
    <w:rsid w:val="002C4A5B"/>
    <w:rsid w:val="002C4B74"/>
    <w:rsid w:val="002C6D66"/>
    <w:rsid w:val="002C706B"/>
    <w:rsid w:val="002C799F"/>
    <w:rsid w:val="002D18B2"/>
    <w:rsid w:val="002D4141"/>
    <w:rsid w:val="002D62CE"/>
    <w:rsid w:val="002D65C3"/>
    <w:rsid w:val="002E0CE8"/>
    <w:rsid w:val="002E2F24"/>
    <w:rsid w:val="002E3495"/>
    <w:rsid w:val="002E4D9F"/>
    <w:rsid w:val="002E61A3"/>
    <w:rsid w:val="002F36B3"/>
    <w:rsid w:val="002F4174"/>
    <w:rsid w:val="002F4363"/>
    <w:rsid w:val="002F5662"/>
    <w:rsid w:val="002F57AA"/>
    <w:rsid w:val="002F5A3F"/>
    <w:rsid w:val="002F7F0C"/>
    <w:rsid w:val="00306D03"/>
    <w:rsid w:val="003121B1"/>
    <w:rsid w:val="00312CC4"/>
    <w:rsid w:val="0031519A"/>
    <w:rsid w:val="00315E2D"/>
    <w:rsid w:val="00320FB2"/>
    <w:rsid w:val="003210F3"/>
    <w:rsid w:val="00322982"/>
    <w:rsid w:val="00323F0E"/>
    <w:rsid w:val="00331423"/>
    <w:rsid w:val="00334A89"/>
    <w:rsid w:val="0033779D"/>
    <w:rsid w:val="00340FAB"/>
    <w:rsid w:val="00344B20"/>
    <w:rsid w:val="00346CC1"/>
    <w:rsid w:val="0035312F"/>
    <w:rsid w:val="00360936"/>
    <w:rsid w:val="00361D40"/>
    <w:rsid w:val="0036348C"/>
    <w:rsid w:val="003642E3"/>
    <w:rsid w:val="00370C17"/>
    <w:rsid w:val="003739FE"/>
    <w:rsid w:val="00377BEB"/>
    <w:rsid w:val="00377FF2"/>
    <w:rsid w:val="003811B4"/>
    <w:rsid w:val="003865D8"/>
    <w:rsid w:val="00390EDD"/>
    <w:rsid w:val="00395A8F"/>
    <w:rsid w:val="003A0728"/>
    <w:rsid w:val="003A1168"/>
    <w:rsid w:val="003A1F1B"/>
    <w:rsid w:val="003A2F95"/>
    <w:rsid w:val="003A755D"/>
    <w:rsid w:val="003B2C8F"/>
    <w:rsid w:val="003B443D"/>
    <w:rsid w:val="003B493E"/>
    <w:rsid w:val="003B4F4B"/>
    <w:rsid w:val="003B573E"/>
    <w:rsid w:val="003B632D"/>
    <w:rsid w:val="003C234B"/>
    <w:rsid w:val="003C2DEF"/>
    <w:rsid w:val="003C355B"/>
    <w:rsid w:val="003C441F"/>
    <w:rsid w:val="003C5C2E"/>
    <w:rsid w:val="003D1138"/>
    <w:rsid w:val="003D748D"/>
    <w:rsid w:val="003E0677"/>
    <w:rsid w:val="003E3496"/>
    <w:rsid w:val="003E67D7"/>
    <w:rsid w:val="003E7FB7"/>
    <w:rsid w:val="003F4C31"/>
    <w:rsid w:val="004004C2"/>
    <w:rsid w:val="00400CA4"/>
    <w:rsid w:val="0040251C"/>
    <w:rsid w:val="00402818"/>
    <w:rsid w:val="00402857"/>
    <w:rsid w:val="00402F68"/>
    <w:rsid w:val="0040600E"/>
    <w:rsid w:val="00406613"/>
    <w:rsid w:val="00411BBD"/>
    <w:rsid w:val="004203EF"/>
    <w:rsid w:val="00430B3B"/>
    <w:rsid w:val="004321AF"/>
    <w:rsid w:val="004347B5"/>
    <w:rsid w:val="0043662D"/>
    <w:rsid w:val="004368EE"/>
    <w:rsid w:val="00437DDD"/>
    <w:rsid w:val="00440C0F"/>
    <w:rsid w:val="004475DF"/>
    <w:rsid w:val="00454A94"/>
    <w:rsid w:val="00454BF3"/>
    <w:rsid w:val="0045773F"/>
    <w:rsid w:val="00457CCD"/>
    <w:rsid w:val="004606E0"/>
    <w:rsid w:val="004618D2"/>
    <w:rsid w:val="00465BF7"/>
    <w:rsid w:val="004729FE"/>
    <w:rsid w:val="00473697"/>
    <w:rsid w:val="004737AC"/>
    <w:rsid w:val="004745FC"/>
    <w:rsid w:val="00475522"/>
    <w:rsid w:val="0047653E"/>
    <w:rsid w:val="004869DD"/>
    <w:rsid w:val="0048734E"/>
    <w:rsid w:val="00494069"/>
    <w:rsid w:val="004A05A9"/>
    <w:rsid w:val="004A1D83"/>
    <w:rsid w:val="004A676C"/>
    <w:rsid w:val="004A6AA3"/>
    <w:rsid w:val="004B2F00"/>
    <w:rsid w:val="004B47AD"/>
    <w:rsid w:val="004B5713"/>
    <w:rsid w:val="004C0885"/>
    <w:rsid w:val="004C0C91"/>
    <w:rsid w:val="004C29B1"/>
    <w:rsid w:val="004C2ED9"/>
    <w:rsid w:val="004C7FF4"/>
    <w:rsid w:val="004D0D52"/>
    <w:rsid w:val="004D1404"/>
    <w:rsid w:val="004D17C1"/>
    <w:rsid w:val="004D1C0F"/>
    <w:rsid w:val="004D2473"/>
    <w:rsid w:val="004D300E"/>
    <w:rsid w:val="004D3440"/>
    <w:rsid w:val="004E039C"/>
    <w:rsid w:val="004E23BC"/>
    <w:rsid w:val="004E7B0F"/>
    <w:rsid w:val="004E7B8D"/>
    <w:rsid w:val="004F3308"/>
    <w:rsid w:val="004F6D79"/>
    <w:rsid w:val="004F78DE"/>
    <w:rsid w:val="004F7CAE"/>
    <w:rsid w:val="00503D4E"/>
    <w:rsid w:val="00505F15"/>
    <w:rsid w:val="005100F3"/>
    <w:rsid w:val="00511DAD"/>
    <w:rsid w:val="00512637"/>
    <w:rsid w:val="00514A38"/>
    <w:rsid w:val="0052207F"/>
    <w:rsid w:val="00523395"/>
    <w:rsid w:val="00525F69"/>
    <w:rsid w:val="00530D83"/>
    <w:rsid w:val="00533A55"/>
    <w:rsid w:val="00534A5C"/>
    <w:rsid w:val="00536227"/>
    <w:rsid w:val="0053719E"/>
    <w:rsid w:val="00542375"/>
    <w:rsid w:val="00544409"/>
    <w:rsid w:val="005455BF"/>
    <w:rsid w:val="00546851"/>
    <w:rsid w:val="00547799"/>
    <w:rsid w:val="00551AAC"/>
    <w:rsid w:val="00551ACC"/>
    <w:rsid w:val="00552C28"/>
    <w:rsid w:val="00553CE8"/>
    <w:rsid w:val="00556E96"/>
    <w:rsid w:val="005642B6"/>
    <w:rsid w:val="00564AE8"/>
    <w:rsid w:val="00566BA5"/>
    <w:rsid w:val="00572832"/>
    <w:rsid w:val="00573474"/>
    <w:rsid w:val="00577387"/>
    <w:rsid w:val="00577B78"/>
    <w:rsid w:val="00584000"/>
    <w:rsid w:val="00584F3B"/>
    <w:rsid w:val="00587717"/>
    <w:rsid w:val="0058797B"/>
    <w:rsid w:val="00593BB4"/>
    <w:rsid w:val="00594253"/>
    <w:rsid w:val="00594786"/>
    <w:rsid w:val="00594B4E"/>
    <w:rsid w:val="00594EFB"/>
    <w:rsid w:val="005A317F"/>
    <w:rsid w:val="005A5526"/>
    <w:rsid w:val="005A5F9A"/>
    <w:rsid w:val="005B0740"/>
    <w:rsid w:val="005B1669"/>
    <w:rsid w:val="005B2148"/>
    <w:rsid w:val="005B48C0"/>
    <w:rsid w:val="005B7ADE"/>
    <w:rsid w:val="005C37D6"/>
    <w:rsid w:val="005C3BED"/>
    <w:rsid w:val="005C461B"/>
    <w:rsid w:val="005C5893"/>
    <w:rsid w:val="005C74E4"/>
    <w:rsid w:val="005C7A6F"/>
    <w:rsid w:val="005D1D81"/>
    <w:rsid w:val="005D359B"/>
    <w:rsid w:val="005D42E0"/>
    <w:rsid w:val="005D68E1"/>
    <w:rsid w:val="005E02FB"/>
    <w:rsid w:val="005E0430"/>
    <w:rsid w:val="005E0571"/>
    <w:rsid w:val="005E28EC"/>
    <w:rsid w:val="005E31AB"/>
    <w:rsid w:val="005E5CE5"/>
    <w:rsid w:val="005E7449"/>
    <w:rsid w:val="005E7FDD"/>
    <w:rsid w:val="005F1713"/>
    <w:rsid w:val="005F19BA"/>
    <w:rsid w:val="005F1C54"/>
    <w:rsid w:val="005F562C"/>
    <w:rsid w:val="005F59E4"/>
    <w:rsid w:val="005F6BFC"/>
    <w:rsid w:val="005F759A"/>
    <w:rsid w:val="005F7969"/>
    <w:rsid w:val="00602CCC"/>
    <w:rsid w:val="00605141"/>
    <w:rsid w:val="00606D61"/>
    <w:rsid w:val="00607EF6"/>
    <w:rsid w:val="00611F4D"/>
    <w:rsid w:val="00614AB0"/>
    <w:rsid w:val="00616B9E"/>
    <w:rsid w:val="00620BF8"/>
    <w:rsid w:val="00621E89"/>
    <w:rsid w:val="006221BA"/>
    <w:rsid w:val="00623A3B"/>
    <w:rsid w:val="0063050A"/>
    <w:rsid w:val="00630D9B"/>
    <w:rsid w:val="006320A9"/>
    <w:rsid w:val="006321B5"/>
    <w:rsid w:val="0063311A"/>
    <w:rsid w:val="00633F19"/>
    <w:rsid w:val="00640749"/>
    <w:rsid w:val="00641C5E"/>
    <w:rsid w:val="0064336C"/>
    <w:rsid w:val="00646241"/>
    <w:rsid w:val="00647D08"/>
    <w:rsid w:val="00651049"/>
    <w:rsid w:val="00651F58"/>
    <w:rsid w:val="00655E93"/>
    <w:rsid w:val="006716A6"/>
    <w:rsid w:val="00672684"/>
    <w:rsid w:val="00672DC2"/>
    <w:rsid w:val="00674847"/>
    <w:rsid w:val="006842CD"/>
    <w:rsid w:val="00684C58"/>
    <w:rsid w:val="00687628"/>
    <w:rsid w:val="00690FA7"/>
    <w:rsid w:val="006911CA"/>
    <w:rsid w:val="00692892"/>
    <w:rsid w:val="006A3BEB"/>
    <w:rsid w:val="006A42CA"/>
    <w:rsid w:val="006A4F5D"/>
    <w:rsid w:val="006A5599"/>
    <w:rsid w:val="006B1FEF"/>
    <w:rsid w:val="006B2E05"/>
    <w:rsid w:val="006B4BEF"/>
    <w:rsid w:val="006B7521"/>
    <w:rsid w:val="006C4EC1"/>
    <w:rsid w:val="006C51DE"/>
    <w:rsid w:val="006C686F"/>
    <w:rsid w:val="006C6CF5"/>
    <w:rsid w:val="006D1D56"/>
    <w:rsid w:val="006D4833"/>
    <w:rsid w:val="006D6083"/>
    <w:rsid w:val="006E1EE2"/>
    <w:rsid w:val="006E3BF0"/>
    <w:rsid w:val="006E7B0C"/>
    <w:rsid w:val="006F2F26"/>
    <w:rsid w:val="00700183"/>
    <w:rsid w:val="007051CA"/>
    <w:rsid w:val="007074BA"/>
    <w:rsid w:val="00710F84"/>
    <w:rsid w:val="00715BD5"/>
    <w:rsid w:val="00715F37"/>
    <w:rsid w:val="00716A3C"/>
    <w:rsid w:val="00717072"/>
    <w:rsid w:val="00717A68"/>
    <w:rsid w:val="00717D01"/>
    <w:rsid w:val="00721E8B"/>
    <w:rsid w:val="007229F5"/>
    <w:rsid w:val="00725EF9"/>
    <w:rsid w:val="00726133"/>
    <w:rsid w:val="00726ED4"/>
    <w:rsid w:val="00727A3D"/>
    <w:rsid w:val="00730770"/>
    <w:rsid w:val="007325E9"/>
    <w:rsid w:val="00735521"/>
    <w:rsid w:val="00735E44"/>
    <w:rsid w:val="00740409"/>
    <w:rsid w:val="00742502"/>
    <w:rsid w:val="007448EE"/>
    <w:rsid w:val="00745B37"/>
    <w:rsid w:val="00747302"/>
    <w:rsid w:val="007538A1"/>
    <w:rsid w:val="00762A8C"/>
    <w:rsid w:val="00771082"/>
    <w:rsid w:val="007730B2"/>
    <w:rsid w:val="00777949"/>
    <w:rsid w:val="00780158"/>
    <w:rsid w:val="0078248B"/>
    <w:rsid w:val="00782B22"/>
    <w:rsid w:val="00785FCA"/>
    <w:rsid w:val="0079065F"/>
    <w:rsid w:val="00797522"/>
    <w:rsid w:val="00797DC2"/>
    <w:rsid w:val="007A1011"/>
    <w:rsid w:val="007A314F"/>
    <w:rsid w:val="007A5886"/>
    <w:rsid w:val="007B322D"/>
    <w:rsid w:val="007B32DF"/>
    <w:rsid w:val="007B599B"/>
    <w:rsid w:val="007C6CA3"/>
    <w:rsid w:val="007D581D"/>
    <w:rsid w:val="007D5F15"/>
    <w:rsid w:val="007D628B"/>
    <w:rsid w:val="007D64B6"/>
    <w:rsid w:val="007E04B4"/>
    <w:rsid w:val="007E221F"/>
    <w:rsid w:val="007E3413"/>
    <w:rsid w:val="007E4549"/>
    <w:rsid w:val="007E4BBF"/>
    <w:rsid w:val="007E65E2"/>
    <w:rsid w:val="007E7AA0"/>
    <w:rsid w:val="007F2E3D"/>
    <w:rsid w:val="007F3E55"/>
    <w:rsid w:val="007F6AC0"/>
    <w:rsid w:val="0080439F"/>
    <w:rsid w:val="00810931"/>
    <w:rsid w:val="00810A83"/>
    <w:rsid w:val="00810A86"/>
    <w:rsid w:val="008114CE"/>
    <w:rsid w:val="008117E2"/>
    <w:rsid w:val="00812031"/>
    <w:rsid w:val="00812421"/>
    <w:rsid w:val="00812568"/>
    <w:rsid w:val="00813374"/>
    <w:rsid w:val="00816103"/>
    <w:rsid w:val="00827AC3"/>
    <w:rsid w:val="008308F7"/>
    <w:rsid w:val="00831028"/>
    <w:rsid w:val="008339D6"/>
    <w:rsid w:val="00833A53"/>
    <w:rsid w:val="008368E2"/>
    <w:rsid w:val="00837535"/>
    <w:rsid w:val="00837BB4"/>
    <w:rsid w:val="00840F3C"/>
    <w:rsid w:val="0084295C"/>
    <w:rsid w:val="00844319"/>
    <w:rsid w:val="008446E4"/>
    <w:rsid w:val="00846D8A"/>
    <w:rsid w:val="00850091"/>
    <w:rsid w:val="00851A9F"/>
    <w:rsid w:val="00851AA2"/>
    <w:rsid w:val="00852561"/>
    <w:rsid w:val="00852EAB"/>
    <w:rsid w:val="00853CE0"/>
    <w:rsid w:val="00853EE0"/>
    <w:rsid w:val="0085777E"/>
    <w:rsid w:val="008577CA"/>
    <w:rsid w:val="0086537A"/>
    <w:rsid w:val="00871399"/>
    <w:rsid w:val="00873589"/>
    <w:rsid w:val="00875253"/>
    <w:rsid w:val="0088382B"/>
    <w:rsid w:val="00883C53"/>
    <w:rsid w:val="008841D4"/>
    <w:rsid w:val="008855D0"/>
    <w:rsid w:val="00885D70"/>
    <w:rsid w:val="00887B64"/>
    <w:rsid w:val="0089135D"/>
    <w:rsid w:val="00891374"/>
    <w:rsid w:val="00891C53"/>
    <w:rsid w:val="00894FD3"/>
    <w:rsid w:val="00896E07"/>
    <w:rsid w:val="00896E24"/>
    <w:rsid w:val="008A117F"/>
    <w:rsid w:val="008A1864"/>
    <w:rsid w:val="008A3455"/>
    <w:rsid w:val="008A37EB"/>
    <w:rsid w:val="008A4AC5"/>
    <w:rsid w:val="008A5071"/>
    <w:rsid w:val="008B2A79"/>
    <w:rsid w:val="008C0099"/>
    <w:rsid w:val="008C33B4"/>
    <w:rsid w:val="008C4369"/>
    <w:rsid w:val="008D07A5"/>
    <w:rsid w:val="008D0BB8"/>
    <w:rsid w:val="008D1B64"/>
    <w:rsid w:val="008D39AC"/>
    <w:rsid w:val="008D3C68"/>
    <w:rsid w:val="008D4774"/>
    <w:rsid w:val="008D4E0B"/>
    <w:rsid w:val="008E2642"/>
    <w:rsid w:val="008E49E5"/>
    <w:rsid w:val="008E71C9"/>
    <w:rsid w:val="008F011F"/>
    <w:rsid w:val="008F0FFB"/>
    <w:rsid w:val="008F1001"/>
    <w:rsid w:val="008F29DA"/>
    <w:rsid w:val="008F55AA"/>
    <w:rsid w:val="008F5B75"/>
    <w:rsid w:val="008F6B50"/>
    <w:rsid w:val="00905843"/>
    <w:rsid w:val="009058C1"/>
    <w:rsid w:val="00906749"/>
    <w:rsid w:val="00906A08"/>
    <w:rsid w:val="00906D1F"/>
    <w:rsid w:val="00907A6C"/>
    <w:rsid w:val="00907F86"/>
    <w:rsid w:val="009104B6"/>
    <w:rsid w:val="009145AC"/>
    <w:rsid w:val="00914DAB"/>
    <w:rsid w:val="00917641"/>
    <w:rsid w:val="0092051E"/>
    <w:rsid w:val="00921519"/>
    <w:rsid w:val="00921996"/>
    <w:rsid w:val="00921BE0"/>
    <w:rsid w:val="00921CAA"/>
    <w:rsid w:val="00927037"/>
    <w:rsid w:val="009272D7"/>
    <w:rsid w:val="00934230"/>
    <w:rsid w:val="00935561"/>
    <w:rsid w:val="0093753D"/>
    <w:rsid w:val="00941546"/>
    <w:rsid w:val="00941B13"/>
    <w:rsid w:val="009430D4"/>
    <w:rsid w:val="0094422E"/>
    <w:rsid w:val="00944989"/>
    <w:rsid w:val="00947E7C"/>
    <w:rsid w:val="00952EFF"/>
    <w:rsid w:val="0095456D"/>
    <w:rsid w:val="009558BA"/>
    <w:rsid w:val="009561CE"/>
    <w:rsid w:val="0095779B"/>
    <w:rsid w:val="009623FC"/>
    <w:rsid w:val="00963093"/>
    <w:rsid w:val="009666D4"/>
    <w:rsid w:val="00970AF1"/>
    <w:rsid w:val="00970F13"/>
    <w:rsid w:val="00973D09"/>
    <w:rsid w:val="009775D1"/>
    <w:rsid w:val="00977A19"/>
    <w:rsid w:val="0098024C"/>
    <w:rsid w:val="009830E4"/>
    <w:rsid w:val="009858BC"/>
    <w:rsid w:val="009863E7"/>
    <w:rsid w:val="009948FA"/>
    <w:rsid w:val="009960F2"/>
    <w:rsid w:val="009A2111"/>
    <w:rsid w:val="009A2CCB"/>
    <w:rsid w:val="009A41D5"/>
    <w:rsid w:val="009A4764"/>
    <w:rsid w:val="009A596A"/>
    <w:rsid w:val="009B2916"/>
    <w:rsid w:val="009B44CC"/>
    <w:rsid w:val="009B6478"/>
    <w:rsid w:val="009B6549"/>
    <w:rsid w:val="009C10C4"/>
    <w:rsid w:val="009C1EF1"/>
    <w:rsid w:val="009C348F"/>
    <w:rsid w:val="009D40EC"/>
    <w:rsid w:val="009D685B"/>
    <w:rsid w:val="009E37E3"/>
    <w:rsid w:val="009E3AA5"/>
    <w:rsid w:val="009E7DB4"/>
    <w:rsid w:val="009F15B0"/>
    <w:rsid w:val="009F6CB1"/>
    <w:rsid w:val="009F79B9"/>
    <w:rsid w:val="009F7CFD"/>
    <w:rsid w:val="00A01583"/>
    <w:rsid w:val="00A028DB"/>
    <w:rsid w:val="00A02A27"/>
    <w:rsid w:val="00A038CA"/>
    <w:rsid w:val="00A0419F"/>
    <w:rsid w:val="00A04A17"/>
    <w:rsid w:val="00A06F3F"/>
    <w:rsid w:val="00A1049F"/>
    <w:rsid w:val="00A2223C"/>
    <w:rsid w:val="00A22DBA"/>
    <w:rsid w:val="00A24FFE"/>
    <w:rsid w:val="00A27A74"/>
    <w:rsid w:val="00A3221A"/>
    <w:rsid w:val="00A35398"/>
    <w:rsid w:val="00A360FB"/>
    <w:rsid w:val="00A42FC6"/>
    <w:rsid w:val="00A46487"/>
    <w:rsid w:val="00A50E61"/>
    <w:rsid w:val="00A50F1C"/>
    <w:rsid w:val="00A51EDB"/>
    <w:rsid w:val="00A5301A"/>
    <w:rsid w:val="00A5432C"/>
    <w:rsid w:val="00A54C91"/>
    <w:rsid w:val="00A572EA"/>
    <w:rsid w:val="00A57E98"/>
    <w:rsid w:val="00A6172D"/>
    <w:rsid w:val="00A61800"/>
    <w:rsid w:val="00A70923"/>
    <w:rsid w:val="00A70F57"/>
    <w:rsid w:val="00A72785"/>
    <w:rsid w:val="00A729D1"/>
    <w:rsid w:val="00A73234"/>
    <w:rsid w:val="00A74D00"/>
    <w:rsid w:val="00A75B48"/>
    <w:rsid w:val="00A7647A"/>
    <w:rsid w:val="00A81B37"/>
    <w:rsid w:val="00A8235B"/>
    <w:rsid w:val="00A84C55"/>
    <w:rsid w:val="00A84FAC"/>
    <w:rsid w:val="00A86B6B"/>
    <w:rsid w:val="00A8734F"/>
    <w:rsid w:val="00A87A51"/>
    <w:rsid w:val="00A9042E"/>
    <w:rsid w:val="00A90AC0"/>
    <w:rsid w:val="00A915BE"/>
    <w:rsid w:val="00A96E9C"/>
    <w:rsid w:val="00A97AB6"/>
    <w:rsid w:val="00AA4FD7"/>
    <w:rsid w:val="00AA5B76"/>
    <w:rsid w:val="00AA7109"/>
    <w:rsid w:val="00AA7B6F"/>
    <w:rsid w:val="00AA7C64"/>
    <w:rsid w:val="00AB25F3"/>
    <w:rsid w:val="00AB2987"/>
    <w:rsid w:val="00AB2DD7"/>
    <w:rsid w:val="00AB35B7"/>
    <w:rsid w:val="00AC2ADC"/>
    <w:rsid w:val="00AC6161"/>
    <w:rsid w:val="00AD24AB"/>
    <w:rsid w:val="00AD2617"/>
    <w:rsid w:val="00AD26C0"/>
    <w:rsid w:val="00AD37EA"/>
    <w:rsid w:val="00AD451D"/>
    <w:rsid w:val="00AD467F"/>
    <w:rsid w:val="00AE786A"/>
    <w:rsid w:val="00AF2EC5"/>
    <w:rsid w:val="00AF5010"/>
    <w:rsid w:val="00AF6E64"/>
    <w:rsid w:val="00B017E5"/>
    <w:rsid w:val="00B01B43"/>
    <w:rsid w:val="00B05D45"/>
    <w:rsid w:val="00B071D0"/>
    <w:rsid w:val="00B125C8"/>
    <w:rsid w:val="00B130C2"/>
    <w:rsid w:val="00B14206"/>
    <w:rsid w:val="00B1439B"/>
    <w:rsid w:val="00B146B7"/>
    <w:rsid w:val="00B1482A"/>
    <w:rsid w:val="00B1485C"/>
    <w:rsid w:val="00B178F3"/>
    <w:rsid w:val="00B24144"/>
    <w:rsid w:val="00B24BC1"/>
    <w:rsid w:val="00B25009"/>
    <w:rsid w:val="00B25EED"/>
    <w:rsid w:val="00B33924"/>
    <w:rsid w:val="00B349DD"/>
    <w:rsid w:val="00B34F5A"/>
    <w:rsid w:val="00B36AEF"/>
    <w:rsid w:val="00B37EDF"/>
    <w:rsid w:val="00B37EE7"/>
    <w:rsid w:val="00B40639"/>
    <w:rsid w:val="00B42CB2"/>
    <w:rsid w:val="00B4725F"/>
    <w:rsid w:val="00B54274"/>
    <w:rsid w:val="00B552DF"/>
    <w:rsid w:val="00B6175F"/>
    <w:rsid w:val="00B6251A"/>
    <w:rsid w:val="00B64FCA"/>
    <w:rsid w:val="00B66D8E"/>
    <w:rsid w:val="00B673AE"/>
    <w:rsid w:val="00B67FBC"/>
    <w:rsid w:val="00B7211F"/>
    <w:rsid w:val="00B746E0"/>
    <w:rsid w:val="00B75813"/>
    <w:rsid w:val="00B80728"/>
    <w:rsid w:val="00B84642"/>
    <w:rsid w:val="00B86E42"/>
    <w:rsid w:val="00B87236"/>
    <w:rsid w:val="00B919E2"/>
    <w:rsid w:val="00B91F75"/>
    <w:rsid w:val="00B93663"/>
    <w:rsid w:val="00B942D6"/>
    <w:rsid w:val="00B95154"/>
    <w:rsid w:val="00B955C7"/>
    <w:rsid w:val="00B96FC9"/>
    <w:rsid w:val="00B97AE8"/>
    <w:rsid w:val="00B97FD0"/>
    <w:rsid w:val="00BA045D"/>
    <w:rsid w:val="00BA1D6A"/>
    <w:rsid w:val="00BA3418"/>
    <w:rsid w:val="00BA472D"/>
    <w:rsid w:val="00BA619E"/>
    <w:rsid w:val="00BB36DB"/>
    <w:rsid w:val="00BB5005"/>
    <w:rsid w:val="00BB53BD"/>
    <w:rsid w:val="00BB5FC4"/>
    <w:rsid w:val="00BB6A04"/>
    <w:rsid w:val="00BB6DC4"/>
    <w:rsid w:val="00BB77E0"/>
    <w:rsid w:val="00BC02C9"/>
    <w:rsid w:val="00BC08CA"/>
    <w:rsid w:val="00BC1E6D"/>
    <w:rsid w:val="00BC2CC8"/>
    <w:rsid w:val="00BC376F"/>
    <w:rsid w:val="00BC3A52"/>
    <w:rsid w:val="00BC5BC2"/>
    <w:rsid w:val="00BC6907"/>
    <w:rsid w:val="00BD2699"/>
    <w:rsid w:val="00BD2933"/>
    <w:rsid w:val="00BD3D90"/>
    <w:rsid w:val="00BD4AEA"/>
    <w:rsid w:val="00BD5478"/>
    <w:rsid w:val="00BD5E0C"/>
    <w:rsid w:val="00BD7FD3"/>
    <w:rsid w:val="00BE0B13"/>
    <w:rsid w:val="00BE2B9D"/>
    <w:rsid w:val="00BE3D83"/>
    <w:rsid w:val="00BE5428"/>
    <w:rsid w:val="00BE5F37"/>
    <w:rsid w:val="00BE6EC0"/>
    <w:rsid w:val="00BF11F7"/>
    <w:rsid w:val="00BF1756"/>
    <w:rsid w:val="00BF21D9"/>
    <w:rsid w:val="00C019FB"/>
    <w:rsid w:val="00C038EB"/>
    <w:rsid w:val="00C04164"/>
    <w:rsid w:val="00C072B3"/>
    <w:rsid w:val="00C07513"/>
    <w:rsid w:val="00C121E0"/>
    <w:rsid w:val="00C13162"/>
    <w:rsid w:val="00C137E6"/>
    <w:rsid w:val="00C141D8"/>
    <w:rsid w:val="00C16ADC"/>
    <w:rsid w:val="00C205EA"/>
    <w:rsid w:val="00C24A01"/>
    <w:rsid w:val="00C2510A"/>
    <w:rsid w:val="00C3324C"/>
    <w:rsid w:val="00C34048"/>
    <w:rsid w:val="00C3411F"/>
    <w:rsid w:val="00C367E8"/>
    <w:rsid w:val="00C413C4"/>
    <w:rsid w:val="00C417D6"/>
    <w:rsid w:val="00C423FB"/>
    <w:rsid w:val="00C4733D"/>
    <w:rsid w:val="00C5129B"/>
    <w:rsid w:val="00C54168"/>
    <w:rsid w:val="00C54486"/>
    <w:rsid w:val="00C55E64"/>
    <w:rsid w:val="00C56A93"/>
    <w:rsid w:val="00C579E5"/>
    <w:rsid w:val="00C60E66"/>
    <w:rsid w:val="00C66AB1"/>
    <w:rsid w:val="00C73636"/>
    <w:rsid w:val="00C77178"/>
    <w:rsid w:val="00C8067F"/>
    <w:rsid w:val="00C8247C"/>
    <w:rsid w:val="00C84734"/>
    <w:rsid w:val="00C90926"/>
    <w:rsid w:val="00C96BD3"/>
    <w:rsid w:val="00CA2C89"/>
    <w:rsid w:val="00CA40F4"/>
    <w:rsid w:val="00CA4223"/>
    <w:rsid w:val="00CA5DC3"/>
    <w:rsid w:val="00CA673C"/>
    <w:rsid w:val="00CB424F"/>
    <w:rsid w:val="00CB48D3"/>
    <w:rsid w:val="00CB4A38"/>
    <w:rsid w:val="00CB77D7"/>
    <w:rsid w:val="00CC19D2"/>
    <w:rsid w:val="00CD20A9"/>
    <w:rsid w:val="00CD3A08"/>
    <w:rsid w:val="00CD3EC6"/>
    <w:rsid w:val="00CD5C76"/>
    <w:rsid w:val="00CD7703"/>
    <w:rsid w:val="00CE045B"/>
    <w:rsid w:val="00CE267B"/>
    <w:rsid w:val="00CE38D4"/>
    <w:rsid w:val="00CE6EA6"/>
    <w:rsid w:val="00CF0056"/>
    <w:rsid w:val="00CF01AC"/>
    <w:rsid w:val="00CF0DDE"/>
    <w:rsid w:val="00CF1014"/>
    <w:rsid w:val="00CF1F5C"/>
    <w:rsid w:val="00CF4FC2"/>
    <w:rsid w:val="00CF7CF0"/>
    <w:rsid w:val="00D011A4"/>
    <w:rsid w:val="00D0192A"/>
    <w:rsid w:val="00D03FEC"/>
    <w:rsid w:val="00D07273"/>
    <w:rsid w:val="00D11D33"/>
    <w:rsid w:val="00D14428"/>
    <w:rsid w:val="00D1486D"/>
    <w:rsid w:val="00D16CFB"/>
    <w:rsid w:val="00D2011D"/>
    <w:rsid w:val="00D22B10"/>
    <w:rsid w:val="00D24BDF"/>
    <w:rsid w:val="00D2693D"/>
    <w:rsid w:val="00D27134"/>
    <w:rsid w:val="00D2765D"/>
    <w:rsid w:val="00D27F57"/>
    <w:rsid w:val="00D32884"/>
    <w:rsid w:val="00D32BDC"/>
    <w:rsid w:val="00D3369E"/>
    <w:rsid w:val="00D375C4"/>
    <w:rsid w:val="00D37714"/>
    <w:rsid w:val="00D37827"/>
    <w:rsid w:val="00D40121"/>
    <w:rsid w:val="00D40FAF"/>
    <w:rsid w:val="00D41601"/>
    <w:rsid w:val="00D42094"/>
    <w:rsid w:val="00D438CA"/>
    <w:rsid w:val="00D45675"/>
    <w:rsid w:val="00D45861"/>
    <w:rsid w:val="00D46302"/>
    <w:rsid w:val="00D4725C"/>
    <w:rsid w:val="00D47D5D"/>
    <w:rsid w:val="00D50FC7"/>
    <w:rsid w:val="00D51C9D"/>
    <w:rsid w:val="00D55198"/>
    <w:rsid w:val="00D5610F"/>
    <w:rsid w:val="00D56137"/>
    <w:rsid w:val="00D56E53"/>
    <w:rsid w:val="00D57067"/>
    <w:rsid w:val="00D57F13"/>
    <w:rsid w:val="00D6040A"/>
    <w:rsid w:val="00D61546"/>
    <w:rsid w:val="00D656F6"/>
    <w:rsid w:val="00D66512"/>
    <w:rsid w:val="00D67BA3"/>
    <w:rsid w:val="00D71901"/>
    <w:rsid w:val="00D719B0"/>
    <w:rsid w:val="00D72F26"/>
    <w:rsid w:val="00D75191"/>
    <w:rsid w:val="00D77C77"/>
    <w:rsid w:val="00D82213"/>
    <w:rsid w:val="00D85D79"/>
    <w:rsid w:val="00D86888"/>
    <w:rsid w:val="00D908A8"/>
    <w:rsid w:val="00D936C1"/>
    <w:rsid w:val="00D93ABA"/>
    <w:rsid w:val="00DA0EAE"/>
    <w:rsid w:val="00DA1146"/>
    <w:rsid w:val="00DA153E"/>
    <w:rsid w:val="00DA32EF"/>
    <w:rsid w:val="00DA5B6C"/>
    <w:rsid w:val="00DA6676"/>
    <w:rsid w:val="00DA6952"/>
    <w:rsid w:val="00DB1FEC"/>
    <w:rsid w:val="00DB3C3E"/>
    <w:rsid w:val="00DB4A53"/>
    <w:rsid w:val="00DB7ACD"/>
    <w:rsid w:val="00DC0203"/>
    <w:rsid w:val="00DD09EA"/>
    <w:rsid w:val="00DD2930"/>
    <w:rsid w:val="00DD3435"/>
    <w:rsid w:val="00DD383E"/>
    <w:rsid w:val="00DD4D74"/>
    <w:rsid w:val="00DD5070"/>
    <w:rsid w:val="00DD5586"/>
    <w:rsid w:val="00DD5DE0"/>
    <w:rsid w:val="00DE09F3"/>
    <w:rsid w:val="00DE1290"/>
    <w:rsid w:val="00DE161D"/>
    <w:rsid w:val="00DE1944"/>
    <w:rsid w:val="00DE1D98"/>
    <w:rsid w:val="00DE4FC1"/>
    <w:rsid w:val="00DE6909"/>
    <w:rsid w:val="00DF269E"/>
    <w:rsid w:val="00DF3005"/>
    <w:rsid w:val="00E00262"/>
    <w:rsid w:val="00E01092"/>
    <w:rsid w:val="00E0404C"/>
    <w:rsid w:val="00E06A68"/>
    <w:rsid w:val="00E078D8"/>
    <w:rsid w:val="00E12C2F"/>
    <w:rsid w:val="00E143CD"/>
    <w:rsid w:val="00E14A36"/>
    <w:rsid w:val="00E14F72"/>
    <w:rsid w:val="00E15897"/>
    <w:rsid w:val="00E15C37"/>
    <w:rsid w:val="00E17026"/>
    <w:rsid w:val="00E238F7"/>
    <w:rsid w:val="00E24E3A"/>
    <w:rsid w:val="00E25DD0"/>
    <w:rsid w:val="00E323A9"/>
    <w:rsid w:val="00E333A0"/>
    <w:rsid w:val="00E34ACA"/>
    <w:rsid w:val="00E34DA2"/>
    <w:rsid w:val="00E352CB"/>
    <w:rsid w:val="00E367E8"/>
    <w:rsid w:val="00E42F4A"/>
    <w:rsid w:val="00E47F85"/>
    <w:rsid w:val="00E5083A"/>
    <w:rsid w:val="00E55959"/>
    <w:rsid w:val="00E60257"/>
    <w:rsid w:val="00E6037A"/>
    <w:rsid w:val="00E60AB0"/>
    <w:rsid w:val="00E64ED0"/>
    <w:rsid w:val="00E665EA"/>
    <w:rsid w:val="00E706B5"/>
    <w:rsid w:val="00E71D63"/>
    <w:rsid w:val="00E71DAF"/>
    <w:rsid w:val="00E727D7"/>
    <w:rsid w:val="00E734A7"/>
    <w:rsid w:val="00E758B6"/>
    <w:rsid w:val="00E76B4A"/>
    <w:rsid w:val="00E772C1"/>
    <w:rsid w:val="00E77D9F"/>
    <w:rsid w:val="00E80E58"/>
    <w:rsid w:val="00E822DE"/>
    <w:rsid w:val="00E84016"/>
    <w:rsid w:val="00E91939"/>
    <w:rsid w:val="00E9221D"/>
    <w:rsid w:val="00E92D47"/>
    <w:rsid w:val="00E93384"/>
    <w:rsid w:val="00E95C04"/>
    <w:rsid w:val="00E95D68"/>
    <w:rsid w:val="00EA1269"/>
    <w:rsid w:val="00EA31D1"/>
    <w:rsid w:val="00EA4B4B"/>
    <w:rsid w:val="00EA51C3"/>
    <w:rsid w:val="00EA629A"/>
    <w:rsid w:val="00EB126D"/>
    <w:rsid w:val="00EB2C12"/>
    <w:rsid w:val="00EC1109"/>
    <w:rsid w:val="00EC1795"/>
    <w:rsid w:val="00ED399A"/>
    <w:rsid w:val="00ED77DA"/>
    <w:rsid w:val="00EE2DDD"/>
    <w:rsid w:val="00EE3434"/>
    <w:rsid w:val="00EF0468"/>
    <w:rsid w:val="00EF0D89"/>
    <w:rsid w:val="00EF150B"/>
    <w:rsid w:val="00EF5B5C"/>
    <w:rsid w:val="00EF6BC1"/>
    <w:rsid w:val="00F0226C"/>
    <w:rsid w:val="00F03E77"/>
    <w:rsid w:val="00F04844"/>
    <w:rsid w:val="00F048FE"/>
    <w:rsid w:val="00F05B14"/>
    <w:rsid w:val="00F10482"/>
    <w:rsid w:val="00F121E9"/>
    <w:rsid w:val="00F136BA"/>
    <w:rsid w:val="00F15C5B"/>
    <w:rsid w:val="00F17C25"/>
    <w:rsid w:val="00F21647"/>
    <w:rsid w:val="00F21C5A"/>
    <w:rsid w:val="00F22A6E"/>
    <w:rsid w:val="00F2472F"/>
    <w:rsid w:val="00F24DD0"/>
    <w:rsid w:val="00F24F29"/>
    <w:rsid w:val="00F27190"/>
    <w:rsid w:val="00F27561"/>
    <w:rsid w:val="00F3040C"/>
    <w:rsid w:val="00F310FA"/>
    <w:rsid w:val="00F31209"/>
    <w:rsid w:val="00F330BD"/>
    <w:rsid w:val="00F33EC6"/>
    <w:rsid w:val="00F33EF7"/>
    <w:rsid w:val="00F402F0"/>
    <w:rsid w:val="00F404CF"/>
    <w:rsid w:val="00F40500"/>
    <w:rsid w:val="00F40609"/>
    <w:rsid w:val="00F45222"/>
    <w:rsid w:val="00F45CBD"/>
    <w:rsid w:val="00F46113"/>
    <w:rsid w:val="00F46741"/>
    <w:rsid w:val="00F46C75"/>
    <w:rsid w:val="00F46F53"/>
    <w:rsid w:val="00F4769B"/>
    <w:rsid w:val="00F50AAE"/>
    <w:rsid w:val="00F52D48"/>
    <w:rsid w:val="00F538D6"/>
    <w:rsid w:val="00F5477A"/>
    <w:rsid w:val="00F55898"/>
    <w:rsid w:val="00F60DB3"/>
    <w:rsid w:val="00F623B5"/>
    <w:rsid w:val="00F6434A"/>
    <w:rsid w:val="00F650B3"/>
    <w:rsid w:val="00F66C63"/>
    <w:rsid w:val="00F67EBD"/>
    <w:rsid w:val="00F70FC5"/>
    <w:rsid w:val="00F769AB"/>
    <w:rsid w:val="00F8147F"/>
    <w:rsid w:val="00F83706"/>
    <w:rsid w:val="00F83A94"/>
    <w:rsid w:val="00F8645B"/>
    <w:rsid w:val="00F87951"/>
    <w:rsid w:val="00F902A5"/>
    <w:rsid w:val="00F926DB"/>
    <w:rsid w:val="00FA0CFA"/>
    <w:rsid w:val="00FA24CE"/>
    <w:rsid w:val="00FA3207"/>
    <w:rsid w:val="00FA35BD"/>
    <w:rsid w:val="00FA514A"/>
    <w:rsid w:val="00FA674D"/>
    <w:rsid w:val="00FB5A4D"/>
    <w:rsid w:val="00FB5BC9"/>
    <w:rsid w:val="00FB5CA0"/>
    <w:rsid w:val="00FC3439"/>
    <w:rsid w:val="00FC40C8"/>
    <w:rsid w:val="00FC4E2E"/>
    <w:rsid w:val="00FC7BEE"/>
    <w:rsid w:val="00FD07C2"/>
    <w:rsid w:val="00FD315B"/>
    <w:rsid w:val="00FE1951"/>
    <w:rsid w:val="00FE3389"/>
    <w:rsid w:val="00FE7FEF"/>
    <w:rsid w:val="00FF5156"/>
    <w:rsid w:val="00FF71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48F"/>
  </w:style>
  <w:style w:type="paragraph" w:styleId="Heading1">
    <w:name w:val="heading 1"/>
    <w:basedOn w:val="Normal"/>
    <w:next w:val="Normal"/>
    <w:qFormat/>
    <w:rsid w:val="005D1D81"/>
    <w:pPr>
      <w:keepNext/>
      <w:spacing w:before="240" w:after="360"/>
      <w:outlineLvl w:val="0"/>
    </w:pPr>
    <w:rPr>
      <w:b/>
      <w:caps/>
      <w:sz w:val="28"/>
      <w:szCs w:val="28"/>
    </w:rPr>
  </w:style>
  <w:style w:type="paragraph" w:styleId="Heading2">
    <w:name w:val="heading 2"/>
    <w:basedOn w:val="Normal"/>
    <w:next w:val="Normal"/>
    <w:link w:val="Heading2Char"/>
    <w:qFormat/>
    <w:rsid w:val="001C32E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1C32E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1C32E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1C32E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1C32E4"/>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1C32E4"/>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qFormat/>
    <w:rsid w:val="001C32E4"/>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1C32E4"/>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2CCB"/>
    <w:pPr>
      <w:tabs>
        <w:tab w:val="center" w:pos="4153"/>
        <w:tab w:val="right" w:pos="8306"/>
      </w:tabs>
      <w:spacing w:before="60" w:after="60"/>
    </w:pPr>
    <w:rPr>
      <w:sz w:val="24"/>
      <w:lang w:eastAsia="en-US"/>
    </w:rPr>
  </w:style>
  <w:style w:type="paragraph" w:styleId="Title">
    <w:name w:val="Title"/>
    <w:basedOn w:val="Normal"/>
    <w:link w:val="TitleChar"/>
    <w:qFormat/>
    <w:rsid w:val="009A2CCB"/>
    <w:pPr>
      <w:jc w:val="center"/>
    </w:pPr>
    <w:rPr>
      <w:b/>
    </w:rPr>
  </w:style>
  <w:style w:type="paragraph" w:styleId="Subtitle">
    <w:name w:val="Subtitle"/>
    <w:basedOn w:val="Normal"/>
    <w:link w:val="SubtitleChar"/>
    <w:qFormat/>
    <w:rsid w:val="009A2CCB"/>
    <w:pPr>
      <w:jc w:val="center"/>
    </w:pPr>
    <w:rPr>
      <w:b/>
    </w:rPr>
  </w:style>
  <w:style w:type="paragraph" w:styleId="BodyText">
    <w:name w:val="Body Text"/>
    <w:basedOn w:val="Normal"/>
    <w:rsid w:val="009A2CCB"/>
    <w:rPr>
      <w:sz w:val="24"/>
    </w:rPr>
  </w:style>
  <w:style w:type="paragraph" w:styleId="Header">
    <w:name w:val="header"/>
    <w:basedOn w:val="Normal"/>
    <w:rsid w:val="00C5129B"/>
    <w:pPr>
      <w:tabs>
        <w:tab w:val="center" w:pos="4153"/>
        <w:tab w:val="right" w:pos="8306"/>
      </w:tabs>
    </w:pPr>
  </w:style>
  <w:style w:type="table" w:styleId="TableGrid">
    <w:name w:val="Table Grid"/>
    <w:basedOn w:val="TableNormal"/>
    <w:rsid w:val="00684C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F2E3D"/>
  </w:style>
  <w:style w:type="paragraph" w:styleId="DocumentMap">
    <w:name w:val="Document Map"/>
    <w:basedOn w:val="Normal"/>
    <w:semiHidden/>
    <w:rsid w:val="006B7521"/>
    <w:pPr>
      <w:shd w:val="clear" w:color="auto" w:fill="000080"/>
    </w:pPr>
    <w:rPr>
      <w:rFonts w:ascii="Tahoma" w:hAnsi="Tahoma" w:cs="Tahoma"/>
    </w:rPr>
  </w:style>
  <w:style w:type="paragraph" w:customStyle="1" w:styleId="TableP2i">
    <w:name w:val="TableP2(i)"/>
    <w:basedOn w:val="Normal"/>
    <w:rsid w:val="00CA40F4"/>
    <w:pPr>
      <w:tabs>
        <w:tab w:val="right" w:pos="726"/>
      </w:tabs>
      <w:spacing w:after="60" w:line="240" w:lineRule="exact"/>
      <w:ind w:left="868" w:hanging="868"/>
    </w:pPr>
    <w:rPr>
      <w:sz w:val="22"/>
      <w:szCs w:val="24"/>
    </w:rPr>
  </w:style>
  <w:style w:type="paragraph" w:customStyle="1" w:styleId="TableP1a">
    <w:name w:val="TableP1(a)"/>
    <w:basedOn w:val="Normal"/>
    <w:rsid w:val="007E04B4"/>
    <w:pPr>
      <w:tabs>
        <w:tab w:val="right" w:pos="408"/>
      </w:tabs>
      <w:spacing w:after="60" w:line="240" w:lineRule="exact"/>
      <w:ind w:left="533" w:hanging="533"/>
    </w:pPr>
    <w:rPr>
      <w:sz w:val="22"/>
      <w:szCs w:val="24"/>
    </w:rPr>
  </w:style>
  <w:style w:type="paragraph" w:customStyle="1" w:styleId="TableText">
    <w:name w:val="TableText"/>
    <w:basedOn w:val="Normal"/>
    <w:rsid w:val="00EF0468"/>
    <w:pPr>
      <w:spacing w:before="60" w:after="60" w:line="240" w:lineRule="exact"/>
    </w:pPr>
    <w:rPr>
      <w:sz w:val="22"/>
      <w:szCs w:val="24"/>
    </w:rPr>
  </w:style>
  <w:style w:type="paragraph" w:customStyle="1" w:styleId="Bullet">
    <w:name w:val="Bullet"/>
    <w:basedOn w:val="Normal"/>
    <w:rsid w:val="005D1D81"/>
    <w:pPr>
      <w:numPr>
        <w:numId w:val="1"/>
      </w:numPr>
      <w:spacing w:after="240"/>
    </w:pPr>
    <w:rPr>
      <w:sz w:val="24"/>
    </w:rPr>
  </w:style>
  <w:style w:type="paragraph" w:customStyle="1" w:styleId="Dash">
    <w:name w:val="Dash"/>
    <w:basedOn w:val="Normal"/>
    <w:rsid w:val="005D1D81"/>
    <w:pPr>
      <w:numPr>
        <w:ilvl w:val="1"/>
        <w:numId w:val="1"/>
      </w:numPr>
      <w:spacing w:after="240"/>
    </w:pPr>
    <w:rPr>
      <w:sz w:val="24"/>
    </w:rPr>
  </w:style>
  <w:style w:type="paragraph" w:customStyle="1" w:styleId="DoubleDot">
    <w:name w:val="Double Dot"/>
    <w:basedOn w:val="Normal"/>
    <w:rsid w:val="005D1D81"/>
    <w:pPr>
      <w:numPr>
        <w:ilvl w:val="2"/>
        <w:numId w:val="1"/>
      </w:numPr>
      <w:spacing w:after="240"/>
    </w:pPr>
    <w:rPr>
      <w:sz w:val="24"/>
    </w:rPr>
  </w:style>
  <w:style w:type="paragraph" w:customStyle="1" w:styleId="KeyPoints">
    <w:name w:val="Key Points"/>
    <w:basedOn w:val="Normal"/>
    <w:next w:val="Bullet"/>
    <w:rsid w:val="005D1D81"/>
    <w:pPr>
      <w:spacing w:before="120" w:after="240"/>
    </w:pPr>
    <w:rPr>
      <w:b/>
      <w:caps/>
      <w:sz w:val="24"/>
      <w:szCs w:val="24"/>
    </w:rPr>
  </w:style>
  <w:style w:type="paragraph" w:customStyle="1" w:styleId="TableColHead">
    <w:name w:val="TableColHead"/>
    <w:basedOn w:val="Normal"/>
    <w:rsid w:val="005D1D81"/>
    <w:pPr>
      <w:keepNext/>
      <w:spacing w:before="120" w:after="60" w:line="200" w:lineRule="exact"/>
    </w:pPr>
    <w:rPr>
      <w:rFonts w:ascii="Arial" w:hAnsi="Arial"/>
      <w:b/>
      <w:sz w:val="18"/>
      <w:szCs w:val="24"/>
    </w:rPr>
  </w:style>
  <w:style w:type="paragraph" w:styleId="BodyTextFirstIndent">
    <w:name w:val="Body Text First Indent"/>
    <w:basedOn w:val="BodyText"/>
    <w:rsid w:val="005D1D81"/>
    <w:pPr>
      <w:spacing w:after="120"/>
      <w:ind w:firstLine="210"/>
    </w:pPr>
    <w:rPr>
      <w:szCs w:val="24"/>
    </w:rPr>
  </w:style>
  <w:style w:type="paragraph" w:styleId="BodyTextIndent">
    <w:name w:val="Body Text Indent"/>
    <w:basedOn w:val="Normal"/>
    <w:rsid w:val="005D1D81"/>
    <w:pPr>
      <w:spacing w:after="120"/>
      <w:ind w:left="283"/>
    </w:pPr>
    <w:rPr>
      <w:sz w:val="24"/>
      <w:szCs w:val="24"/>
    </w:rPr>
  </w:style>
  <w:style w:type="paragraph" w:styleId="BodyTextFirstIndent2">
    <w:name w:val="Body Text First Indent 2"/>
    <w:basedOn w:val="BodyTextIndent"/>
    <w:rsid w:val="005D1D81"/>
    <w:pPr>
      <w:ind w:firstLine="210"/>
    </w:pPr>
  </w:style>
  <w:style w:type="paragraph" w:styleId="BodyTextIndent2">
    <w:name w:val="Body Text Indent 2"/>
    <w:basedOn w:val="Normal"/>
    <w:rsid w:val="005D1D81"/>
    <w:pPr>
      <w:spacing w:after="120" w:line="480" w:lineRule="auto"/>
      <w:ind w:left="283"/>
    </w:pPr>
    <w:rPr>
      <w:sz w:val="24"/>
      <w:szCs w:val="24"/>
    </w:rPr>
  </w:style>
  <w:style w:type="paragraph" w:styleId="BodyTextIndent3">
    <w:name w:val="Body Text Indent 3"/>
    <w:basedOn w:val="Normal"/>
    <w:rsid w:val="005D1D81"/>
    <w:pPr>
      <w:spacing w:after="120"/>
      <w:ind w:left="283"/>
    </w:pPr>
    <w:rPr>
      <w:sz w:val="16"/>
      <w:szCs w:val="16"/>
    </w:rPr>
  </w:style>
  <w:style w:type="paragraph" w:styleId="Closing">
    <w:name w:val="Closing"/>
    <w:basedOn w:val="Normal"/>
    <w:rsid w:val="005D1D81"/>
    <w:pPr>
      <w:ind w:left="4252"/>
    </w:pPr>
    <w:rPr>
      <w:sz w:val="24"/>
      <w:szCs w:val="24"/>
    </w:rPr>
  </w:style>
  <w:style w:type="paragraph" w:styleId="Date">
    <w:name w:val="Date"/>
    <w:basedOn w:val="Normal"/>
    <w:next w:val="Normal"/>
    <w:rsid w:val="005D1D81"/>
    <w:rPr>
      <w:sz w:val="24"/>
      <w:szCs w:val="24"/>
    </w:rPr>
  </w:style>
  <w:style w:type="paragraph" w:styleId="E-mailSignature">
    <w:name w:val="E-mail Signature"/>
    <w:basedOn w:val="Normal"/>
    <w:rsid w:val="005D1D81"/>
    <w:rPr>
      <w:sz w:val="24"/>
      <w:szCs w:val="24"/>
    </w:rPr>
  </w:style>
  <w:style w:type="character" w:styleId="Emphasis">
    <w:name w:val="Emphasis"/>
    <w:qFormat/>
    <w:rsid w:val="005D1D81"/>
    <w:rPr>
      <w:i/>
      <w:iCs/>
    </w:rPr>
  </w:style>
  <w:style w:type="paragraph" w:styleId="BodyText3">
    <w:name w:val="Body Text 3"/>
    <w:basedOn w:val="Normal"/>
    <w:rsid w:val="00891C53"/>
    <w:pPr>
      <w:spacing w:after="120"/>
    </w:pPr>
    <w:rPr>
      <w:sz w:val="16"/>
      <w:szCs w:val="16"/>
    </w:rPr>
  </w:style>
  <w:style w:type="paragraph" w:customStyle="1" w:styleId="greybodytext">
    <w:name w:val="grey body text"/>
    <w:basedOn w:val="Normal"/>
    <w:rsid w:val="00E238F7"/>
    <w:pPr>
      <w:spacing w:before="180" w:line="320" w:lineRule="exact"/>
      <w:ind w:left="993"/>
    </w:pPr>
    <w:rPr>
      <w:rFonts w:ascii="Palatino" w:hAnsi="Palatino"/>
      <w:lang w:eastAsia="en-US"/>
    </w:rPr>
  </w:style>
  <w:style w:type="character" w:styleId="Hyperlink">
    <w:name w:val="Hyperlink"/>
    <w:rsid w:val="00E238F7"/>
    <w:rPr>
      <w:color w:val="0000FF"/>
      <w:u w:val="single"/>
    </w:rPr>
  </w:style>
  <w:style w:type="numbering" w:styleId="1ai">
    <w:name w:val="Outline List 1"/>
    <w:basedOn w:val="NoList"/>
    <w:rsid w:val="00851AA2"/>
    <w:pPr>
      <w:numPr>
        <w:numId w:val="2"/>
      </w:numPr>
    </w:pPr>
  </w:style>
  <w:style w:type="paragraph" w:customStyle="1" w:styleId="Char">
    <w:name w:val="Char"/>
    <w:basedOn w:val="Normal"/>
    <w:rsid w:val="000E76B2"/>
    <w:pPr>
      <w:spacing w:after="160" w:line="240" w:lineRule="exact"/>
    </w:pPr>
  </w:style>
  <w:style w:type="character" w:customStyle="1" w:styleId="Heading2Char">
    <w:name w:val="Heading 2 Char"/>
    <w:link w:val="Heading2"/>
    <w:semiHidden/>
    <w:rsid w:val="001C32E4"/>
    <w:rPr>
      <w:rFonts w:ascii="Cambria" w:eastAsia="Times New Roman" w:hAnsi="Cambria" w:cs="Times New Roman"/>
      <w:b/>
      <w:bCs/>
      <w:i/>
      <w:iCs/>
      <w:sz w:val="28"/>
      <w:szCs w:val="28"/>
    </w:rPr>
  </w:style>
  <w:style w:type="character" w:customStyle="1" w:styleId="Heading3Char">
    <w:name w:val="Heading 3 Char"/>
    <w:link w:val="Heading3"/>
    <w:semiHidden/>
    <w:rsid w:val="001C32E4"/>
    <w:rPr>
      <w:rFonts w:ascii="Cambria" w:eastAsia="Times New Roman" w:hAnsi="Cambria" w:cs="Times New Roman"/>
      <w:b/>
      <w:bCs/>
      <w:sz w:val="26"/>
      <w:szCs w:val="26"/>
    </w:rPr>
  </w:style>
  <w:style w:type="character" w:customStyle="1" w:styleId="Heading4Char">
    <w:name w:val="Heading 4 Char"/>
    <w:link w:val="Heading4"/>
    <w:semiHidden/>
    <w:rsid w:val="001C32E4"/>
    <w:rPr>
      <w:rFonts w:ascii="Calibri" w:eastAsia="Times New Roman" w:hAnsi="Calibri" w:cs="Times New Roman"/>
      <w:b/>
      <w:bCs/>
      <w:sz w:val="28"/>
      <w:szCs w:val="28"/>
    </w:rPr>
  </w:style>
  <w:style w:type="character" w:customStyle="1" w:styleId="Heading5Char">
    <w:name w:val="Heading 5 Char"/>
    <w:link w:val="Heading5"/>
    <w:semiHidden/>
    <w:rsid w:val="001C32E4"/>
    <w:rPr>
      <w:rFonts w:ascii="Calibri" w:eastAsia="Times New Roman" w:hAnsi="Calibri" w:cs="Times New Roman"/>
      <w:b/>
      <w:bCs/>
      <w:i/>
      <w:iCs/>
      <w:sz w:val="26"/>
      <w:szCs w:val="26"/>
    </w:rPr>
  </w:style>
  <w:style w:type="character" w:customStyle="1" w:styleId="Heading6Char">
    <w:name w:val="Heading 6 Char"/>
    <w:link w:val="Heading6"/>
    <w:semiHidden/>
    <w:rsid w:val="001C32E4"/>
    <w:rPr>
      <w:rFonts w:ascii="Calibri" w:eastAsia="Times New Roman" w:hAnsi="Calibri" w:cs="Times New Roman"/>
      <w:b/>
      <w:bCs/>
      <w:sz w:val="22"/>
      <w:szCs w:val="22"/>
    </w:rPr>
  </w:style>
  <w:style w:type="character" w:customStyle="1" w:styleId="Heading7Char">
    <w:name w:val="Heading 7 Char"/>
    <w:link w:val="Heading7"/>
    <w:semiHidden/>
    <w:rsid w:val="001C32E4"/>
    <w:rPr>
      <w:rFonts w:ascii="Calibri" w:eastAsia="Times New Roman" w:hAnsi="Calibri" w:cs="Times New Roman"/>
      <w:sz w:val="24"/>
      <w:szCs w:val="24"/>
    </w:rPr>
  </w:style>
  <w:style w:type="character" w:customStyle="1" w:styleId="Heading8Char">
    <w:name w:val="Heading 8 Char"/>
    <w:link w:val="Heading8"/>
    <w:semiHidden/>
    <w:rsid w:val="001C32E4"/>
    <w:rPr>
      <w:rFonts w:ascii="Calibri" w:eastAsia="Times New Roman" w:hAnsi="Calibri" w:cs="Times New Roman"/>
      <w:i/>
      <w:iCs/>
      <w:sz w:val="24"/>
      <w:szCs w:val="24"/>
    </w:rPr>
  </w:style>
  <w:style w:type="character" w:customStyle="1" w:styleId="Heading9Char">
    <w:name w:val="Heading 9 Char"/>
    <w:link w:val="Heading9"/>
    <w:semiHidden/>
    <w:rsid w:val="001C32E4"/>
    <w:rPr>
      <w:rFonts w:ascii="Cambria" w:eastAsia="Times New Roman" w:hAnsi="Cambria" w:cs="Times New Roman"/>
      <w:sz w:val="22"/>
      <w:szCs w:val="22"/>
    </w:rPr>
  </w:style>
  <w:style w:type="numbering" w:styleId="ArticleSection">
    <w:name w:val="Outline List 3"/>
    <w:basedOn w:val="NoList"/>
    <w:rsid w:val="001C32E4"/>
    <w:pPr>
      <w:numPr>
        <w:numId w:val="3"/>
      </w:numPr>
    </w:pPr>
  </w:style>
  <w:style w:type="paragraph" w:customStyle="1" w:styleId="Default">
    <w:name w:val="Default"/>
    <w:rsid w:val="00C8247C"/>
    <w:pPr>
      <w:autoSpaceDE w:val="0"/>
      <w:autoSpaceDN w:val="0"/>
      <w:adjustRightInd w:val="0"/>
    </w:pPr>
    <w:rPr>
      <w:color w:val="000000"/>
      <w:sz w:val="24"/>
      <w:szCs w:val="24"/>
    </w:rPr>
  </w:style>
  <w:style w:type="paragraph" w:styleId="BalloonText">
    <w:name w:val="Balloon Text"/>
    <w:basedOn w:val="Normal"/>
    <w:semiHidden/>
    <w:rsid w:val="00AD467F"/>
    <w:rPr>
      <w:rFonts w:ascii="Tahoma" w:hAnsi="Tahoma" w:cs="Tahoma"/>
      <w:sz w:val="16"/>
      <w:szCs w:val="16"/>
    </w:rPr>
  </w:style>
  <w:style w:type="paragraph" w:styleId="Revision">
    <w:name w:val="Revision"/>
    <w:hidden/>
    <w:uiPriority w:val="99"/>
    <w:semiHidden/>
    <w:rsid w:val="00F27561"/>
  </w:style>
  <w:style w:type="character" w:styleId="CommentReference">
    <w:name w:val="annotation reference"/>
    <w:rsid w:val="000E25F5"/>
    <w:rPr>
      <w:sz w:val="16"/>
      <w:szCs w:val="16"/>
    </w:rPr>
  </w:style>
  <w:style w:type="paragraph" w:styleId="CommentText">
    <w:name w:val="annotation text"/>
    <w:basedOn w:val="Normal"/>
    <w:link w:val="CommentTextChar"/>
    <w:rsid w:val="000E25F5"/>
  </w:style>
  <w:style w:type="character" w:customStyle="1" w:styleId="CommentTextChar">
    <w:name w:val="Comment Text Char"/>
    <w:basedOn w:val="DefaultParagraphFont"/>
    <w:link w:val="CommentText"/>
    <w:rsid w:val="000E25F5"/>
  </w:style>
  <w:style w:type="paragraph" w:styleId="CommentSubject">
    <w:name w:val="annotation subject"/>
    <w:basedOn w:val="CommentText"/>
    <w:next w:val="CommentText"/>
    <w:link w:val="CommentSubjectChar"/>
    <w:rsid w:val="000E25F5"/>
    <w:rPr>
      <w:b/>
      <w:bCs/>
      <w:lang w:val="x-none" w:eastAsia="x-none"/>
    </w:rPr>
  </w:style>
  <w:style w:type="character" w:customStyle="1" w:styleId="CommentSubjectChar">
    <w:name w:val="Comment Subject Char"/>
    <w:link w:val="CommentSubject"/>
    <w:rsid w:val="000E25F5"/>
    <w:rPr>
      <w:b/>
      <w:bCs/>
    </w:rPr>
  </w:style>
  <w:style w:type="character" w:styleId="LineNumber">
    <w:name w:val="line number"/>
    <w:rsid w:val="00716A3C"/>
  </w:style>
  <w:style w:type="paragraph" w:customStyle="1" w:styleId="default0">
    <w:name w:val="default"/>
    <w:basedOn w:val="Normal"/>
    <w:rsid w:val="00593BB4"/>
    <w:pPr>
      <w:spacing w:before="100" w:beforeAutospacing="1" w:after="100" w:afterAutospacing="1"/>
    </w:pPr>
    <w:rPr>
      <w:sz w:val="24"/>
      <w:szCs w:val="24"/>
    </w:rPr>
  </w:style>
  <w:style w:type="paragraph" w:customStyle="1" w:styleId="tablecolhead0">
    <w:name w:val="tablecolhead"/>
    <w:basedOn w:val="Normal"/>
    <w:rsid w:val="00BD5478"/>
    <w:pPr>
      <w:spacing w:before="100" w:beforeAutospacing="1" w:after="100" w:afterAutospacing="1"/>
    </w:pPr>
    <w:rPr>
      <w:sz w:val="24"/>
      <w:szCs w:val="24"/>
    </w:rPr>
  </w:style>
  <w:style w:type="paragraph" w:styleId="ListParagraph">
    <w:name w:val="List Paragraph"/>
    <w:basedOn w:val="Normal"/>
    <w:uiPriority w:val="34"/>
    <w:qFormat/>
    <w:rsid w:val="00D61546"/>
    <w:pPr>
      <w:ind w:left="720"/>
    </w:pPr>
    <w:rPr>
      <w:rFonts w:ascii="Calibri" w:eastAsia="Calibri" w:hAnsi="Calibri" w:cs="Calibri"/>
      <w:sz w:val="22"/>
      <w:szCs w:val="22"/>
      <w:lang w:val="en-US" w:eastAsia="en-US"/>
    </w:rPr>
  </w:style>
  <w:style w:type="character" w:styleId="Strong">
    <w:name w:val="Strong"/>
    <w:uiPriority w:val="22"/>
    <w:qFormat/>
    <w:rsid w:val="007F3E55"/>
    <w:rPr>
      <w:b/>
      <w:bCs/>
    </w:rPr>
  </w:style>
  <w:style w:type="character" w:customStyle="1" w:styleId="st1">
    <w:name w:val="st1"/>
    <w:rsid w:val="00E77D9F"/>
  </w:style>
  <w:style w:type="character" w:customStyle="1" w:styleId="TitleChar">
    <w:name w:val="Title Char"/>
    <w:link w:val="Title"/>
    <w:rsid w:val="001A1EB8"/>
    <w:rPr>
      <w:b/>
    </w:rPr>
  </w:style>
  <w:style w:type="character" w:customStyle="1" w:styleId="SubtitleChar">
    <w:name w:val="Subtitle Char"/>
    <w:link w:val="Subtitle"/>
    <w:rsid w:val="001A1EB8"/>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ArticleSection"/>
    <w:pPr>
      <w:numPr>
        <w:numId w:val="3"/>
      </w:numPr>
    </w:pPr>
  </w:style>
  <w:style w:type="numbering" w:customStyle="1" w:styleId="Title">
    <w:name w:val="1ai"/>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5721">
      <w:bodyDiv w:val="1"/>
      <w:marLeft w:val="0"/>
      <w:marRight w:val="0"/>
      <w:marTop w:val="0"/>
      <w:marBottom w:val="0"/>
      <w:divBdr>
        <w:top w:val="none" w:sz="0" w:space="0" w:color="auto"/>
        <w:left w:val="none" w:sz="0" w:space="0" w:color="auto"/>
        <w:bottom w:val="none" w:sz="0" w:space="0" w:color="auto"/>
        <w:right w:val="none" w:sz="0" w:space="0" w:color="auto"/>
      </w:divBdr>
    </w:div>
    <w:div w:id="152722383">
      <w:bodyDiv w:val="1"/>
      <w:marLeft w:val="0"/>
      <w:marRight w:val="0"/>
      <w:marTop w:val="0"/>
      <w:marBottom w:val="0"/>
      <w:divBdr>
        <w:top w:val="none" w:sz="0" w:space="0" w:color="auto"/>
        <w:left w:val="none" w:sz="0" w:space="0" w:color="auto"/>
        <w:bottom w:val="none" w:sz="0" w:space="0" w:color="auto"/>
        <w:right w:val="none" w:sz="0" w:space="0" w:color="auto"/>
      </w:divBdr>
    </w:div>
    <w:div w:id="539367397">
      <w:bodyDiv w:val="1"/>
      <w:marLeft w:val="0"/>
      <w:marRight w:val="0"/>
      <w:marTop w:val="0"/>
      <w:marBottom w:val="0"/>
      <w:divBdr>
        <w:top w:val="none" w:sz="0" w:space="0" w:color="auto"/>
        <w:left w:val="none" w:sz="0" w:space="0" w:color="auto"/>
        <w:bottom w:val="none" w:sz="0" w:space="0" w:color="auto"/>
        <w:right w:val="none" w:sz="0" w:space="0" w:color="auto"/>
      </w:divBdr>
      <w:divsChild>
        <w:div w:id="1266769624">
          <w:marLeft w:val="0"/>
          <w:marRight w:val="0"/>
          <w:marTop w:val="0"/>
          <w:marBottom w:val="0"/>
          <w:divBdr>
            <w:top w:val="none" w:sz="0" w:space="0" w:color="auto"/>
            <w:left w:val="none" w:sz="0" w:space="0" w:color="auto"/>
            <w:bottom w:val="none" w:sz="0" w:space="0" w:color="auto"/>
            <w:right w:val="none" w:sz="0" w:space="0" w:color="auto"/>
          </w:divBdr>
          <w:divsChild>
            <w:div w:id="566648240">
              <w:marLeft w:val="0"/>
              <w:marRight w:val="0"/>
              <w:marTop w:val="0"/>
              <w:marBottom w:val="0"/>
              <w:divBdr>
                <w:top w:val="none" w:sz="0" w:space="0" w:color="auto"/>
                <w:left w:val="none" w:sz="0" w:space="0" w:color="auto"/>
                <w:bottom w:val="none" w:sz="0" w:space="0" w:color="auto"/>
                <w:right w:val="none" w:sz="0" w:space="0" w:color="auto"/>
              </w:divBdr>
              <w:divsChild>
                <w:div w:id="600334450">
                  <w:marLeft w:val="0"/>
                  <w:marRight w:val="0"/>
                  <w:marTop w:val="0"/>
                  <w:marBottom w:val="0"/>
                  <w:divBdr>
                    <w:top w:val="none" w:sz="0" w:space="0" w:color="auto"/>
                    <w:left w:val="none" w:sz="0" w:space="0" w:color="auto"/>
                    <w:bottom w:val="none" w:sz="0" w:space="0" w:color="auto"/>
                    <w:right w:val="none" w:sz="0" w:space="0" w:color="auto"/>
                  </w:divBdr>
                  <w:divsChild>
                    <w:div w:id="1230120109">
                      <w:marLeft w:val="0"/>
                      <w:marRight w:val="0"/>
                      <w:marTop w:val="0"/>
                      <w:marBottom w:val="0"/>
                      <w:divBdr>
                        <w:top w:val="none" w:sz="0" w:space="0" w:color="auto"/>
                        <w:left w:val="none" w:sz="0" w:space="0" w:color="auto"/>
                        <w:bottom w:val="none" w:sz="0" w:space="0" w:color="auto"/>
                        <w:right w:val="none" w:sz="0" w:space="0" w:color="auto"/>
                      </w:divBdr>
                      <w:divsChild>
                        <w:div w:id="1724062463">
                          <w:marLeft w:val="0"/>
                          <w:marRight w:val="0"/>
                          <w:marTop w:val="0"/>
                          <w:marBottom w:val="0"/>
                          <w:divBdr>
                            <w:top w:val="single" w:sz="6" w:space="0" w:color="828282"/>
                            <w:left w:val="single" w:sz="6" w:space="0" w:color="828282"/>
                            <w:bottom w:val="single" w:sz="6" w:space="0" w:color="828282"/>
                            <w:right w:val="single" w:sz="6" w:space="0" w:color="828282"/>
                          </w:divBdr>
                          <w:divsChild>
                            <w:div w:id="346031330">
                              <w:marLeft w:val="0"/>
                              <w:marRight w:val="0"/>
                              <w:marTop w:val="0"/>
                              <w:marBottom w:val="0"/>
                              <w:divBdr>
                                <w:top w:val="none" w:sz="0" w:space="0" w:color="auto"/>
                                <w:left w:val="none" w:sz="0" w:space="0" w:color="auto"/>
                                <w:bottom w:val="none" w:sz="0" w:space="0" w:color="auto"/>
                                <w:right w:val="none" w:sz="0" w:space="0" w:color="auto"/>
                              </w:divBdr>
                              <w:divsChild>
                                <w:div w:id="671185272">
                                  <w:marLeft w:val="0"/>
                                  <w:marRight w:val="0"/>
                                  <w:marTop w:val="0"/>
                                  <w:marBottom w:val="0"/>
                                  <w:divBdr>
                                    <w:top w:val="none" w:sz="0" w:space="0" w:color="auto"/>
                                    <w:left w:val="none" w:sz="0" w:space="0" w:color="auto"/>
                                    <w:bottom w:val="none" w:sz="0" w:space="0" w:color="auto"/>
                                    <w:right w:val="none" w:sz="0" w:space="0" w:color="auto"/>
                                  </w:divBdr>
                                  <w:divsChild>
                                    <w:div w:id="1612936391">
                                      <w:marLeft w:val="0"/>
                                      <w:marRight w:val="0"/>
                                      <w:marTop w:val="0"/>
                                      <w:marBottom w:val="0"/>
                                      <w:divBdr>
                                        <w:top w:val="none" w:sz="0" w:space="0" w:color="auto"/>
                                        <w:left w:val="none" w:sz="0" w:space="0" w:color="auto"/>
                                        <w:bottom w:val="none" w:sz="0" w:space="0" w:color="auto"/>
                                        <w:right w:val="none" w:sz="0" w:space="0" w:color="auto"/>
                                      </w:divBdr>
                                      <w:divsChild>
                                        <w:div w:id="1815221665">
                                          <w:marLeft w:val="0"/>
                                          <w:marRight w:val="0"/>
                                          <w:marTop w:val="0"/>
                                          <w:marBottom w:val="0"/>
                                          <w:divBdr>
                                            <w:top w:val="none" w:sz="0" w:space="0" w:color="auto"/>
                                            <w:left w:val="none" w:sz="0" w:space="0" w:color="auto"/>
                                            <w:bottom w:val="none" w:sz="0" w:space="0" w:color="auto"/>
                                            <w:right w:val="none" w:sz="0" w:space="0" w:color="auto"/>
                                          </w:divBdr>
                                          <w:divsChild>
                                            <w:div w:id="1037118633">
                                              <w:marLeft w:val="0"/>
                                              <w:marRight w:val="0"/>
                                              <w:marTop w:val="0"/>
                                              <w:marBottom w:val="0"/>
                                              <w:divBdr>
                                                <w:top w:val="none" w:sz="0" w:space="0" w:color="auto"/>
                                                <w:left w:val="none" w:sz="0" w:space="0" w:color="auto"/>
                                                <w:bottom w:val="none" w:sz="0" w:space="0" w:color="auto"/>
                                                <w:right w:val="none" w:sz="0" w:space="0" w:color="auto"/>
                                              </w:divBdr>
                                              <w:divsChild>
                                                <w:div w:id="559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253652">
      <w:bodyDiv w:val="1"/>
      <w:marLeft w:val="0"/>
      <w:marRight w:val="0"/>
      <w:marTop w:val="0"/>
      <w:marBottom w:val="0"/>
      <w:divBdr>
        <w:top w:val="none" w:sz="0" w:space="0" w:color="auto"/>
        <w:left w:val="none" w:sz="0" w:space="0" w:color="auto"/>
        <w:bottom w:val="none" w:sz="0" w:space="0" w:color="auto"/>
        <w:right w:val="none" w:sz="0" w:space="0" w:color="auto"/>
      </w:divBdr>
    </w:div>
    <w:div w:id="670723499">
      <w:bodyDiv w:val="1"/>
      <w:marLeft w:val="0"/>
      <w:marRight w:val="0"/>
      <w:marTop w:val="0"/>
      <w:marBottom w:val="0"/>
      <w:divBdr>
        <w:top w:val="none" w:sz="0" w:space="0" w:color="auto"/>
        <w:left w:val="none" w:sz="0" w:space="0" w:color="auto"/>
        <w:bottom w:val="none" w:sz="0" w:space="0" w:color="auto"/>
        <w:right w:val="none" w:sz="0" w:space="0" w:color="auto"/>
      </w:divBdr>
    </w:div>
    <w:div w:id="1496677859">
      <w:bodyDiv w:val="1"/>
      <w:marLeft w:val="0"/>
      <w:marRight w:val="0"/>
      <w:marTop w:val="0"/>
      <w:marBottom w:val="0"/>
      <w:divBdr>
        <w:top w:val="none" w:sz="0" w:space="0" w:color="auto"/>
        <w:left w:val="none" w:sz="0" w:space="0" w:color="auto"/>
        <w:bottom w:val="none" w:sz="0" w:space="0" w:color="auto"/>
        <w:right w:val="none" w:sz="0" w:space="0" w:color="auto"/>
      </w:divBdr>
    </w:div>
    <w:div w:id="1708721465">
      <w:bodyDiv w:val="1"/>
      <w:marLeft w:val="0"/>
      <w:marRight w:val="0"/>
      <w:marTop w:val="0"/>
      <w:marBottom w:val="0"/>
      <w:divBdr>
        <w:top w:val="none" w:sz="0" w:space="0" w:color="auto"/>
        <w:left w:val="none" w:sz="0" w:space="0" w:color="auto"/>
        <w:bottom w:val="none" w:sz="0" w:space="0" w:color="auto"/>
        <w:right w:val="none" w:sz="0" w:space="0" w:color="auto"/>
      </w:divBdr>
    </w:div>
    <w:div w:id="21431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42662-28C1-4CC0-80C7-D4B031A0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5834</Characters>
  <Application>Microsoft Office Word</Application>
  <DocSecurity>4</DocSecurity>
  <Lines>139</Lines>
  <Paragraphs>54</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Royal Australian Mint</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Currency Determination 2006 ( No 2)</dc:subject>
  <dc:creator>nclement</dc:creator>
  <cp:keywords/>
  <cp:lastModifiedBy>Debora Vella </cp:lastModifiedBy>
  <cp:revision>2</cp:revision>
  <cp:lastPrinted>2012-06-26T02:33:00Z</cp:lastPrinted>
  <dcterms:created xsi:type="dcterms:W3CDTF">2013-11-21T00:39:00Z</dcterms:created>
  <dcterms:modified xsi:type="dcterms:W3CDTF">2013-11-21T00:39:00Z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Close">
    <vt:lpwstr>�</vt:lpwstr>
  </property>
  <property fmtid="{D5CDD505-2E9C-101B-9397-08002B2CF9AE}" pid="3" name="_NewReviewCycle">
    <vt:lpwstr/>
  </property>
  <property fmtid="{D5CDD505-2E9C-101B-9397-08002B2CF9AE}" pid="4" name="_AdHocReviewCycleID">
    <vt:i4>431933408</vt:i4>
  </property>
  <property fmtid="{D5CDD505-2E9C-101B-9397-08002B2CF9AE}" pid="5" name="_EmailSubject">
    <vt:lpwstr>Marketing and Sales - Legal - Currency Determination (Royal Australian Mint) 2012 (No 2) - Attachment B (2).DOC</vt:lpwstr>
  </property>
  <property fmtid="{D5CDD505-2E9C-101B-9397-08002B2CF9AE}" pid="6" name="_AuthorEmail">
    <vt:lpwstr>Marcus.McKillop@TREASURY.GOV.AU</vt:lpwstr>
  </property>
  <property fmtid="{D5CDD505-2E9C-101B-9397-08002B2CF9AE}" pid="7" name="_AuthorEmailDisplayName">
    <vt:lpwstr>McKillop, Marcus</vt:lpwstr>
  </property>
  <property fmtid="{D5CDD505-2E9C-101B-9397-08002B2CF9AE}" pid="8" name="_ReviewingToolsShownOnce">
    <vt:lpwstr/>
  </property>
</Properties>
</file>