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4" w:rsidRPr="00A1445D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>ASIC CLASS ORDER [CO 13/</w:t>
      </w:r>
      <w:r w:rsidR="009D6440">
        <w:rPr>
          <w:b/>
          <w:bCs/>
          <w:sz w:val="30"/>
          <w:szCs w:val="30"/>
        </w:rPr>
        <w:t>1420</w:t>
      </w:r>
      <w:r w:rsidRPr="00A1445D">
        <w:rPr>
          <w:b/>
          <w:bCs/>
          <w:sz w:val="30"/>
          <w:szCs w:val="30"/>
        </w:rPr>
        <w:t>]</w:t>
      </w:r>
    </w:p>
    <w:p w:rsidR="00F24504" w:rsidRPr="00A1445D" w:rsidRDefault="00F24504" w:rsidP="00F24504">
      <w:pPr>
        <w:pStyle w:val="Default"/>
        <w:rPr>
          <w:sz w:val="30"/>
          <w:szCs w:val="30"/>
        </w:rPr>
      </w:pPr>
    </w:p>
    <w:p w:rsidR="00F24504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>EXPLANATORY STATEMENT</w:t>
      </w:r>
    </w:p>
    <w:p w:rsidR="00A1445D" w:rsidRPr="00A1445D" w:rsidRDefault="00A1445D" w:rsidP="00F24504">
      <w:pPr>
        <w:pStyle w:val="Default"/>
        <w:jc w:val="center"/>
        <w:rPr>
          <w:b/>
          <w:bCs/>
          <w:sz w:val="30"/>
          <w:szCs w:val="30"/>
        </w:rPr>
      </w:pPr>
    </w:p>
    <w:p w:rsidR="00F24504" w:rsidRPr="00F24504" w:rsidRDefault="00F24504" w:rsidP="00F24504">
      <w:pPr>
        <w:pStyle w:val="Default"/>
        <w:rPr>
          <w:sz w:val="23"/>
          <w:szCs w:val="23"/>
        </w:rPr>
      </w:pPr>
    </w:p>
    <w:p w:rsidR="00F24504" w:rsidRPr="00A1445D" w:rsidRDefault="00F24504" w:rsidP="00FB6CD2">
      <w:pPr>
        <w:pStyle w:val="Default"/>
        <w:jc w:val="center"/>
      </w:pPr>
      <w:r w:rsidRPr="00A1445D">
        <w:t>Prepared by the Australian Securities and Investments Commission</w:t>
      </w:r>
    </w:p>
    <w:p w:rsidR="00F24504" w:rsidRPr="00A1445D" w:rsidRDefault="00F24504" w:rsidP="00F24504">
      <w:pPr>
        <w:pStyle w:val="Default"/>
      </w:pPr>
    </w:p>
    <w:p w:rsidR="00F24504" w:rsidRPr="00A1445D" w:rsidRDefault="00FB6CD2" w:rsidP="00FB6CD2">
      <w:pPr>
        <w:pStyle w:val="Default"/>
        <w:jc w:val="center"/>
        <w:rPr>
          <w:i/>
        </w:rPr>
      </w:pPr>
      <w:r>
        <w:rPr>
          <w:i/>
        </w:rPr>
        <w:t>Corporations Act 2001</w:t>
      </w:r>
    </w:p>
    <w:p w:rsidR="00F24504" w:rsidRPr="00A1445D" w:rsidRDefault="00F24504" w:rsidP="00F24504">
      <w:pPr>
        <w:pStyle w:val="Default"/>
        <w:rPr>
          <w:iCs/>
        </w:rPr>
      </w:pPr>
    </w:p>
    <w:p w:rsidR="00F24504" w:rsidRPr="00A1445D" w:rsidRDefault="00F24504" w:rsidP="00F24504">
      <w:pPr>
        <w:pStyle w:val="Default"/>
      </w:pPr>
      <w:r w:rsidRPr="00A1445D">
        <w:t>The Australian Securities and Investments Commission (</w:t>
      </w:r>
      <w:r w:rsidRPr="00A1445D">
        <w:rPr>
          <w:b/>
          <w:bCs/>
          <w:i/>
          <w:iCs/>
        </w:rPr>
        <w:t>ASIC</w:t>
      </w:r>
      <w:r w:rsidRPr="00A1445D">
        <w:t>) makes Class Order [CO 13/</w:t>
      </w:r>
      <w:r w:rsidR="009D6440">
        <w:t>1420</w:t>
      </w:r>
      <w:r w:rsidRPr="00A1445D">
        <w:t xml:space="preserve">] under </w:t>
      </w:r>
      <w:r w:rsidR="00FB6CD2">
        <w:rPr>
          <w:bCs/>
        </w:rPr>
        <w:t xml:space="preserve">subsection 1020F(1) of the </w:t>
      </w:r>
      <w:r w:rsidR="00FB6CD2">
        <w:rPr>
          <w:bCs/>
          <w:i/>
        </w:rPr>
        <w:t xml:space="preserve">Corporations Act 2001 </w:t>
      </w:r>
      <w:r w:rsidRPr="00A1445D">
        <w:t xml:space="preserve">(the </w:t>
      </w:r>
      <w:r w:rsidRPr="00A1445D">
        <w:rPr>
          <w:b/>
          <w:bCs/>
          <w:i/>
          <w:iCs/>
        </w:rPr>
        <w:t>Act</w:t>
      </w:r>
      <w:r w:rsidRPr="00A1445D">
        <w:t xml:space="preserve">). </w:t>
      </w:r>
    </w:p>
    <w:p w:rsidR="00F24504" w:rsidRPr="00A1445D" w:rsidRDefault="00F24504" w:rsidP="00F24504">
      <w:pPr>
        <w:pStyle w:val="Default"/>
      </w:pPr>
    </w:p>
    <w:p w:rsidR="00F24504" w:rsidRDefault="00B3049B" w:rsidP="00F24504">
      <w:pPr>
        <w:pStyle w:val="Default"/>
      </w:pPr>
      <w:r>
        <w:t>Subsection</w:t>
      </w:r>
      <w:r w:rsidR="00F24504" w:rsidRPr="00A1445D">
        <w:t xml:space="preserve"> </w:t>
      </w:r>
      <w:proofErr w:type="gramStart"/>
      <w:r w:rsidR="00E94FF2">
        <w:rPr>
          <w:bCs/>
        </w:rPr>
        <w:t>1020F(</w:t>
      </w:r>
      <w:proofErr w:type="gramEnd"/>
      <w:r w:rsidR="00E94FF2">
        <w:rPr>
          <w:bCs/>
        </w:rPr>
        <w:t xml:space="preserve">1) of the Act </w:t>
      </w:r>
      <w:r w:rsidR="00392692">
        <w:rPr>
          <w:bCs/>
        </w:rPr>
        <w:t>provides that ASIC may exempt a class of persons from all or specified provisions of Part 7.9 of the Act</w:t>
      </w:r>
      <w:r w:rsidR="00F24504" w:rsidRPr="00A1445D">
        <w:t>.</w:t>
      </w:r>
      <w:r w:rsidR="00392692">
        <w:t xml:space="preserve"> Subsection </w:t>
      </w:r>
      <w:proofErr w:type="gramStart"/>
      <w:r w:rsidR="00392692">
        <w:t>1020F(</w:t>
      </w:r>
      <w:proofErr w:type="gramEnd"/>
      <w:r w:rsidR="00392692">
        <w:t>4) provides that an exemption may be subject to specified conditions.</w:t>
      </w:r>
      <w:r w:rsidR="00BF7FDC">
        <w:t xml:space="preserve"> A person seeking to rely on the </w:t>
      </w:r>
      <w:r>
        <w:t>exemption</w:t>
      </w:r>
      <w:r w:rsidR="00BF7FDC">
        <w:t xml:space="preserve"> must comply with </w:t>
      </w:r>
      <w:r w:rsidR="00BE39A1">
        <w:t>the</w:t>
      </w:r>
      <w:r w:rsidR="00BF7FDC">
        <w:t xml:space="preserve"> </w:t>
      </w:r>
      <w:r>
        <w:t xml:space="preserve">specified </w:t>
      </w:r>
      <w:r w:rsidR="00BF7FDC">
        <w:t>conditions.</w:t>
      </w:r>
    </w:p>
    <w:p w:rsidR="00392692" w:rsidRDefault="00392692" w:rsidP="00F24504">
      <w:pPr>
        <w:pStyle w:val="Default"/>
      </w:pPr>
    </w:p>
    <w:p w:rsidR="00F24504" w:rsidRPr="00A1445D" w:rsidRDefault="00F24504" w:rsidP="005A3A24">
      <w:pPr>
        <w:pStyle w:val="Default"/>
        <w:numPr>
          <w:ilvl w:val="0"/>
          <w:numId w:val="2"/>
        </w:numPr>
        <w:ind w:hanging="720"/>
        <w:rPr>
          <w:b/>
          <w:bCs/>
        </w:rPr>
      </w:pPr>
      <w:r w:rsidRPr="00A1445D">
        <w:rPr>
          <w:b/>
          <w:bCs/>
        </w:rPr>
        <w:t xml:space="preserve">Background </w:t>
      </w:r>
    </w:p>
    <w:p w:rsidR="00F24504" w:rsidRPr="00A1445D" w:rsidRDefault="00F24504" w:rsidP="00F24504">
      <w:pPr>
        <w:pStyle w:val="Default"/>
      </w:pPr>
    </w:p>
    <w:p w:rsidR="00165455" w:rsidRPr="008B67F0" w:rsidRDefault="00D17836" w:rsidP="00F7151A">
      <w:pPr>
        <w:pStyle w:val="Default"/>
        <w:rPr>
          <w:i/>
        </w:rPr>
      </w:pPr>
      <w:r w:rsidRPr="00D17836">
        <w:t xml:space="preserve">For the purposes of paragraph 1017D(5)(g) of the Act in relation to </w:t>
      </w:r>
      <w:r w:rsidR="00DF792B">
        <w:t xml:space="preserve">the </w:t>
      </w:r>
      <w:r w:rsidRPr="00D17836">
        <w:t xml:space="preserve">disclosure obligations </w:t>
      </w:r>
      <w:r w:rsidR="00DF792B">
        <w:t>of</w:t>
      </w:r>
      <w:r w:rsidRPr="00D17836">
        <w:t xml:space="preserve"> superannuation trustees with respect to periodic statements, </w:t>
      </w:r>
      <w:proofErr w:type="spellStart"/>
      <w:r w:rsidR="00B3049B">
        <w:t>sub</w:t>
      </w:r>
      <w:r w:rsidR="0005463F" w:rsidRPr="008B67F0">
        <w:t>reg</w:t>
      </w:r>
      <w:r w:rsidR="00C63DFC" w:rsidRPr="008B67F0">
        <w:t>ulation</w:t>
      </w:r>
      <w:proofErr w:type="spellEnd"/>
      <w:r w:rsidR="00C63DFC" w:rsidRPr="008B67F0">
        <w:t xml:space="preserve"> </w:t>
      </w:r>
      <w:r w:rsidR="0005463F" w:rsidRPr="008B67F0">
        <w:t xml:space="preserve">7.9.20(2A) </w:t>
      </w:r>
      <w:r w:rsidR="002A0B13">
        <w:t xml:space="preserve">of </w:t>
      </w:r>
      <w:r w:rsidR="0005463F" w:rsidRPr="008B67F0">
        <w:t xml:space="preserve">the </w:t>
      </w:r>
      <w:r w:rsidR="0005463F" w:rsidRPr="008B67F0">
        <w:rPr>
          <w:i/>
        </w:rPr>
        <w:t xml:space="preserve">Corporations Regulations 2001 </w:t>
      </w:r>
      <w:r w:rsidR="00162F97" w:rsidRPr="00162F97">
        <w:t xml:space="preserve">(the </w:t>
      </w:r>
      <w:r w:rsidR="00162F97" w:rsidRPr="00162F97">
        <w:rPr>
          <w:b/>
          <w:i/>
        </w:rPr>
        <w:t>Regulations</w:t>
      </w:r>
      <w:r w:rsidR="00162F97" w:rsidRPr="00162F97">
        <w:t>)</w:t>
      </w:r>
      <w:r w:rsidR="002A0B13">
        <w:rPr>
          <w:i/>
        </w:rPr>
        <w:t xml:space="preserve"> </w:t>
      </w:r>
      <w:r w:rsidR="004A7730" w:rsidRPr="004A7730">
        <w:t>introduced</w:t>
      </w:r>
      <w:r w:rsidR="000E7600">
        <w:rPr>
          <w:i/>
        </w:rPr>
        <w:t xml:space="preserve"> </w:t>
      </w:r>
      <w:r w:rsidR="0005463F" w:rsidRPr="000E7600">
        <w:t>by</w:t>
      </w:r>
      <w:r w:rsidR="0005463F" w:rsidRPr="008B67F0">
        <w:t xml:space="preserve"> </w:t>
      </w:r>
      <w:r w:rsidR="000E7600">
        <w:t xml:space="preserve">the </w:t>
      </w:r>
      <w:r w:rsidR="0005463F" w:rsidRPr="008B67F0">
        <w:rPr>
          <w:i/>
        </w:rPr>
        <w:t>Superannuation and Corporations Legislation Amendment (Low Income Superannuation Contribution) Regulation 2013</w:t>
      </w:r>
      <w:r w:rsidR="000E7600">
        <w:rPr>
          <w:i/>
        </w:rPr>
        <w:t xml:space="preserve"> </w:t>
      </w:r>
      <w:r w:rsidR="004A7730" w:rsidRPr="004A7730">
        <w:t>on 5 August 2013</w:t>
      </w:r>
      <w:r w:rsidRPr="00D17836">
        <w:rPr>
          <w:i/>
        </w:rPr>
        <w:t>.</w:t>
      </w:r>
    </w:p>
    <w:p w:rsidR="006E1FFA" w:rsidRDefault="006E1FFA" w:rsidP="00F7151A">
      <w:pPr>
        <w:pStyle w:val="Default"/>
      </w:pPr>
    </w:p>
    <w:p w:rsidR="00F24504" w:rsidRDefault="00B3049B" w:rsidP="00F7151A">
      <w:pPr>
        <w:pStyle w:val="Default"/>
      </w:pPr>
      <w:proofErr w:type="spellStart"/>
      <w:r>
        <w:t>Subr</w:t>
      </w:r>
      <w:r w:rsidR="0005463F">
        <w:t>egulation</w:t>
      </w:r>
      <w:proofErr w:type="spellEnd"/>
      <w:r w:rsidR="0005463F">
        <w:t xml:space="preserve"> 7.9.20(2A) requires that superannuation trustees must state separately in periodic statements</w:t>
      </w:r>
      <w:r w:rsidR="00727185">
        <w:t xml:space="preserve"> given to its members</w:t>
      </w:r>
      <w:r w:rsidR="0005463F">
        <w:t>:</w:t>
      </w:r>
    </w:p>
    <w:p w:rsidR="0005463F" w:rsidRDefault="0005463F" w:rsidP="00F24504">
      <w:pPr>
        <w:pStyle w:val="Default"/>
      </w:pPr>
    </w:p>
    <w:p w:rsidR="0005463F" w:rsidRDefault="0005463F" w:rsidP="0005463F">
      <w:pPr>
        <w:pStyle w:val="Default"/>
        <w:numPr>
          <w:ilvl w:val="0"/>
          <w:numId w:val="27"/>
        </w:numPr>
      </w:pPr>
      <w:r>
        <w:t>the amount of Government co-contributions received</w:t>
      </w:r>
      <w:r w:rsidR="00DF792B">
        <w:t>;</w:t>
      </w:r>
      <w:r>
        <w:t xml:space="preserve"> and</w:t>
      </w:r>
    </w:p>
    <w:p w:rsidR="0005463F" w:rsidRPr="00A1445D" w:rsidRDefault="0005463F" w:rsidP="0005463F">
      <w:pPr>
        <w:pStyle w:val="Default"/>
        <w:numPr>
          <w:ilvl w:val="0"/>
          <w:numId w:val="27"/>
        </w:numPr>
      </w:pPr>
      <w:proofErr w:type="gramStart"/>
      <w:r>
        <w:t>the</w:t>
      </w:r>
      <w:proofErr w:type="gramEnd"/>
      <w:r>
        <w:t xml:space="preserve"> amount of low income superannuation contributions received.</w:t>
      </w:r>
    </w:p>
    <w:p w:rsidR="00F24504" w:rsidRDefault="00F24504" w:rsidP="00F24504">
      <w:pPr>
        <w:pStyle w:val="Default"/>
      </w:pPr>
    </w:p>
    <w:p w:rsidR="006E1FFA" w:rsidRPr="00165455" w:rsidRDefault="00D17836" w:rsidP="00B3049B">
      <w:pPr>
        <w:pStyle w:val="Default"/>
        <w:ind w:left="567" w:hanging="567"/>
        <w:rPr>
          <w:sz w:val="18"/>
          <w:szCs w:val="18"/>
        </w:rPr>
      </w:pPr>
      <w:r w:rsidRPr="00D17836">
        <w:rPr>
          <w:sz w:val="18"/>
          <w:szCs w:val="18"/>
        </w:rPr>
        <w:t>Note:</w:t>
      </w:r>
      <w:r w:rsidR="00B3049B">
        <w:rPr>
          <w:sz w:val="18"/>
          <w:szCs w:val="18"/>
        </w:rPr>
        <w:tab/>
      </w:r>
      <w:r w:rsidR="00165455">
        <w:rPr>
          <w:sz w:val="18"/>
          <w:szCs w:val="18"/>
        </w:rPr>
        <w:t xml:space="preserve"> L</w:t>
      </w:r>
      <w:r w:rsidRPr="00D17836">
        <w:rPr>
          <w:sz w:val="18"/>
          <w:szCs w:val="18"/>
        </w:rPr>
        <w:t>ow income superannuation contributions (</w:t>
      </w:r>
      <w:r w:rsidRPr="00D17836">
        <w:rPr>
          <w:b/>
          <w:i/>
          <w:sz w:val="18"/>
          <w:szCs w:val="18"/>
        </w:rPr>
        <w:t>LISC</w:t>
      </w:r>
      <w:r w:rsidRPr="00D17836">
        <w:rPr>
          <w:sz w:val="18"/>
          <w:szCs w:val="18"/>
        </w:rPr>
        <w:t xml:space="preserve">) is a government co-contribution payment made towards the superannuation of low income earners, as set out in the </w:t>
      </w:r>
      <w:r w:rsidRPr="00D17836">
        <w:rPr>
          <w:i/>
          <w:sz w:val="18"/>
          <w:szCs w:val="18"/>
        </w:rPr>
        <w:t>Superannuation (Government Co-contribution for Low Income Earners) Act 2003</w:t>
      </w:r>
      <w:r w:rsidRPr="00D17836">
        <w:rPr>
          <w:sz w:val="18"/>
          <w:szCs w:val="18"/>
        </w:rPr>
        <w:t>.</w:t>
      </w:r>
    </w:p>
    <w:p w:rsidR="006E1FFA" w:rsidRPr="00A1445D" w:rsidRDefault="006E1FFA" w:rsidP="00F24504">
      <w:pPr>
        <w:pStyle w:val="Default"/>
      </w:pPr>
    </w:p>
    <w:p w:rsidR="00606433" w:rsidRDefault="00606433" w:rsidP="00F24504">
      <w:pPr>
        <w:pStyle w:val="Default"/>
      </w:pPr>
      <w:r>
        <w:t xml:space="preserve">Superannuation trustees must comply with this requirement in periodic statements (which must be sent </w:t>
      </w:r>
      <w:r w:rsidR="00230480">
        <w:t xml:space="preserve">to members </w:t>
      </w:r>
      <w:r>
        <w:t>at least annually), and in exit statements when a member leaves the fund.</w:t>
      </w:r>
    </w:p>
    <w:p w:rsidR="00606433" w:rsidRDefault="00606433" w:rsidP="00F24504">
      <w:pPr>
        <w:pStyle w:val="Default"/>
      </w:pPr>
    </w:p>
    <w:p w:rsidR="009D6440" w:rsidRDefault="005071F0" w:rsidP="00F24504">
      <w:pPr>
        <w:pStyle w:val="Default"/>
      </w:pPr>
      <w:r>
        <w:t>On 24 October 2013, t</w:t>
      </w:r>
      <w:r w:rsidR="00F24504" w:rsidRPr="00A1445D">
        <w:t>he Government</w:t>
      </w:r>
      <w:r w:rsidR="00894FE3">
        <w:t xml:space="preserve"> released </w:t>
      </w:r>
      <w:r w:rsidR="00894FE3" w:rsidRPr="00894FE3">
        <w:t xml:space="preserve">an exposure draft of the </w:t>
      </w:r>
      <w:r w:rsidR="00D17836" w:rsidRPr="00D17836">
        <w:rPr>
          <w:i/>
        </w:rPr>
        <w:t>Minerals Resources Tax Repeal and Other Measures Bill 2013</w:t>
      </w:r>
      <w:r w:rsidR="00606433">
        <w:t xml:space="preserve"> (the </w:t>
      </w:r>
      <w:r w:rsidR="00606433" w:rsidRPr="009D6440">
        <w:rPr>
          <w:b/>
          <w:i/>
        </w:rPr>
        <w:t>Bill</w:t>
      </w:r>
      <w:r w:rsidR="00606433">
        <w:t>)</w:t>
      </w:r>
      <w:r w:rsidR="00894FE3" w:rsidRPr="00F93BF3">
        <w:t xml:space="preserve">. </w:t>
      </w:r>
      <w:r w:rsidR="00F93BF3">
        <w:t xml:space="preserve">The Bill proposes to abolish </w:t>
      </w:r>
      <w:r w:rsidR="00480CA9">
        <w:t>the payment</w:t>
      </w:r>
      <w:r w:rsidR="00606433">
        <w:t xml:space="preserve"> of</w:t>
      </w:r>
      <w:r w:rsidR="00480CA9">
        <w:t xml:space="preserve"> </w:t>
      </w:r>
      <w:r w:rsidR="009D6440">
        <w:t>LISC</w:t>
      </w:r>
      <w:r w:rsidR="00F93BF3">
        <w:t xml:space="preserve"> for all financial years starting on or after 1 July 2014. In the event that the Bill is</w:t>
      </w:r>
      <w:r w:rsidR="00AE4354">
        <w:t xml:space="preserve"> introduced and</w:t>
      </w:r>
      <w:r w:rsidR="00F93BF3">
        <w:t xml:space="preserve"> passed, </w:t>
      </w:r>
      <w:r w:rsidR="009D6440">
        <w:t>LISC</w:t>
      </w:r>
      <w:r w:rsidR="00480CA9">
        <w:t xml:space="preserve"> will only be paid in relation to the 2012</w:t>
      </w:r>
      <w:r w:rsidR="00FD330D">
        <w:t>–</w:t>
      </w:r>
      <w:r w:rsidR="00480CA9">
        <w:t xml:space="preserve">13 financial </w:t>
      </w:r>
      <w:proofErr w:type="gramStart"/>
      <w:r w:rsidR="00480CA9">
        <w:t>year</w:t>
      </w:r>
      <w:proofErr w:type="gramEnd"/>
      <w:r w:rsidR="00480CA9">
        <w:t>.</w:t>
      </w:r>
      <w:r w:rsidR="00E7756B">
        <w:t xml:space="preserve"> </w:t>
      </w:r>
    </w:p>
    <w:p w:rsidR="00E7756B" w:rsidRDefault="00E7756B" w:rsidP="00F24504">
      <w:pPr>
        <w:pStyle w:val="Default"/>
      </w:pPr>
    </w:p>
    <w:p w:rsidR="00727185" w:rsidRDefault="00B3049B" w:rsidP="00F24504">
      <w:pPr>
        <w:pStyle w:val="Default"/>
      </w:pPr>
      <w:r>
        <w:t xml:space="preserve">In </w:t>
      </w:r>
      <w:r w:rsidR="00606433">
        <w:t xml:space="preserve">order to comply with </w:t>
      </w:r>
      <w:r>
        <w:t>sub</w:t>
      </w:r>
      <w:r w:rsidR="00606433">
        <w:t>reg</w:t>
      </w:r>
      <w:r w:rsidR="00C63DFC">
        <w:t xml:space="preserve">ulation </w:t>
      </w:r>
      <w:r w:rsidR="00E7756B">
        <w:t xml:space="preserve">7.9.20(2A), superannuation trustees will need to implement systems changes, which will have both cost and timing implications. In the event that the Bill is </w:t>
      </w:r>
      <w:r w:rsidR="00AE4354">
        <w:t xml:space="preserve">introduced and </w:t>
      </w:r>
      <w:r w:rsidR="00E7756B">
        <w:t>passed</w:t>
      </w:r>
      <w:r w:rsidR="00E7756B" w:rsidRPr="000E7600">
        <w:t xml:space="preserve">, </w:t>
      </w:r>
      <w:r w:rsidR="000E7600">
        <w:t>any</w:t>
      </w:r>
      <w:r w:rsidR="00E7756B" w:rsidRPr="000E7600">
        <w:t xml:space="preserve"> </w:t>
      </w:r>
      <w:r w:rsidR="005071F0" w:rsidRPr="000E7600">
        <w:t xml:space="preserve">significant costs applied </w:t>
      </w:r>
      <w:r w:rsidR="000E7600">
        <w:t xml:space="preserve">to ensure </w:t>
      </w:r>
      <w:r w:rsidR="005071F0" w:rsidRPr="000E7600">
        <w:t xml:space="preserve">compliance </w:t>
      </w:r>
      <w:r w:rsidR="00E7756B" w:rsidRPr="000E7600">
        <w:t>will</w:t>
      </w:r>
      <w:r w:rsidR="000E7600">
        <w:t xml:space="preserve"> be incurred unnecessarily</w:t>
      </w:r>
      <w:r w:rsidR="00E7756B">
        <w:t>.</w:t>
      </w:r>
    </w:p>
    <w:p w:rsidR="005B340C" w:rsidRDefault="005B340C" w:rsidP="00F24504">
      <w:pPr>
        <w:pStyle w:val="Default"/>
      </w:pPr>
    </w:p>
    <w:p w:rsidR="005B340C" w:rsidRPr="00A1445D" w:rsidRDefault="005B340C" w:rsidP="00F24504">
      <w:pPr>
        <w:pStyle w:val="Default"/>
      </w:pPr>
      <w:r>
        <w:lastRenderedPageBreak/>
        <w:t xml:space="preserve">If the Bill is not passed, the class order will allow industry time to implement the necessary changes to comply with </w:t>
      </w:r>
      <w:proofErr w:type="spellStart"/>
      <w:r>
        <w:t>subregulation</w:t>
      </w:r>
      <w:proofErr w:type="spellEnd"/>
      <w:r>
        <w:t xml:space="preserve"> 7.9.20(2A).</w:t>
      </w:r>
    </w:p>
    <w:p w:rsidR="00F24504" w:rsidRPr="00A1445D" w:rsidRDefault="00F24504" w:rsidP="00F24504">
      <w:pPr>
        <w:pStyle w:val="Default"/>
        <w:rPr>
          <w:b/>
          <w:bCs/>
        </w:rPr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Purpose of the class order </w:t>
      </w:r>
    </w:p>
    <w:p w:rsidR="00F24504" w:rsidRPr="00A1445D" w:rsidRDefault="00F24504" w:rsidP="00F24504">
      <w:pPr>
        <w:pStyle w:val="Default"/>
      </w:pPr>
    </w:p>
    <w:p w:rsidR="00F24504" w:rsidRDefault="00F24504" w:rsidP="00F24504">
      <w:pPr>
        <w:pStyle w:val="Default"/>
      </w:pPr>
      <w:r w:rsidRPr="00A1445D">
        <w:t xml:space="preserve">The purpose of the class order is </w:t>
      </w:r>
      <w:r w:rsidR="000E7600">
        <w:t xml:space="preserve">to </w:t>
      </w:r>
      <w:r w:rsidR="00606433">
        <w:t xml:space="preserve">provide interim relief from </w:t>
      </w:r>
      <w:r w:rsidR="000E7600">
        <w:t xml:space="preserve">strict </w:t>
      </w:r>
      <w:r w:rsidR="00606433">
        <w:t xml:space="preserve">compliance with </w:t>
      </w:r>
      <w:proofErr w:type="spellStart"/>
      <w:r w:rsidR="000E7600">
        <w:t>sub</w:t>
      </w:r>
      <w:r w:rsidR="00606433">
        <w:t>reg</w:t>
      </w:r>
      <w:r w:rsidR="00C63DFC">
        <w:t>ulation</w:t>
      </w:r>
      <w:proofErr w:type="spellEnd"/>
      <w:r w:rsidR="00C63DFC">
        <w:t xml:space="preserve"> </w:t>
      </w:r>
      <w:r w:rsidR="00606433">
        <w:t>7.9.20(2A)</w:t>
      </w:r>
      <w:r w:rsidR="00C63DFC">
        <w:t xml:space="preserve">. The class order </w:t>
      </w:r>
      <w:r w:rsidR="005071F0">
        <w:t>seeks to</w:t>
      </w:r>
      <w:r w:rsidR="00C63DFC">
        <w:t>:</w:t>
      </w:r>
    </w:p>
    <w:p w:rsidR="00C63DFC" w:rsidRDefault="00C63DFC" w:rsidP="00F24504">
      <w:pPr>
        <w:pStyle w:val="Default"/>
      </w:pPr>
    </w:p>
    <w:p w:rsidR="00C63DFC" w:rsidRPr="00C63DFC" w:rsidRDefault="00C63DFC" w:rsidP="00C63DFC">
      <w:pPr>
        <w:pStyle w:val="Default"/>
        <w:numPr>
          <w:ilvl w:val="0"/>
          <w:numId w:val="28"/>
        </w:numPr>
      </w:pPr>
      <w:r w:rsidRPr="00C63DFC">
        <w:t>facilitate business given the sho</w:t>
      </w:r>
      <w:r>
        <w:t>rt length of time within which superannuation trustees</w:t>
      </w:r>
      <w:r w:rsidRPr="00C63DFC">
        <w:t xml:space="preserve"> have had to build, test and implement </w:t>
      </w:r>
      <w:r>
        <w:t>systems</w:t>
      </w:r>
      <w:r w:rsidRPr="00C63DFC">
        <w:t xml:space="preserve"> changes</w:t>
      </w:r>
      <w:r>
        <w:t xml:space="preserve"> necessary to comply</w:t>
      </w:r>
      <w:r w:rsidR="00510FC8">
        <w:t>;</w:t>
      </w:r>
      <w:r w:rsidR="00510FC8">
        <w:br/>
      </w:r>
    </w:p>
    <w:p w:rsidR="00C63DFC" w:rsidRPr="00C63DFC" w:rsidRDefault="00C63DFC" w:rsidP="00C63DFC">
      <w:pPr>
        <w:pStyle w:val="Default"/>
        <w:numPr>
          <w:ilvl w:val="0"/>
          <w:numId w:val="28"/>
        </w:numPr>
      </w:pPr>
      <w:r w:rsidRPr="00C63DFC">
        <w:t xml:space="preserve">mitigate costs involved with </w:t>
      </w:r>
      <w:r>
        <w:t xml:space="preserve">systems changes and </w:t>
      </w:r>
      <w:r w:rsidRPr="00C63DFC">
        <w:t>with managing operational risk arising out of complying with the new obli</w:t>
      </w:r>
      <w:r>
        <w:t>gation in a short timeframe</w:t>
      </w:r>
      <w:r w:rsidR="00510FC8">
        <w:t>; and</w:t>
      </w:r>
      <w:r w:rsidR="00510FC8">
        <w:br/>
      </w:r>
    </w:p>
    <w:p w:rsidR="00C63DFC" w:rsidRPr="00C63DFC" w:rsidRDefault="00C63DFC" w:rsidP="00C63DFC">
      <w:pPr>
        <w:pStyle w:val="Default"/>
        <w:numPr>
          <w:ilvl w:val="0"/>
          <w:numId w:val="28"/>
        </w:numPr>
      </w:pPr>
      <w:proofErr w:type="gramStart"/>
      <w:r w:rsidRPr="00C63DFC">
        <w:t>provide</w:t>
      </w:r>
      <w:proofErr w:type="gramEnd"/>
      <w:r w:rsidRPr="00C63DFC">
        <w:t xml:space="preserve"> certainty to industry pending the </w:t>
      </w:r>
      <w:r w:rsidR="00AE4354">
        <w:t xml:space="preserve">outcome </w:t>
      </w:r>
      <w:r>
        <w:t>of the Bill</w:t>
      </w:r>
      <w:r w:rsidRPr="00C63DFC">
        <w:t>.</w:t>
      </w:r>
    </w:p>
    <w:p w:rsidR="00F24504" w:rsidRPr="00A1445D" w:rsidRDefault="00F24504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Operation of the class order </w:t>
      </w:r>
    </w:p>
    <w:p w:rsidR="00F24504" w:rsidRPr="00A1445D" w:rsidRDefault="00F24504" w:rsidP="00F24504">
      <w:pPr>
        <w:pStyle w:val="Default"/>
      </w:pPr>
    </w:p>
    <w:p w:rsidR="00F24504" w:rsidRDefault="00F24504" w:rsidP="00C63DFC">
      <w:pPr>
        <w:pStyle w:val="Default"/>
      </w:pPr>
      <w:r w:rsidRPr="00A1445D">
        <w:t xml:space="preserve">The class order </w:t>
      </w:r>
      <w:r w:rsidR="005071F0">
        <w:t>exempts a</w:t>
      </w:r>
      <w:r w:rsidR="00C63DFC">
        <w:t xml:space="preserve"> trustee of a regulated superannuation fund from section 1017D of the Act to </w:t>
      </w:r>
      <w:r w:rsidR="00727185">
        <w:t xml:space="preserve">the extent that section requires the trustee to provide a periodic statement to its members that includes the separate reporting of </w:t>
      </w:r>
      <w:r w:rsidR="009D6440">
        <w:t>LISC</w:t>
      </w:r>
      <w:r w:rsidR="00727185">
        <w:t xml:space="preserve">. </w:t>
      </w:r>
    </w:p>
    <w:p w:rsidR="009D6440" w:rsidRDefault="009D6440" w:rsidP="009D6440">
      <w:pPr>
        <w:pStyle w:val="Default"/>
      </w:pPr>
    </w:p>
    <w:p w:rsidR="00510FC8" w:rsidRPr="00510FC8" w:rsidRDefault="00302C13" w:rsidP="00510FC8">
      <w:pPr>
        <w:pStyle w:val="Default"/>
      </w:pPr>
      <w:r>
        <w:t xml:space="preserve">The class order </w:t>
      </w:r>
      <w:r w:rsidR="00510FC8">
        <w:t>requires a trustee to comply with one of two alternative conditions. The class order imposes two alternative conditions</w:t>
      </w:r>
      <w:r>
        <w:t xml:space="preserve"> </w:t>
      </w:r>
      <w:r w:rsidR="00523842">
        <w:t xml:space="preserve">to accommodate the varying systems capabilities across the industry. </w:t>
      </w:r>
    </w:p>
    <w:p w:rsidR="00A55291" w:rsidRDefault="00A55291" w:rsidP="009D6440">
      <w:pPr>
        <w:pStyle w:val="Default"/>
      </w:pPr>
    </w:p>
    <w:p w:rsidR="00757984" w:rsidRPr="00757984" w:rsidRDefault="00D17836" w:rsidP="009D6440">
      <w:pPr>
        <w:pStyle w:val="Default"/>
        <w:rPr>
          <w:i/>
        </w:rPr>
      </w:pPr>
      <w:r w:rsidRPr="00D17836">
        <w:rPr>
          <w:i/>
        </w:rPr>
        <w:t xml:space="preserve">First </w:t>
      </w:r>
      <w:r w:rsidR="00510FC8">
        <w:rPr>
          <w:i/>
        </w:rPr>
        <w:t xml:space="preserve">alternative </w:t>
      </w:r>
      <w:r w:rsidRPr="00D17836">
        <w:rPr>
          <w:i/>
        </w:rPr>
        <w:t>condition</w:t>
      </w:r>
      <w:r w:rsidR="00510FC8">
        <w:rPr>
          <w:i/>
        </w:rPr>
        <w:br/>
      </w:r>
    </w:p>
    <w:p w:rsidR="009D6440" w:rsidRDefault="009D6440" w:rsidP="009D6440">
      <w:pPr>
        <w:pStyle w:val="Default"/>
      </w:pPr>
      <w:r>
        <w:t xml:space="preserve">Under the first </w:t>
      </w:r>
      <w:r w:rsidR="00510FC8">
        <w:t xml:space="preserve">alternative </w:t>
      </w:r>
      <w:r>
        <w:t xml:space="preserve">condition, the trustee must include in the periodic statement, the </w:t>
      </w:r>
      <w:r w:rsidR="000329BF">
        <w:t>total</w:t>
      </w:r>
      <w:r>
        <w:t xml:space="preserve"> amount of </w:t>
      </w:r>
      <w:r w:rsidR="00183641">
        <w:t xml:space="preserve">both the </w:t>
      </w:r>
      <w:r>
        <w:t xml:space="preserve">Government co-contribution and LISC received during the reporting period for the periodic statement. The trustee must refer to the </w:t>
      </w:r>
      <w:r w:rsidR="000329BF">
        <w:t>total</w:t>
      </w:r>
      <w:r w:rsidR="000329BF">
        <w:t xml:space="preserve"> </w:t>
      </w:r>
      <w:r>
        <w:t xml:space="preserve">amount as </w:t>
      </w:r>
      <w:r w:rsidR="00510FC8">
        <w:t>“</w:t>
      </w:r>
      <w:r>
        <w:t>Government contribution</w:t>
      </w:r>
      <w:r w:rsidR="00510FC8">
        <w:t>”</w:t>
      </w:r>
      <w:r>
        <w:t xml:space="preserve"> in the periodic statement.</w:t>
      </w:r>
      <w:r w:rsidR="00B86497">
        <w:t xml:space="preserve"> </w:t>
      </w:r>
    </w:p>
    <w:p w:rsidR="00A55291" w:rsidRDefault="00A55291" w:rsidP="009D6440">
      <w:pPr>
        <w:pStyle w:val="Default"/>
      </w:pPr>
    </w:p>
    <w:p w:rsidR="00757984" w:rsidRPr="00180D94" w:rsidRDefault="00D17836" w:rsidP="009D6440">
      <w:pPr>
        <w:pStyle w:val="Default"/>
        <w:rPr>
          <w:i/>
        </w:rPr>
      </w:pPr>
      <w:r w:rsidRPr="00D17836">
        <w:rPr>
          <w:i/>
        </w:rPr>
        <w:t xml:space="preserve">Second </w:t>
      </w:r>
      <w:r w:rsidR="00510FC8">
        <w:rPr>
          <w:i/>
        </w:rPr>
        <w:t xml:space="preserve">alternative </w:t>
      </w:r>
      <w:r w:rsidRPr="00D17836">
        <w:rPr>
          <w:i/>
        </w:rPr>
        <w:t>condition</w:t>
      </w:r>
      <w:r w:rsidR="00510FC8">
        <w:rPr>
          <w:i/>
        </w:rPr>
        <w:br/>
      </w:r>
    </w:p>
    <w:p w:rsidR="00B86497" w:rsidRDefault="00B86497" w:rsidP="009D6440">
      <w:pPr>
        <w:pStyle w:val="Default"/>
      </w:pPr>
      <w:r>
        <w:t xml:space="preserve">Under the second </w:t>
      </w:r>
      <w:r w:rsidR="00510FC8">
        <w:t xml:space="preserve">alternative </w:t>
      </w:r>
      <w:r>
        <w:t>condition, the trustee must include in the periodic statement, the</w:t>
      </w:r>
      <w:r w:rsidR="000329BF">
        <w:t xml:space="preserve"> total</w:t>
      </w:r>
      <w:r>
        <w:t xml:space="preserve"> amount of </w:t>
      </w:r>
      <w:r w:rsidR="00183641">
        <w:t xml:space="preserve">both the </w:t>
      </w:r>
      <w:r>
        <w:t xml:space="preserve">Government co-contribution and LISC received during the reporting period for the periodic statement. The trustee must refer to the </w:t>
      </w:r>
      <w:r w:rsidR="000329BF">
        <w:t>total</w:t>
      </w:r>
      <w:r w:rsidR="000329BF">
        <w:t xml:space="preserve"> </w:t>
      </w:r>
      <w:r>
        <w:t xml:space="preserve">amount as </w:t>
      </w:r>
      <w:r w:rsidR="00510FC8">
        <w:t>“</w:t>
      </w:r>
      <w:r>
        <w:t>Co-contribution</w:t>
      </w:r>
      <w:r w:rsidR="00510FC8">
        <w:t>”</w:t>
      </w:r>
      <w:r>
        <w:t xml:space="preserve"> in the periodic statement. </w:t>
      </w:r>
    </w:p>
    <w:p w:rsidR="00FD330D" w:rsidRDefault="00FD330D" w:rsidP="009D6440">
      <w:pPr>
        <w:pStyle w:val="Default"/>
      </w:pPr>
    </w:p>
    <w:p w:rsidR="00FD330D" w:rsidRPr="00FD330D" w:rsidRDefault="00FD330D" w:rsidP="00FD330D">
      <w:pPr>
        <w:pStyle w:val="Default"/>
      </w:pPr>
      <w:r>
        <w:t xml:space="preserve">Both </w:t>
      </w:r>
      <w:r w:rsidR="00510FC8">
        <w:t xml:space="preserve">alternative </w:t>
      </w:r>
      <w:r w:rsidRPr="00FD330D">
        <w:t>condition</w:t>
      </w:r>
      <w:r>
        <w:t>s</w:t>
      </w:r>
      <w:r w:rsidRPr="00FD330D">
        <w:t xml:space="preserve"> </w:t>
      </w:r>
      <w:r>
        <w:t>require</w:t>
      </w:r>
      <w:r w:rsidRPr="00FD330D">
        <w:t xml:space="preserve"> that certain statements are made either in</w:t>
      </w:r>
      <w:r w:rsidR="00A55291">
        <w:t xml:space="preserve"> the</w:t>
      </w:r>
      <w:r w:rsidRPr="00FD330D">
        <w:t xml:space="preserve"> periodic statement or in a document accompanying the periodic statement. The statements required will: </w:t>
      </w:r>
    </w:p>
    <w:p w:rsidR="00FD330D" w:rsidRPr="00FD330D" w:rsidRDefault="00FD330D" w:rsidP="00FD330D">
      <w:pPr>
        <w:pStyle w:val="Default"/>
      </w:pPr>
    </w:p>
    <w:p w:rsidR="00FD330D" w:rsidRPr="00FD330D" w:rsidRDefault="00FD330D" w:rsidP="00FD330D">
      <w:pPr>
        <w:pStyle w:val="Default"/>
        <w:numPr>
          <w:ilvl w:val="0"/>
          <w:numId w:val="31"/>
        </w:numPr>
      </w:pPr>
      <w:r w:rsidRPr="00FD330D">
        <w:t xml:space="preserve">clarify that </w:t>
      </w:r>
      <w:r>
        <w:t>either</w:t>
      </w:r>
      <w:r w:rsidR="00230480">
        <w:t xml:space="preserve"> the</w:t>
      </w:r>
      <w:r>
        <w:t xml:space="preserve"> </w:t>
      </w:r>
      <w:r w:rsidR="00510FC8">
        <w:t>“</w:t>
      </w:r>
      <w:r w:rsidRPr="00FD330D">
        <w:t>Government contribution</w:t>
      </w:r>
      <w:r w:rsidR="00510FC8">
        <w:t>”</w:t>
      </w:r>
      <w:r>
        <w:t xml:space="preserve"> or </w:t>
      </w:r>
      <w:r w:rsidR="00510FC8">
        <w:t>“</w:t>
      </w:r>
      <w:r>
        <w:t>Co-contribution</w:t>
      </w:r>
      <w:r w:rsidR="00510FC8">
        <w:t>”</w:t>
      </w:r>
      <w:r>
        <w:t xml:space="preserve">, depending on which </w:t>
      </w:r>
      <w:r w:rsidR="00510FC8">
        <w:t xml:space="preserve">alternative </w:t>
      </w:r>
      <w:r>
        <w:t>condition is complied with,</w:t>
      </w:r>
      <w:r w:rsidRPr="00FD330D">
        <w:t xml:space="preserve"> is </w:t>
      </w:r>
      <w:r w:rsidR="000329BF">
        <w:t>the total</w:t>
      </w:r>
      <w:r w:rsidRPr="00FD330D">
        <w:t xml:space="preserve"> of the amounts of Government co-contributions and LISC received during the reporting period</w:t>
      </w:r>
      <w:r w:rsidR="00510FC8">
        <w:t>;</w:t>
      </w:r>
      <w:r w:rsidR="00510FC8">
        <w:br/>
      </w:r>
    </w:p>
    <w:p w:rsidR="00FD330D" w:rsidRPr="00FD330D" w:rsidRDefault="00FD330D" w:rsidP="00FD330D">
      <w:pPr>
        <w:pStyle w:val="Default"/>
        <w:numPr>
          <w:ilvl w:val="0"/>
          <w:numId w:val="31"/>
        </w:numPr>
      </w:pPr>
      <w:r w:rsidRPr="00FD330D">
        <w:lastRenderedPageBreak/>
        <w:t>notify the member that they are able to request a breakdown of their Government co-contribution</w:t>
      </w:r>
      <w:r w:rsidR="000E7600">
        <w:t>s</w:t>
      </w:r>
      <w:r w:rsidRPr="00FD330D">
        <w:t xml:space="preserve"> and LISC</w:t>
      </w:r>
      <w:r w:rsidR="00510FC8">
        <w:t>; and</w:t>
      </w:r>
      <w:r w:rsidR="00510FC8">
        <w:br/>
      </w:r>
    </w:p>
    <w:p w:rsidR="00FD330D" w:rsidRPr="00FD330D" w:rsidRDefault="00FD330D" w:rsidP="00FD330D">
      <w:pPr>
        <w:pStyle w:val="Default"/>
        <w:numPr>
          <w:ilvl w:val="0"/>
          <w:numId w:val="31"/>
        </w:numPr>
      </w:pPr>
      <w:proofErr w:type="gramStart"/>
      <w:r w:rsidRPr="00FD330D">
        <w:t>confirm</w:t>
      </w:r>
      <w:proofErr w:type="gramEnd"/>
      <w:r w:rsidRPr="00FD330D">
        <w:t xml:space="preserve"> the telephone number </w:t>
      </w:r>
      <w:r w:rsidR="00230480">
        <w:t xml:space="preserve">that members may call to make </w:t>
      </w:r>
      <w:r w:rsidRPr="00FD330D">
        <w:t xml:space="preserve">the request, either free of charge or for no more than the cost of a local call. </w:t>
      </w:r>
    </w:p>
    <w:p w:rsidR="00B86497" w:rsidRDefault="00B86497" w:rsidP="009D6440">
      <w:pPr>
        <w:pStyle w:val="Default"/>
      </w:pPr>
    </w:p>
    <w:p w:rsidR="00FD330D" w:rsidRDefault="00A55291" w:rsidP="00FD330D">
      <w:pPr>
        <w:pStyle w:val="Default"/>
      </w:pPr>
      <w:r>
        <w:t>All the statements should be made in close proximity to each other</w:t>
      </w:r>
      <w:r w:rsidR="00523842">
        <w:t xml:space="preserve"> to </w:t>
      </w:r>
      <w:r w:rsidR="00BF72D9">
        <w:t>avoid causing confusion for the member</w:t>
      </w:r>
      <w:r w:rsidR="00AD252C">
        <w:t xml:space="preserve">, as might occur if the information were fragmented in various different locations across one or two documents. In a practical sense, this means </w:t>
      </w:r>
      <w:r w:rsidR="00BF72D9">
        <w:t xml:space="preserve">that this </w:t>
      </w:r>
      <w:r w:rsidR="00AD252C">
        <w:t>information can be presented to the member in one or two sentences in a single location.</w:t>
      </w:r>
    </w:p>
    <w:p w:rsidR="00FD330D" w:rsidRDefault="00FD330D" w:rsidP="00FD330D">
      <w:pPr>
        <w:pStyle w:val="Default"/>
        <w:rPr>
          <w:i/>
        </w:rPr>
      </w:pPr>
    </w:p>
    <w:p w:rsidR="00757984" w:rsidRDefault="00757984" w:rsidP="00FD330D">
      <w:pPr>
        <w:pStyle w:val="Default"/>
        <w:rPr>
          <w:i/>
        </w:rPr>
      </w:pPr>
      <w:r>
        <w:rPr>
          <w:i/>
        </w:rPr>
        <w:t xml:space="preserve">Differences between first </w:t>
      </w:r>
      <w:r w:rsidR="0086582A">
        <w:rPr>
          <w:i/>
        </w:rPr>
        <w:t xml:space="preserve">alternative </w:t>
      </w:r>
      <w:r>
        <w:rPr>
          <w:i/>
        </w:rPr>
        <w:t xml:space="preserve">condition and second </w:t>
      </w:r>
      <w:r w:rsidR="0086582A">
        <w:rPr>
          <w:i/>
        </w:rPr>
        <w:t xml:space="preserve">alternative </w:t>
      </w:r>
      <w:r>
        <w:rPr>
          <w:i/>
        </w:rPr>
        <w:t>condition</w:t>
      </w:r>
    </w:p>
    <w:p w:rsidR="002F652B" w:rsidRDefault="00510FC8">
      <w:pPr>
        <w:pStyle w:val="Default"/>
      </w:pPr>
      <w:r>
        <w:br/>
      </w:r>
      <w:r w:rsidR="008876F5" w:rsidRPr="008876F5">
        <w:t xml:space="preserve">There are two differences in relation to the requirements of the first </w:t>
      </w:r>
      <w:r w:rsidR="008876F5">
        <w:t xml:space="preserve">alternative </w:t>
      </w:r>
      <w:r w:rsidR="008876F5" w:rsidRPr="008876F5">
        <w:t xml:space="preserve">condition and the second </w:t>
      </w:r>
      <w:r w:rsidR="008876F5">
        <w:t xml:space="preserve">alternative </w:t>
      </w:r>
      <w:r w:rsidR="008876F5" w:rsidRPr="008876F5">
        <w:t>condition.  The first difference</w:t>
      </w:r>
      <w:r w:rsidR="008876F5">
        <w:t xml:space="preserve"> </w:t>
      </w:r>
      <w:r w:rsidR="000E7600">
        <w:t xml:space="preserve">is </w:t>
      </w:r>
      <w:r w:rsidR="008876F5" w:rsidRPr="008876F5">
        <w:t xml:space="preserve">the title of the line item in the periodic statement for reporting the </w:t>
      </w:r>
      <w:r w:rsidR="000329BF">
        <w:t>total</w:t>
      </w:r>
      <w:r w:rsidR="000329BF" w:rsidRPr="008876F5">
        <w:t xml:space="preserve"> </w:t>
      </w:r>
      <w:r w:rsidR="008876F5" w:rsidRPr="008876F5">
        <w:t>amount of the co-contribution and LISC payments</w:t>
      </w:r>
      <w:r w:rsidR="000E7600">
        <w:t>.</w:t>
      </w:r>
      <w:r w:rsidR="008876F5" w:rsidRPr="008876F5">
        <w:t xml:space="preserve"> </w:t>
      </w:r>
      <w:r w:rsidR="000E7600">
        <w:t>U</w:t>
      </w:r>
      <w:r w:rsidR="008876F5" w:rsidRPr="008876F5">
        <w:t xml:space="preserve">nder the first </w:t>
      </w:r>
      <w:r w:rsidR="008876F5">
        <w:t xml:space="preserve">alternative </w:t>
      </w:r>
      <w:r w:rsidR="008876F5" w:rsidRPr="008876F5">
        <w:t xml:space="preserve">condition, it is titled "Government contribution," whereas under the second </w:t>
      </w:r>
      <w:r w:rsidR="008876F5">
        <w:t xml:space="preserve">alternative </w:t>
      </w:r>
      <w:r w:rsidR="008876F5" w:rsidRPr="008876F5">
        <w:t xml:space="preserve">condition it is titled "Co-contribution". The second difference is that the second </w:t>
      </w:r>
      <w:r w:rsidR="008876F5">
        <w:t xml:space="preserve">alternative </w:t>
      </w:r>
      <w:r w:rsidR="008876F5" w:rsidRPr="008876F5">
        <w:t xml:space="preserve">condition requires a higher standard of disclosure—that </w:t>
      </w:r>
      <w:r w:rsidR="000E7600">
        <w:t xml:space="preserve">is, </w:t>
      </w:r>
      <w:r w:rsidR="008876F5" w:rsidRPr="008876F5">
        <w:t xml:space="preserve">the statements </w:t>
      </w:r>
      <w:r w:rsidR="000E7600">
        <w:t>must be</w:t>
      </w:r>
      <w:r w:rsidR="008876F5" w:rsidRPr="008876F5">
        <w:t xml:space="preserve"> in a prominent position and style</w:t>
      </w:r>
      <w:r w:rsidR="00D17836" w:rsidRPr="00D17836">
        <w:t>.</w:t>
      </w:r>
    </w:p>
    <w:p w:rsidR="00FD330D" w:rsidRDefault="00FD330D" w:rsidP="00FD330D">
      <w:pPr>
        <w:pStyle w:val="Default"/>
      </w:pPr>
    </w:p>
    <w:p w:rsidR="000F5E5C" w:rsidRDefault="00FD330D" w:rsidP="009D6440">
      <w:pPr>
        <w:pStyle w:val="Default"/>
      </w:pPr>
      <w:r>
        <w:t xml:space="preserve">The second </w:t>
      </w:r>
      <w:r w:rsidR="0086582A">
        <w:t xml:space="preserve">alternative </w:t>
      </w:r>
      <w:r>
        <w:t xml:space="preserve">condition requires a higher standard of disclosure to mitigate the potential for members to be misled as a result of LISC being effectively reported as a </w:t>
      </w:r>
      <w:r w:rsidR="0086582A">
        <w:t>“</w:t>
      </w:r>
      <w:r>
        <w:t>co-contribution</w:t>
      </w:r>
      <w:r w:rsidR="0086582A">
        <w:t>”.</w:t>
      </w:r>
      <w:r w:rsidR="000F5E5C">
        <w:t xml:space="preserve"> </w:t>
      </w:r>
    </w:p>
    <w:p w:rsidR="000F5E5C" w:rsidRDefault="000F5E5C" w:rsidP="009D6440">
      <w:pPr>
        <w:pStyle w:val="Default"/>
      </w:pPr>
    </w:p>
    <w:p w:rsidR="00FD330D" w:rsidRDefault="000F5E5C" w:rsidP="009D6440">
      <w:pPr>
        <w:pStyle w:val="Default"/>
      </w:pPr>
      <w:r>
        <w:t xml:space="preserve">In order to meet this higher standard of disclosure, issuers might, for example, consider measures such as increasing the size and style of the font of the statement, </w:t>
      </w:r>
      <w:r w:rsidR="00484409">
        <w:t>and</w:t>
      </w:r>
      <w:r w:rsidR="00083CE9">
        <w:t xml:space="preserve"> placing the information</w:t>
      </w:r>
      <w:r>
        <w:t xml:space="preserve"> on a bright coloured slip of paper physically affixed to the periodic statement (where a hard copy statement is issued).</w:t>
      </w:r>
      <w:r w:rsidR="00484409">
        <w:t xml:space="preserve"> </w:t>
      </w:r>
    </w:p>
    <w:p w:rsidR="009D6440" w:rsidRDefault="009D6440" w:rsidP="00FD330D">
      <w:pPr>
        <w:pStyle w:val="Default"/>
      </w:pPr>
    </w:p>
    <w:p w:rsidR="00864F1C" w:rsidRDefault="0086582A" w:rsidP="00864F1C">
      <w:pPr>
        <w:pStyle w:val="Default"/>
      </w:pPr>
      <w:r>
        <w:t xml:space="preserve">The </w:t>
      </w:r>
      <w:r w:rsidR="00864F1C">
        <w:t xml:space="preserve">class order will only apply to reporting periods that end on or before 31 December 2014. </w:t>
      </w:r>
    </w:p>
    <w:p w:rsidR="002A0B13" w:rsidRDefault="002A0B13" w:rsidP="00864F1C">
      <w:pPr>
        <w:pStyle w:val="Default"/>
      </w:pPr>
    </w:p>
    <w:p w:rsidR="002A0B13" w:rsidRPr="00A1445D" w:rsidRDefault="002A0B13" w:rsidP="00864F1C">
      <w:pPr>
        <w:pStyle w:val="Default"/>
      </w:pPr>
      <w:r>
        <w:t xml:space="preserve">The exemption provided by the class order does not prevent a trustee of a superannuation fund from complying with the Act and Regulations as made.   </w:t>
      </w:r>
    </w:p>
    <w:p w:rsidR="00F24504" w:rsidRPr="00A1445D" w:rsidRDefault="00F24504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Consultation </w:t>
      </w:r>
    </w:p>
    <w:p w:rsidR="00F24504" w:rsidRPr="00A1445D" w:rsidRDefault="00F24504" w:rsidP="00F24504">
      <w:pPr>
        <w:pStyle w:val="Default"/>
      </w:pPr>
    </w:p>
    <w:p w:rsidR="00582445" w:rsidRDefault="00F24504" w:rsidP="00F24504">
      <w:pPr>
        <w:pStyle w:val="Default"/>
      </w:pPr>
      <w:r w:rsidRPr="00A1445D">
        <w:t xml:space="preserve">ASIC has consulted with the </w:t>
      </w:r>
      <w:r w:rsidR="00230480">
        <w:t xml:space="preserve">Commonwealth </w:t>
      </w:r>
      <w:r w:rsidRPr="00A1445D">
        <w:t>Treasury</w:t>
      </w:r>
      <w:r w:rsidR="000E7600">
        <w:t>. Treasury</w:t>
      </w:r>
      <w:r w:rsidRPr="00A1445D">
        <w:t xml:space="preserve"> </w:t>
      </w:r>
      <w:r w:rsidR="00582445">
        <w:t xml:space="preserve">has indicated its support for the class order and confirmed that the </w:t>
      </w:r>
      <w:r w:rsidR="00582445" w:rsidRPr="00582445">
        <w:t>approach</w:t>
      </w:r>
      <w:r w:rsidR="00582445">
        <w:t xml:space="preserve"> taken</w:t>
      </w:r>
      <w:r w:rsidR="00582445" w:rsidRPr="00582445">
        <w:t xml:space="preserve"> is consistent with the Government's </w:t>
      </w:r>
      <w:r w:rsidR="0086582A">
        <w:t>policy.</w:t>
      </w:r>
      <w:r w:rsidR="00582445">
        <w:t xml:space="preserve"> </w:t>
      </w:r>
    </w:p>
    <w:p w:rsidR="00582445" w:rsidRDefault="00582445" w:rsidP="00F24504">
      <w:pPr>
        <w:pStyle w:val="Default"/>
      </w:pPr>
    </w:p>
    <w:p w:rsidR="00582445" w:rsidRDefault="00582445" w:rsidP="00F24504">
      <w:pPr>
        <w:pStyle w:val="Default"/>
      </w:pPr>
      <w:r>
        <w:t xml:space="preserve">ASIC also consulted with a number of industry associations. </w:t>
      </w:r>
      <w:r w:rsidR="00DB4E90">
        <w:t xml:space="preserve">The feedback received from the industry associations has been taken into account </w:t>
      </w:r>
      <w:r w:rsidR="00A456B0">
        <w:t>in the development of</w:t>
      </w:r>
      <w:r w:rsidR="00DB4E90">
        <w:t xml:space="preserve"> th</w:t>
      </w:r>
      <w:r w:rsidR="00A456B0">
        <w:t>e</w:t>
      </w:r>
      <w:r w:rsidR="00DB4E90">
        <w:t xml:space="preserve"> class order. </w:t>
      </w:r>
    </w:p>
    <w:p w:rsidR="00083CE9" w:rsidRDefault="00083CE9" w:rsidP="00F24504">
      <w:pPr>
        <w:pStyle w:val="Default"/>
      </w:pPr>
    </w:p>
    <w:p w:rsidR="00F16B5F" w:rsidRDefault="00F24504" w:rsidP="00AF769C">
      <w:pPr>
        <w:pStyle w:val="Default"/>
      </w:pPr>
      <w:r w:rsidRPr="00A1445D">
        <w:t xml:space="preserve">The Office of Best Practice Regulation </w:t>
      </w:r>
      <w:r w:rsidR="00230480">
        <w:t xml:space="preserve">has </w:t>
      </w:r>
      <w:r w:rsidRPr="00A1445D">
        <w:t xml:space="preserve">confirmed that a Regulation Impact Statement </w:t>
      </w:r>
      <w:r w:rsidR="000E7600">
        <w:t xml:space="preserve">is </w:t>
      </w:r>
      <w:r w:rsidRPr="00A1445D">
        <w:t xml:space="preserve">not necessary. </w:t>
      </w:r>
    </w:p>
    <w:p w:rsidR="00774A36" w:rsidRPr="00A1445D" w:rsidRDefault="003A0CAF" w:rsidP="00774A36">
      <w:pPr>
        <w:pStyle w:val="Default"/>
        <w:jc w:val="center"/>
      </w:pPr>
      <w:r w:rsidRPr="00A1445D">
        <w:br w:type="page"/>
      </w:r>
      <w:r w:rsidRPr="00A1445D">
        <w:rPr>
          <w:b/>
          <w:bCs/>
        </w:rPr>
        <w:lastRenderedPageBreak/>
        <w:t>Statement of Compatibility with Human Rights</w:t>
      </w:r>
      <w:r w:rsidR="0086582A">
        <w:rPr>
          <w:b/>
          <w:bCs/>
        </w:rPr>
        <w:br/>
      </w:r>
    </w:p>
    <w:p w:rsidR="00774A36" w:rsidRPr="00A1445D" w:rsidRDefault="003A0CAF" w:rsidP="00774A36">
      <w:pPr>
        <w:pStyle w:val="Default"/>
        <w:jc w:val="center"/>
      </w:pPr>
      <w:r w:rsidRPr="00A1445D">
        <w:rPr>
          <w:i/>
          <w:iCs/>
        </w:rPr>
        <w:t>Prepared in accordance with Part 3 of the Human Rights (Parliamentary Scrutiny) Act 2011</w:t>
      </w:r>
      <w:r w:rsidR="0086582A">
        <w:rPr>
          <w:i/>
          <w:iCs/>
        </w:rPr>
        <w:br/>
      </w:r>
    </w:p>
    <w:p w:rsidR="00774A36" w:rsidRPr="00A1445D" w:rsidRDefault="00DB4E90" w:rsidP="00774A36">
      <w:pPr>
        <w:pStyle w:val="Default"/>
        <w:jc w:val="both"/>
        <w:rPr>
          <w:b/>
          <w:bCs/>
        </w:rPr>
      </w:pPr>
      <w:r>
        <w:rPr>
          <w:b/>
          <w:bCs/>
        </w:rPr>
        <w:t>ASIC Class Order [CO 13/</w:t>
      </w:r>
      <w:r w:rsidR="0086582A">
        <w:rPr>
          <w:b/>
          <w:bCs/>
        </w:rPr>
        <w:t>1420</w:t>
      </w:r>
      <w:r w:rsidR="003A0CAF" w:rsidRPr="00A1445D">
        <w:rPr>
          <w:b/>
          <w:bCs/>
        </w:rPr>
        <w:t xml:space="preserve">] 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 xml:space="preserve">This class order is compatible with the human rights and freedoms recognised or declared in the international instruments listed in section 3 of the </w:t>
      </w:r>
      <w:r w:rsidRPr="00A1445D">
        <w:rPr>
          <w:i/>
          <w:iCs/>
        </w:rPr>
        <w:t>Human Rights (Parliamentary Scrutiny) Act 2011</w:t>
      </w:r>
      <w:r w:rsidRPr="00A1445D">
        <w:t>.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Overview of the class order</w:t>
      </w:r>
    </w:p>
    <w:p w:rsidR="00774A36" w:rsidRPr="00A1445D" w:rsidRDefault="00774A36" w:rsidP="00774A36">
      <w:pPr>
        <w:pStyle w:val="Default"/>
        <w:jc w:val="both"/>
      </w:pPr>
    </w:p>
    <w:p w:rsidR="003535A8" w:rsidRDefault="003A0CAF" w:rsidP="00864F1C">
      <w:pPr>
        <w:pStyle w:val="Default"/>
        <w:jc w:val="both"/>
      </w:pPr>
      <w:r w:rsidRPr="00A1445D">
        <w:t>The class order relates to</w:t>
      </w:r>
      <w:r w:rsidR="00864F1C">
        <w:t xml:space="preserve"> </w:t>
      </w:r>
      <w:r w:rsidRPr="00A1445D">
        <w:t>regulation</w:t>
      </w:r>
      <w:r w:rsidR="00864F1C">
        <w:t xml:space="preserve"> 7.9.20 of the </w:t>
      </w:r>
      <w:r w:rsidR="00864F1C" w:rsidRPr="00984BAA">
        <w:rPr>
          <w:i/>
        </w:rPr>
        <w:t>Corporations Regulations 2001</w:t>
      </w:r>
      <w:r w:rsidR="006C0F2F">
        <w:t xml:space="preserve">, which was made under section 1017D of the </w:t>
      </w:r>
      <w:r w:rsidR="006C0F2F">
        <w:rPr>
          <w:i/>
        </w:rPr>
        <w:t>Corporations Act 2001</w:t>
      </w:r>
      <w:r w:rsidR="00864F1C">
        <w:t>.</w:t>
      </w:r>
      <w:r w:rsidR="006C0F2F">
        <w:t xml:space="preserve"> </w:t>
      </w:r>
      <w:r w:rsidR="00984BAA">
        <w:t>T</w:t>
      </w:r>
      <w:r w:rsidR="0086582A">
        <w:t>he</w:t>
      </w:r>
      <w:r w:rsidR="00984BAA">
        <w:t xml:space="preserve">se provisions set out the </w:t>
      </w:r>
      <w:r w:rsidR="0086582A">
        <w:t xml:space="preserve">content requirements for periodic statements in relation to superannuation.   </w:t>
      </w:r>
    </w:p>
    <w:p w:rsidR="003535A8" w:rsidRDefault="003535A8" w:rsidP="00864F1C">
      <w:pPr>
        <w:pStyle w:val="Default"/>
        <w:jc w:val="both"/>
      </w:pPr>
    </w:p>
    <w:p w:rsidR="00774A36" w:rsidRDefault="00984BAA" w:rsidP="00864F1C">
      <w:pPr>
        <w:pStyle w:val="Default"/>
        <w:jc w:val="both"/>
      </w:pPr>
      <w:r>
        <w:t>Subr</w:t>
      </w:r>
      <w:r w:rsidR="006C0F2F">
        <w:t>egulation 7.9.20(2A) was made on 5</w:t>
      </w:r>
      <w:r w:rsidR="0086582A">
        <w:t> </w:t>
      </w:r>
      <w:r w:rsidR="006C0F2F">
        <w:t>August</w:t>
      </w:r>
      <w:r w:rsidR="0086582A">
        <w:t> </w:t>
      </w:r>
      <w:r w:rsidR="006C0F2F">
        <w:t>2013</w:t>
      </w:r>
      <w:r w:rsidR="000E7600">
        <w:t>.</w:t>
      </w:r>
      <w:r w:rsidR="006C0F2F">
        <w:t xml:space="preserve"> </w:t>
      </w:r>
      <w:r>
        <w:t xml:space="preserve">The </w:t>
      </w:r>
      <w:proofErr w:type="spellStart"/>
      <w:r>
        <w:t>subregulation</w:t>
      </w:r>
      <w:proofErr w:type="spellEnd"/>
      <w:r>
        <w:t xml:space="preserve"> requires </w:t>
      </w:r>
      <w:r w:rsidR="006C0F2F">
        <w:t xml:space="preserve">superannuation trustees </w:t>
      </w:r>
      <w:r w:rsidR="0086582A">
        <w:t xml:space="preserve">to </w:t>
      </w:r>
      <w:r w:rsidR="006C0F2F">
        <w:t>separately report the amount of low income superannuation contributions (</w:t>
      </w:r>
      <w:r w:rsidR="006C0F2F" w:rsidRPr="006C0F2F">
        <w:rPr>
          <w:b/>
          <w:i/>
        </w:rPr>
        <w:t>LISC</w:t>
      </w:r>
      <w:r w:rsidR="006C0F2F">
        <w:t xml:space="preserve">) in a periodic statement for their members. </w:t>
      </w:r>
      <w:r w:rsidR="003535A8">
        <w:t>LISC is a government payment for low income earners</w:t>
      </w:r>
      <w:r w:rsidR="008408E7">
        <w:t>, with first payments due to be</w:t>
      </w:r>
      <w:r w:rsidR="003535A8">
        <w:t xml:space="preserve"> made in relation to the 2012–13 financial year.</w:t>
      </w:r>
    </w:p>
    <w:p w:rsidR="006C0F2F" w:rsidRDefault="006C0F2F" w:rsidP="00864F1C">
      <w:pPr>
        <w:pStyle w:val="Default"/>
        <w:jc w:val="both"/>
      </w:pPr>
    </w:p>
    <w:p w:rsidR="005A6813" w:rsidRDefault="006C0F2F" w:rsidP="00864F1C">
      <w:pPr>
        <w:pStyle w:val="Default"/>
        <w:jc w:val="both"/>
      </w:pPr>
      <w:r>
        <w:t xml:space="preserve">The Government has released exposure draft </w:t>
      </w:r>
      <w:r w:rsidR="00162F97" w:rsidRPr="00162F97">
        <w:rPr>
          <w:i/>
        </w:rPr>
        <w:t>Minerals Resources Tax Repeal and Other Measures Bill 2013</w:t>
      </w:r>
      <w:r>
        <w:t xml:space="preserve"> (the </w:t>
      </w:r>
      <w:r>
        <w:rPr>
          <w:b/>
          <w:i/>
        </w:rPr>
        <w:t>Bill</w:t>
      </w:r>
      <w:r>
        <w:t>). The Bill proposes to abolish LISC. If the Bill is passed</w:t>
      </w:r>
      <w:r w:rsidR="003535A8">
        <w:t xml:space="preserve"> prior to 1 July 2014</w:t>
      </w:r>
      <w:r>
        <w:t xml:space="preserve">, LISC will only be paid in relation to </w:t>
      </w:r>
      <w:r w:rsidR="00C025DA">
        <w:t xml:space="preserve">the </w:t>
      </w:r>
      <w:r>
        <w:t xml:space="preserve">2012–13 financial </w:t>
      </w:r>
      <w:proofErr w:type="gramStart"/>
      <w:r>
        <w:t>year</w:t>
      </w:r>
      <w:proofErr w:type="gramEnd"/>
      <w:r>
        <w:t xml:space="preserve">. In these circumstances, </w:t>
      </w:r>
      <w:r w:rsidR="00984BAA">
        <w:t>sub</w:t>
      </w:r>
      <w:r>
        <w:t xml:space="preserve">regulation </w:t>
      </w:r>
      <w:r w:rsidR="005A6813">
        <w:t xml:space="preserve">7.9.20(2A) will become obsolete. </w:t>
      </w:r>
    </w:p>
    <w:p w:rsidR="005A6813" w:rsidRDefault="005A6813" w:rsidP="00864F1C">
      <w:pPr>
        <w:pStyle w:val="Default"/>
        <w:jc w:val="both"/>
      </w:pPr>
    </w:p>
    <w:p w:rsidR="005A6813" w:rsidRDefault="003535A8" w:rsidP="00864F1C">
      <w:pPr>
        <w:pStyle w:val="Default"/>
        <w:jc w:val="both"/>
      </w:pPr>
      <w:r>
        <w:t>S</w:t>
      </w:r>
      <w:r w:rsidR="005A6813">
        <w:t xml:space="preserve">uperannuation trustees will incur considerable costs in order to comply with the </w:t>
      </w:r>
      <w:r w:rsidR="00984BAA">
        <w:t>sub</w:t>
      </w:r>
      <w:r w:rsidR="005A6813">
        <w:t xml:space="preserve">regulation. These costs will be </w:t>
      </w:r>
      <w:r w:rsidR="00C025DA">
        <w:t xml:space="preserve">incurred </w:t>
      </w:r>
      <w:r w:rsidR="005A6813">
        <w:t>unnecessar</w:t>
      </w:r>
      <w:r w:rsidR="00C025DA">
        <w:t>il</w:t>
      </w:r>
      <w:r w:rsidR="005A6813">
        <w:t>y if the Bill is passed</w:t>
      </w:r>
      <w:r>
        <w:t xml:space="preserve"> and </w:t>
      </w:r>
      <w:r w:rsidR="00984BAA">
        <w:t>the sub</w:t>
      </w:r>
      <w:r>
        <w:t>regulation becomes obsolete</w:t>
      </w:r>
      <w:r w:rsidR="005A6813">
        <w:t>. The class order will mitigate</w:t>
      </w:r>
      <w:r>
        <w:t xml:space="preserve"> the</w:t>
      </w:r>
      <w:r w:rsidR="005A6813">
        <w:t xml:space="preserve"> </w:t>
      </w:r>
      <w:r>
        <w:t>costs of complying with the regulation</w:t>
      </w:r>
      <w:r w:rsidR="005A6813">
        <w:t xml:space="preserve"> pending the </w:t>
      </w:r>
      <w:r w:rsidR="00AE4354">
        <w:t xml:space="preserve">outcome </w:t>
      </w:r>
      <w:r w:rsidR="005A6813">
        <w:t xml:space="preserve">of the Bill. </w:t>
      </w:r>
    </w:p>
    <w:p w:rsidR="003535A8" w:rsidRDefault="003535A8" w:rsidP="00864F1C">
      <w:pPr>
        <w:pStyle w:val="Default"/>
        <w:jc w:val="both"/>
      </w:pPr>
    </w:p>
    <w:p w:rsidR="003535A8" w:rsidRPr="003535A8" w:rsidRDefault="003535A8" w:rsidP="003535A8">
      <w:pPr>
        <w:pStyle w:val="Default"/>
        <w:jc w:val="both"/>
      </w:pPr>
      <w:r w:rsidRPr="003535A8">
        <w:t xml:space="preserve">The class order will provide interim relief from compliance with </w:t>
      </w:r>
      <w:r w:rsidR="00984BAA">
        <w:t xml:space="preserve">the </w:t>
      </w:r>
      <w:proofErr w:type="spellStart"/>
      <w:r w:rsidR="00984BAA">
        <w:t>sub</w:t>
      </w:r>
      <w:r w:rsidRPr="003535A8">
        <w:t>regulation</w:t>
      </w:r>
      <w:proofErr w:type="spellEnd"/>
      <w:r w:rsidR="008408E7">
        <w:t xml:space="preserve"> until 31 December 2014</w:t>
      </w:r>
      <w:r w:rsidRPr="003535A8">
        <w:t xml:space="preserve">, subject to compliance with one of two </w:t>
      </w:r>
      <w:r w:rsidR="00984BAA">
        <w:t xml:space="preserve">alternative </w:t>
      </w:r>
      <w:r w:rsidRPr="003535A8">
        <w:t xml:space="preserve">conditions, which </w:t>
      </w:r>
      <w:r>
        <w:t>require</w:t>
      </w:r>
      <w:r w:rsidRPr="003535A8">
        <w:t xml:space="preserve"> alternative forms of disclosure to members. </w:t>
      </w:r>
      <w:r w:rsidR="00484409">
        <w:t>The class order includes measures to minimise any detriment to fund members.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Human rights implications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>This class order does not engage any of the applicable rights or freedoms.</w:t>
      </w:r>
    </w:p>
    <w:p w:rsidR="00774A36" w:rsidRPr="00A1445D" w:rsidRDefault="003A0CAF" w:rsidP="00774A36">
      <w:pPr>
        <w:pStyle w:val="Default"/>
        <w:jc w:val="both"/>
      </w:pPr>
      <w:r w:rsidRPr="00A1445D">
        <w:t xml:space="preserve"> </w:t>
      </w: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 xml:space="preserve">Conclusion </w:t>
      </w:r>
    </w:p>
    <w:p w:rsidR="00774A36" w:rsidRPr="00A1445D" w:rsidRDefault="00774A36" w:rsidP="00774A36">
      <w:pPr>
        <w:pStyle w:val="Default"/>
        <w:jc w:val="both"/>
      </w:pPr>
    </w:p>
    <w:p w:rsidR="00C935CF" w:rsidRPr="00A1445D" w:rsidRDefault="003A0CAF">
      <w:pPr>
        <w:pStyle w:val="Default"/>
        <w:jc w:val="both"/>
      </w:pPr>
      <w:r w:rsidRPr="00A1445D">
        <w:t>This class order is compatible with human rights as it does not raise any human rights issues.</w:t>
      </w:r>
    </w:p>
    <w:sectPr w:rsidR="00C935CF" w:rsidRPr="00A1445D" w:rsidSect="00B30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4F" w:rsidRDefault="003C4F4F" w:rsidP="00DF04D3">
      <w:r>
        <w:separator/>
      </w:r>
    </w:p>
  </w:endnote>
  <w:endnote w:type="continuationSeparator" w:id="0">
    <w:p w:rsidR="003C4F4F" w:rsidRDefault="003C4F4F" w:rsidP="00DF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07" w:rsidRDefault="00CE0B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07" w:rsidRDefault="00CE0B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07" w:rsidRDefault="00CE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4F" w:rsidRDefault="003C4F4F" w:rsidP="00DF04D3">
      <w:r>
        <w:separator/>
      </w:r>
    </w:p>
  </w:footnote>
  <w:footnote w:type="continuationSeparator" w:id="0">
    <w:p w:rsidR="003C4F4F" w:rsidRDefault="003C4F4F" w:rsidP="00DF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07" w:rsidRDefault="00CE0B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80" w:rsidRDefault="005C6B83">
    <w:pPr>
      <w:pStyle w:val="Header"/>
      <w:jc w:val="center"/>
    </w:pPr>
    <w:sdt>
      <w:sdtPr>
        <w:id w:val="1208895766"/>
        <w:docPartObj>
          <w:docPartGallery w:val="Page Numbers (Top of Page)"/>
          <w:docPartUnique/>
        </w:docPartObj>
      </w:sdtPr>
      <w:sdtContent>
        <w:fldSimple w:instr=" PAGE   \* MERGEFORMAT ">
          <w:r w:rsidR="00183641">
            <w:rPr>
              <w:noProof/>
            </w:rPr>
            <w:t>3</w:t>
          </w:r>
        </w:fldSimple>
      </w:sdtContent>
    </w:sdt>
  </w:p>
  <w:p w:rsidR="00230480" w:rsidRDefault="002304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07" w:rsidRDefault="00CE0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557"/>
    <w:multiLevelType w:val="hybridMultilevel"/>
    <w:tmpl w:val="8618D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6E47"/>
    <w:multiLevelType w:val="hybridMultilevel"/>
    <w:tmpl w:val="BE1477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9F9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72EB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4479"/>
    <w:multiLevelType w:val="hybridMultilevel"/>
    <w:tmpl w:val="2E000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71B8C"/>
    <w:multiLevelType w:val="hybridMultilevel"/>
    <w:tmpl w:val="0A5E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56A2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08EE"/>
    <w:multiLevelType w:val="hybridMultilevel"/>
    <w:tmpl w:val="79F40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36A42"/>
    <w:multiLevelType w:val="hybridMultilevel"/>
    <w:tmpl w:val="64EE5F4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49310E4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7D040C1"/>
    <w:multiLevelType w:val="hybridMultilevel"/>
    <w:tmpl w:val="BD0612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483E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RPG-SublistLevel2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CD65266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E07B1"/>
    <w:multiLevelType w:val="hybridMultilevel"/>
    <w:tmpl w:val="9E0EEF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5">
      <w:start w:val="1"/>
      <w:numFmt w:val="upp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4514"/>
    <w:multiLevelType w:val="hybridMultilevel"/>
    <w:tmpl w:val="845C3E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9"/>
  </w:num>
  <w:num w:numId="22">
    <w:abstractNumId w:val="12"/>
  </w:num>
  <w:num w:numId="23">
    <w:abstractNumId w:val="12"/>
  </w:num>
  <w:num w:numId="24">
    <w:abstractNumId w:val="6"/>
  </w:num>
  <w:num w:numId="25">
    <w:abstractNumId w:val="13"/>
  </w:num>
  <w:num w:numId="26">
    <w:abstractNumId w:val="3"/>
  </w:num>
  <w:num w:numId="27">
    <w:abstractNumId w:val="10"/>
  </w:num>
  <w:num w:numId="28">
    <w:abstractNumId w:val="15"/>
  </w:num>
  <w:num w:numId="29">
    <w:abstractNumId w:val="14"/>
  </w:num>
  <w:num w:numId="30">
    <w:abstractNumId w:val="1"/>
  </w:num>
  <w:num w:numId="31">
    <w:abstractNumId w:val="7"/>
  </w:num>
  <w:num w:numId="32">
    <w:abstractNumId w:val="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F04D3"/>
    <w:rsid w:val="0000796A"/>
    <w:rsid w:val="0001231E"/>
    <w:rsid w:val="000329BF"/>
    <w:rsid w:val="000512B3"/>
    <w:rsid w:val="0005463F"/>
    <w:rsid w:val="00083CE9"/>
    <w:rsid w:val="000A5889"/>
    <w:rsid w:val="000B5578"/>
    <w:rsid w:val="000D4170"/>
    <w:rsid w:val="000D5AE3"/>
    <w:rsid w:val="000E4358"/>
    <w:rsid w:val="000E7600"/>
    <w:rsid w:val="000F5E5C"/>
    <w:rsid w:val="00105DE3"/>
    <w:rsid w:val="0012686B"/>
    <w:rsid w:val="00160A1D"/>
    <w:rsid w:val="00162F97"/>
    <w:rsid w:val="00165455"/>
    <w:rsid w:val="00180D94"/>
    <w:rsid w:val="00183641"/>
    <w:rsid w:val="00186C28"/>
    <w:rsid w:val="00195C52"/>
    <w:rsid w:val="001B1093"/>
    <w:rsid w:val="001B2A94"/>
    <w:rsid w:val="001C24A0"/>
    <w:rsid w:val="001C5DE3"/>
    <w:rsid w:val="001F3784"/>
    <w:rsid w:val="002134B2"/>
    <w:rsid w:val="00230480"/>
    <w:rsid w:val="00246768"/>
    <w:rsid w:val="002508D7"/>
    <w:rsid w:val="00280F32"/>
    <w:rsid w:val="002A0B13"/>
    <w:rsid w:val="002A1564"/>
    <w:rsid w:val="002D0106"/>
    <w:rsid w:val="002D547F"/>
    <w:rsid w:val="002F652B"/>
    <w:rsid w:val="0030277F"/>
    <w:rsid w:val="00302C13"/>
    <w:rsid w:val="00316651"/>
    <w:rsid w:val="00330BC3"/>
    <w:rsid w:val="003535A8"/>
    <w:rsid w:val="00385989"/>
    <w:rsid w:val="00392692"/>
    <w:rsid w:val="003A06AF"/>
    <w:rsid w:val="003A0CAF"/>
    <w:rsid w:val="003B5CA5"/>
    <w:rsid w:val="003C4F4F"/>
    <w:rsid w:val="003C7CD0"/>
    <w:rsid w:val="0041017B"/>
    <w:rsid w:val="0042189D"/>
    <w:rsid w:val="00425B2C"/>
    <w:rsid w:val="004749B4"/>
    <w:rsid w:val="00480CA9"/>
    <w:rsid w:val="00484409"/>
    <w:rsid w:val="00486AAC"/>
    <w:rsid w:val="00490022"/>
    <w:rsid w:val="004A361D"/>
    <w:rsid w:val="004A7730"/>
    <w:rsid w:val="004C13A9"/>
    <w:rsid w:val="004C4DD9"/>
    <w:rsid w:val="004D00A8"/>
    <w:rsid w:val="005071F0"/>
    <w:rsid w:val="00510FC8"/>
    <w:rsid w:val="00523842"/>
    <w:rsid w:val="00536EED"/>
    <w:rsid w:val="00541DF3"/>
    <w:rsid w:val="005556E5"/>
    <w:rsid w:val="00582445"/>
    <w:rsid w:val="0058498F"/>
    <w:rsid w:val="005A3A24"/>
    <w:rsid w:val="005A6813"/>
    <w:rsid w:val="005B340C"/>
    <w:rsid w:val="005C3C2A"/>
    <w:rsid w:val="005C6B2D"/>
    <w:rsid w:val="005C6B83"/>
    <w:rsid w:val="005D6F88"/>
    <w:rsid w:val="005F33F1"/>
    <w:rsid w:val="00606433"/>
    <w:rsid w:val="00626291"/>
    <w:rsid w:val="006620E8"/>
    <w:rsid w:val="006B7F66"/>
    <w:rsid w:val="006C0F2F"/>
    <w:rsid w:val="006C1D26"/>
    <w:rsid w:val="006E1FFA"/>
    <w:rsid w:val="00727185"/>
    <w:rsid w:val="00745C3A"/>
    <w:rsid w:val="00757984"/>
    <w:rsid w:val="007731B2"/>
    <w:rsid w:val="00774A36"/>
    <w:rsid w:val="007A4407"/>
    <w:rsid w:val="007E5030"/>
    <w:rsid w:val="008408E7"/>
    <w:rsid w:val="008472FE"/>
    <w:rsid w:val="00864F1C"/>
    <w:rsid w:val="0086582A"/>
    <w:rsid w:val="008876F5"/>
    <w:rsid w:val="008924B6"/>
    <w:rsid w:val="00894FE3"/>
    <w:rsid w:val="008A2955"/>
    <w:rsid w:val="008A3899"/>
    <w:rsid w:val="008B4619"/>
    <w:rsid w:val="008B67F0"/>
    <w:rsid w:val="008C5887"/>
    <w:rsid w:val="008D2980"/>
    <w:rsid w:val="008D58D9"/>
    <w:rsid w:val="008F097D"/>
    <w:rsid w:val="008F4C23"/>
    <w:rsid w:val="008F5DB1"/>
    <w:rsid w:val="00900ED7"/>
    <w:rsid w:val="00905C79"/>
    <w:rsid w:val="00910B72"/>
    <w:rsid w:val="00916FB0"/>
    <w:rsid w:val="0094612C"/>
    <w:rsid w:val="00977C0D"/>
    <w:rsid w:val="009844BF"/>
    <w:rsid w:val="00984BAA"/>
    <w:rsid w:val="00997C23"/>
    <w:rsid w:val="009A1A82"/>
    <w:rsid w:val="009A240E"/>
    <w:rsid w:val="009A2FC0"/>
    <w:rsid w:val="009B2B23"/>
    <w:rsid w:val="009D6440"/>
    <w:rsid w:val="009E10E4"/>
    <w:rsid w:val="009E7212"/>
    <w:rsid w:val="009F0555"/>
    <w:rsid w:val="009F331F"/>
    <w:rsid w:val="00A1445D"/>
    <w:rsid w:val="00A4252F"/>
    <w:rsid w:val="00A456B0"/>
    <w:rsid w:val="00A53247"/>
    <w:rsid w:val="00A55291"/>
    <w:rsid w:val="00A618DC"/>
    <w:rsid w:val="00A63677"/>
    <w:rsid w:val="00A67CEA"/>
    <w:rsid w:val="00AC7D7E"/>
    <w:rsid w:val="00AD0A0E"/>
    <w:rsid w:val="00AD252C"/>
    <w:rsid w:val="00AD2C95"/>
    <w:rsid w:val="00AE4354"/>
    <w:rsid w:val="00AF3A7C"/>
    <w:rsid w:val="00AF769C"/>
    <w:rsid w:val="00B03B31"/>
    <w:rsid w:val="00B26935"/>
    <w:rsid w:val="00B3049B"/>
    <w:rsid w:val="00B540A7"/>
    <w:rsid w:val="00B86497"/>
    <w:rsid w:val="00BD2ECF"/>
    <w:rsid w:val="00BE39A1"/>
    <w:rsid w:val="00BF72D9"/>
    <w:rsid w:val="00BF7FDC"/>
    <w:rsid w:val="00C025DA"/>
    <w:rsid w:val="00C046AA"/>
    <w:rsid w:val="00C54F5B"/>
    <w:rsid w:val="00C63DFC"/>
    <w:rsid w:val="00C844B1"/>
    <w:rsid w:val="00C85EE9"/>
    <w:rsid w:val="00C91F0F"/>
    <w:rsid w:val="00C935CF"/>
    <w:rsid w:val="00CB0FF5"/>
    <w:rsid w:val="00CE0B07"/>
    <w:rsid w:val="00CE1391"/>
    <w:rsid w:val="00CF7B37"/>
    <w:rsid w:val="00D17836"/>
    <w:rsid w:val="00D23F99"/>
    <w:rsid w:val="00D5494C"/>
    <w:rsid w:val="00D558FA"/>
    <w:rsid w:val="00D66B4F"/>
    <w:rsid w:val="00D965C5"/>
    <w:rsid w:val="00DB4E90"/>
    <w:rsid w:val="00DD44A3"/>
    <w:rsid w:val="00DD78EB"/>
    <w:rsid w:val="00DE6888"/>
    <w:rsid w:val="00DF04D3"/>
    <w:rsid w:val="00DF792B"/>
    <w:rsid w:val="00E3239B"/>
    <w:rsid w:val="00E604B5"/>
    <w:rsid w:val="00E652C9"/>
    <w:rsid w:val="00E7756B"/>
    <w:rsid w:val="00E8796B"/>
    <w:rsid w:val="00E94FF2"/>
    <w:rsid w:val="00EC1FEE"/>
    <w:rsid w:val="00ED6809"/>
    <w:rsid w:val="00ED6F06"/>
    <w:rsid w:val="00F16B5F"/>
    <w:rsid w:val="00F17306"/>
    <w:rsid w:val="00F24504"/>
    <w:rsid w:val="00F65CEC"/>
    <w:rsid w:val="00F7151A"/>
    <w:rsid w:val="00F74AED"/>
    <w:rsid w:val="00F7571C"/>
    <w:rsid w:val="00F8236E"/>
    <w:rsid w:val="00F87109"/>
    <w:rsid w:val="00F93BF3"/>
    <w:rsid w:val="00FB6CD2"/>
    <w:rsid w:val="00FC2FEB"/>
    <w:rsid w:val="00FD330D"/>
    <w:rsid w:val="00FD52EB"/>
    <w:rsid w:val="00FD5CBE"/>
    <w:rsid w:val="00FE6A53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6440"/>
    <w:pPr>
      <w:ind w:left="720"/>
      <w:contextualSpacing/>
    </w:pPr>
  </w:style>
  <w:style w:type="paragraph" w:styleId="Revision">
    <w:name w:val="Revision"/>
    <w:hidden/>
    <w:uiPriority w:val="99"/>
    <w:semiHidden/>
    <w:rsid w:val="008B67F0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049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127B-003E-459E-BD7D-9A9E890A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Taing</dc:creator>
  <cp:keywords/>
  <dc:description/>
  <cp:lastModifiedBy>Adele Rentsch</cp:lastModifiedBy>
  <cp:revision>7</cp:revision>
  <cp:lastPrinted>2013-11-10T23:52:00Z</cp:lastPrinted>
  <dcterms:created xsi:type="dcterms:W3CDTF">2013-11-11T05:39:00Z</dcterms:created>
  <dcterms:modified xsi:type="dcterms:W3CDTF">2013-11-12T04:53:00Z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A3990212</vt:lpwstr>
  </property>
  <property fmtid="{D5CDD505-2E9C-101B-9397-08002B2CF9AE}" pid="4" name="Objective-Title">
    <vt:lpwstr>20131111 - Class Order ES</vt:lpwstr>
  </property>
  <property fmtid="{D5CDD505-2E9C-101B-9397-08002B2CF9AE}" pid="5" name="Objective-Comment">
    <vt:lpwstr/>
  </property>
  <property fmtid="{D5CDD505-2E9C-101B-9397-08002B2CF9AE}" pid="6" name="Objective-CreationStamp">
    <vt:filetime>2013-11-11T05:39:24Z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2013-11-12T05:10:35Z</vt:filetime>
  </property>
  <property fmtid="{D5CDD505-2E9C-101B-9397-08002B2CF9AE}" pid="11" name="Objective-Owner">
    <vt:lpwstr>Adele Rentsch</vt:lpwstr>
  </property>
  <property fmtid="{D5CDD505-2E9C-101B-9397-08002B2CF9AE}" pid="12" name="Objective-Path">
    <vt:lpwstr>ASIC BCS:REGULATION &amp; COMPLIANCE:Applications:Investment Management:Other Relief:Financial Services Council - 20131011:</vt:lpwstr>
  </property>
  <property fmtid="{D5CDD505-2E9C-101B-9397-08002B2CF9AE}" pid="13" name="Objective-Parent">
    <vt:lpwstr>Financial Services Council - 20131011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0.6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