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2BF" w:rsidRPr="00CF42BF" w:rsidRDefault="00CF42BF" w:rsidP="00CF42BF">
      <w:pPr>
        <w:spacing w:line="240" w:lineRule="auto"/>
        <w:rPr>
          <w:sz w:val="2"/>
          <w:szCs w:val="2"/>
        </w:rPr>
      </w:pPr>
      <w:bookmarkStart w:id="0" w:name="_GoBack"/>
      <w:bookmarkEnd w:id="0"/>
    </w:p>
    <w:tbl>
      <w:tblPr>
        <w:tblW w:w="0" w:type="auto"/>
        <w:tblLayout w:type="fixed"/>
        <w:tblLook w:val="0000" w:firstRow="0" w:lastRow="0" w:firstColumn="0" w:lastColumn="0" w:noHBand="0" w:noVBand="0"/>
        <w:tblCaption w:val="Cover page header for AUASB Explanatory Statement"/>
        <w:tblDescription w:val="Identification that the pronouncement is an AUASB Explanatory Statement, the ASA number and the month of issue"/>
      </w:tblPr>
      <w:tblGrid>
        <w:gridCol w:w="4536"/>
        <w:gridCol w:w="4536"/>
      </w:tblGrid>
      <w:tr w:rsidR="004D4D03" w:rsidTr="001562E6">
        <w:tc>
          <w:tcPr>
            <w:tcW w:w="4536" w:type="dxa"/>
          </w:tcPr>
          <w:p w:rsidR="004D4D03" w:rsidRDefault="004D4D03">
            <w:pPr>
              <w:pStyle w:val="Heading6"/>
            </w:pPr>
          </w:p>
        </w:tc>
        <w:tc>
          <w:tcPr>
            <w:tcW w:w="4536" w:type="dxa"/>
          </w:tcPr>
          <w:p w:rsidR="004D4D03" w:rsidRDefault="00D27B7C">
            <w:pPr>
              <w:pStyle w:val="CoverNumber"/>
            </w:pPr>
            <w:fldSimple w:instr=" REF DocType \* charformat ">
              <w:r>
                <w:t>ASA</w:t>
              </w:r>
            </w:fldSimple>
            <w:r w:rsidR="007B449F">
              <w:t xml:space="preserve"> </w:t>
            </w:r>
            <w:r w:rsidR="007B449F">
              <w:fldChar w:fldCharType="begin"/>
            </w:r>
            <w:r w:rsidR="007B449F">
              <w:instrText xml:space="preserve"> REF DocNo \* cha</w:instrText>
            </w:r>
            <w:r w:rsidR="00E861E3">
              <w:instrText>R</w:instrText>
            </w:r>
            <w:r w:rsidR="007B449F">
              <w:instrText xml:space="preserve">format </w:instrText>
            </w:r>
            <w:r w:rsidR="007B449F">
              <w:fldChar w:fldCharType="separate"/>
            </w:r>
            <w:r>
              <w:t>610</w:t>
            </w:r>
            <w:r w:rsidR="007B449F">
              <w:fldChar w:fldCharType="end"/>
            </w:r>
          </w:p>
          <w:p w:rsidR="004D4D03" w:rsidRDefault="004D4D03" w:rsidP="00784841">
            <w:pPr>
              <w:pStyle w:val="CoverDate"/>
            </w:pPr>
            <w:r>
              <w:t>(</w:t>
            </w:r>
            <w:bookmarkStart w:id="1" w:name="DocDate"/>
            <w:r w:rsidR="00784841">
              <w:t>November </w:t>
            </w:r>
            <w:r w:rsidR="00FB4767">
              <w:t>2013</w:t>
            </w:r>
            <w:bookmarkEnd w:id="1"/>
            <w:r>
              <w:t>)</w:t>
            </w:r>
          </w:p>
        </w:tc>
      </w:tr>
    </w:tbl>
    <w:p w:rsidR="006B0D12" w:rsidRDefault="006B0D12" w:rsidP="00A52193">
      <w:pPr>
        <w:pStyle w:val="CoverTitle"/>
        <w:spacing w:after="500"/>
        <w:rPr>
          <w:i w:val="0"/>
        </w:rPr>
      </w:pPr>
      <w:r>
        <w:rPr>
          <w:i w:val="0"/>
        </w:rPr>
        <w:t>Explanatory Statement</w:t>
      </w:r>
    </w:p>
    <w:p w:rsidR="004D4D03" w:rsidRPr="006B0D12" w:rsidRDefault="00FB4767">
      <w:pPr>
        <w:pStyle w:val="CoverTitle"/>
      </w:pPr>
      <w:bookmarkStart w:id="2" w:name="DocType"/>
      <w:r>
        <w:rPr>
          <w:i w:val="0"/>
        </w:rPr>
        <w:t>ASA</w:t>
      </w:r>
      <w:bookmarkEnd w:id="2"/>
      <w:r w:rsidR="004D4D03" w:rsidRPr="000D243E">
        <w:rPr>
          <w:i w:val="0"/>
        </w:rPr>
        <w:t> </w:t>
      </w:r>
      <w:bookmarkStart w:id="3" w:name="DocNo"/>
      <w:r>
        <w:rPr>
          <w:i w:val="0"/>
        </w:rPr>
        <w:t>610</w:t>
      </w:r>
      <w:bookmarkEnd w:id="3"/>
      <w:r w:rsidR="006B0D12">
        <w:rPr>
          <w:i w:val="0"/>
        </w:rPr>
        <w:t xml:space="preserve"> </w:t>
      </w:r>
      <w:bookmarkStart w:id="4" w:name="DocTitle"/>
      <w:r w:rsidRPr="00FB4767">
        <w:t>Using the Work of Internal Auditors</w:t>
      </w:r>
      <w:bookmarkEnd w:id="4"/>
    </w:p>
    <w:p w:rsidR="004D4D03" w:rsidRDefault="004D4D03">
      <w:pPr>
        <w:pStyle w:val="CoverSubTitle"/>
        <w:ind w:right="-142"/>
      </w:pPr>
      <w:r>
        <w:t xml:space="preserve">Issued by the </w:t>
      </w:r>
      <w:r>
        <w:rPr>
          <w:b/>
          <w:bCs/>
        </w:rPr>
        <w:t>Auditing and Assurance Standards Board</w:t>
      </w:r>
    </w:p>
    <w:p w:rsidR="004D4D03" w:rsidRDefault="00D51EB7">
      <w:pPr>
        <w:sectPr w:rsidR="004D4D03" w:rsidSect="00CA06B2">
          <w:headerReference w:type="default" r:id="rId9"/>
          <w:headerReference w:type="first" r:id="rId10"/>
          <w:pgSz w:w="11907" w:h="16840" w:code="9"/>
          <w:pgMar w:top="2268" w:right="1418" w:bottom="1701" w:left="1418" w:header="992" w:footer="992" w:gutter="0"/>
          <w:cols w:space="720"/>
        </w:sectPr>
      </w:pPr>
      <w:r>
        <w:rPr>
          <w:noProof/>
          <w:lang w:eastAsia="en-AU"/>
        </w:rPr>
        <w:drawing>
          <wp:anchor distT="0" distB="0" distL="114300" distR="114300" simplePos="0" relativeHeight="251657728" behindDoc="0" locked="0" layoutInCell="1" allowOverlap="1" wp14:anchorId="7A51E56C" wp14:editId="32DB61B6">
            <wp:simplePos x="0" y="0"/>
            <wp:positionH relativeFrom="margin">
              <wp:align>left</wp:align>
            </wp:positionH>
            <wp:positionV relativeFrom="margin">
              <wp:align>bottom</wp:align>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D03" w:rsidRDefault="004D4D03" w:rsidP="00F46978">
      <w:pPr>
        <w:pStyle w:val="Heading5"/>
      </w:pPr>
      <w:r>
        <w:lastRenderedPageBreak/>
        <w:t xml:space="preserve">Obtaining a Copy of this </w:t>
      </w:r>
      <w:r w:rsidR="006B0D12">
        <w:t>Explanatory Statement</w:t>
      </w:r>
    </w:p>
    <w:p w:rsidR="004D4D03" w:rsidRDefault="004D4D03" w:rsidP="006014A0">
      <w:pPr>
        <w:pStyle w:val="ParaPlain"/>
      </w:pPr>
      <w:r>
        <w:t xml:space="preserve">This </w:t>
      </w:r>
      <w:r w:rsidR="006B0D12">
        <w:t>Explanatory Statement</w:t>
      </w:r>
      <w:r w:rsidR="006E419A">
        <w:t xml:space="preserve"> </w:t>
      </w:r>
      <w:r>
        <w:t xml:space="preserve">is available on the </w:t>
      </w:r>
      <w:r w:rsidR="007B449F">
        <w:t>Auditing and Assurance Standards Board (</w:t>
      </w:r>
      <w:r>
        <w:t>AUASB</w:t>
      </w:r>
      <w:r w:rsidR="007B449F">
        <w:t>)</w:t>
      </w:r>
      <w:r w:rsidR="00731B50">
        <w:t xml:space="preserve"> website: www.auasb.gov.au</w:t>
      </w:r>
    </w:p>
    <w:p w:rsidR="004D4D03" w:rsidRDefault="007B60DF" w:rsidP="007B60DF">
      <w:pPr>
        <w:pStyle w:val="Heading5"/>
      </w:pPr>
      <w:r w:rsidRPr="00287D3A">
        <w:t>Contact Details</w:t>
      </w:r>
    </w:p>
    <w:tbl>
      <w:tblPr>
        <w:tblW w:w="0" w:type="auto"/>
        <w:tblLook w:val="0000" w:firstRow="0" w:lastRow="0" w:firstColumn="0" w:lastColumn="0" w:noHBand="0" w:noVBand="0"/>
        <w:tblCaption w:val="AUASB contact details"/>
        <w:tblDescription w:val="Street address, phone, fax and email contacts and postal address of the AUASB"/>
      </w:tblPr>
      <w:tblGrid>
        <w:gridCol w:w="4536"/>
        <w:gridCol w:w="4536"/>
      </w:tblGrid>
      <w:tr w:rsidR="004D4D03" w:rsidTr="001562E6">
        <w:tc>
          <w:tcPr>
            <w:tcW w:w="4536" w:type="dxa"/>
            <w:tcMar>
              <w:right w:w="28" w:type="dxa"/>
            </w:tcMar>
          </w:tcPr>
          <w:p w:rsidR="004D4D03" w:rsidRDefault="004D4D03">
            <w:r>
              <w:t>Auditing and Assurance Standards Board</w:t>
            </w:r>
          </w:p>
          <w:p w:rsidR="004D4D03" w:rsidRDefault="006E419A">
            <w:r>
              <w:t>Level 7</w:t>
            </w:r>
            <w:r w:rsidR="00034AFA">
              <w:t xml:space="preserve">, </w:t>
            </w:r>
            <w:r>
              <w:t>600 Bourke</w:t>
            </w:r>
            <w:r w:rsidR="004D4D03">
              <w:t xml:space="preserve"> Street</w:t>
            </w:r>
          </w:p>
          <w:p w:rsidR="00A80E83" w:rsidRDefault="004D4D03" w:rsidP="00BF314A">
            <w:r>
              <w:t>Melbourne   Victoria</w:t>
            </w:r>
            <w:r w:rsidR="00FC157A">
              <w:t xml:space="preserve">   </w:t>
            </w:r>
            <w:r>
              <w:t>3000</w:t>
            </w:r>
          </w:p>
          <w:p w:rsidR="004D4D03" w:rsidRDefault="00BF314A" w:rsidP="00BF314A">
            <w:r>
              <w:t>AUSTRALIA</w:t>
            </w:r>
          </w:p>
        </w:tc>
        <w:tc>
          <w:tcPr>
            <w:tcW w:w="4536" w:type="dxa"/>
          </w:tcPr>
          <w:p w:rsidR="004D4D03" w:rsidRDefault="004D4D03">
            <w:pPr>
              <w:tabs>
                <w:tab w:val="left" w:pos="743"/>
              </w:tabs>
            </w:pPr>
            <w:r>
              <w:t>Phone:</w:t>
            </w:r>
            <w:r>
              <w:tab/>
              <w:t>(03) 8080 7400</w:t>
            </w:r>
          </w:p>
          <w:p w:rsidR="004D4D03" w:rsidRDefault="004D4D03">
            <w:pPr>
              <w:tabs>
                <w:tab w:val="left" w:pos="743"/>
              </w:tabs>
            </w:pPr>
            <w:r>
              <w:t>Fax:</w:t>
            </w:r>
            <w:r>
              <w:tab/>
              <w:t>(03) 8080 7450</w:t>
            </w:r>
          </w:p>
          <w:p w:rsidR="004D4D03" w:rsidRDefault="00817B13">
            <w:pPr>
              <w:tabs>
                <w:tab w:val="left" w:pos="743"/>
              </w:tabs>
            </w:pPr>
            <w:r>
              <w:t>E</w:t>
            </w:r>
            <w:r>
              <w:noBreakHyphen/>
              <w:t>m</w:t>
            </w:r>
            <w:r w:rsidR="004D4D03">
              <w:t>ail:</w:t>
            </w:r>
            <w:r w:rsidR="004D4D03">
              <w:tab/>
              <w:t>enquiries@auasb.gov.au</w:t>
            </w:r>
          </w:p>
          <w:p w:rsidR="004D4D03" w:rsidRDefault="004D4D03" w:rsidP="004A6352">
            <w:pPr>
              <w:spacing w:before="240"/>
              <w:rPr>
                <w:b/>
                <w:bCs/>
              </w:rPr>
            </w:pPr>
            <w:r>
              <w:rPr>
                <w:b/>
                <w:bCs/>
              </w:rPr>
              <w:t>Postal Address:</w:t>
            </w:r>
          </w:p>
          <w:p w:rsidR="004D4D03" w:rsidRDefault="004D4D03">
            <w:r>
              <w:t>PO Box 204</w:t>
            </w:r>
            <w:r w:rsidR="00FC157A">
              <w:t xml:space="preserve">, </w:t>
            </w:r>
            <w:r>
              <w:t>Collins Street West</w:t>
            </w:r>
          </w:p>
          <w:p w:rsidR="00A80E83" w:rsidRDefault="004D4D03" w:rsidP="00BF314A">
            <w:r>
              <w:t>Melbourne   Victoria</w:t>
            </w:r>
            <w:r w:rsidR="00FC157A">
              <w:t xml:space="preserve">   </w:t>
            </w:r>
            <w:r>
              <w:t>8007</w:t>
            </w:r>
          </w:p>
          <w:p w:rsidR="004D4D03" w:rsidRDefault="00BF314A" w:rsidP="00BF314A">
            <w:r>
              <w:t>AUSTRALIA</w:t>
            </w:r>
          </w:p>
        </w:tc>
      </w:tr>
    </w:tbl>
    <w:p w:rsidR="006B0D12" w:rsidRDefault="006B0D12">
      <w:pPr>
        <w:spacing w:line="240" w:lineRule="auto"/>
      </w:pPr>
      <w:r>
        <w:br w:type="page"/>
      </w:r>
    </w:p>
    <w:p w:rsidR="00237187" w:rsidRDefault="004D3084" w:rsidP="005D3838">
      <w:pPr>
        <w:pStyle w:val="Heading5"/>
      </w:pPr>
      <w:r>
        <w:lastRenderedPageBreak/>
        <w:t xml:space="preserve">Reasons for Issuing </w:t>
      </w:r>
      <w:bookmarkStart w:id="5" w:name="DocTypeLong"/>
      <w:r w:rsidR="00FB4767">
        <w:t>Auditing Standard</w:t>
      </w:r>
      <w:bookmarkEnd w:id="5"/>
      <w:r>
        <w:t xml:space="preserve"> </w:t>
      </w:r>
      <w:fldSimple w:instr=" REF DocType \* charformat ">
        <w:r w:rsidR="00D27B7C">
          <w:t>ASA</w:t>
        </w:r>
      </w:fldSimple>
      <w:r w:rsidR="00CA06B2">
        <w:t> </w:t>
      </w:r>
      <w:r>
        <w:fldChar w:fldCharType="begin"/>
      </w:r>
      <w:r>
        <w:instrText xml:space="preserve"> REF </w:instrText>
      </w:r>
      <w:r w:rsidR="006B0D12">
        <w:instrText>Doc</w:instrText>
      </w:r>
      <w:r>
        <w:instrText xml:space="preserve">No \* charformat </w:instrText>
      </w:r>
      <w:r>
        <w:fldChar w:fldCharType="separate"/>
      </w:r>
      <w:r w:rsidR="00D27B7C">
        <w:t>610</w:t>
      </w:r>
      <w:r>
        <w:fldChar w:fldCharType="end"/>
      </w:r>
    </w:p>
    <w:p w:rsidR="00FB4767" w:rsidRDefault="00FB4767" w:rsidP="00FB4767">
      <w:pPr>
        <w:pStyle w:val="ParaPlain"/>
      </w:pPr>
      <w:bookmarkStart w:id="6" w:name="ReasonsForIssuing"/>
      <w:bookmarkEnd w:id="6"/>
      <w:r>
        <w:t>The A</w:t>
      </w:r>
      <w:bookmarkStart w:id="7" w:name="CorpsAct"/>
      <w:bookmarkEnd w:id="7"/>
      <w:r>
        <w:t xml:space="preserve">uditing and Assurance Standards Board (AUASB) </w:t>
      </w:r>
      <w:r w:rsidR="00266920">
        <w:t>issues</w:t>
      </w:r>
      <w:r>
        <w:t xml:space="preserve"> </w:t>
      </w:r>
      <w:fldSimple w:instr=" REF DocTypeLong \* charformat " w:fldLock="1">
        <w:r w:rsidRPr="00A363D3">
          <w:t>Auditing Standard</w:t>
        </w:r>
      </w:fldSimple>
      <w:r>
        <w:t xml:space="preserve"> </w:t>
      </w:r>
      <w:fldSimple w:instr=" REF DocType \* charformat " w:fldLock="1">
        <w:r w:rsidRPr="00A363D3">
          <w:t>ASA</w:t>
        </w:r>
      </w:fldSimple>
      <w:r>
        <w:t> </w:t>
      </w:r>
      <w:fldSimple w:instr=" REF DocNo \* charformat " w:fldLock="1">
        <w:r w:rsidRPr="00A363D3">
          <w:t>610</w:t>
        </w:r>
      </w:fldSimple>
      <w:r w:rsidR="00266920">
        <w:t xml:space="preserve"> </w:t>
      </w:r>
      <w:r w:rsidRPr="001133B4">
        <w:rPr>
          <w:i/>
        </w:rPr>
        <w:fldChar w:fldCharType="begin" w:fldLock="1"/>
      </w:r>
      <w:r w:rsidRPr="001133B4">
        <w:rPr>
          <w:i/>
        </w:rPr>
        <w:instrText xml:space="preserve"> REF DocTitle \* charformat </w:instrText>
      </w:r>
      <w:r w:rsidRPr="001133B4">
        <w:rPr>
          <w:i/>
        </w:rPr>
        <w:fldChar w:fldCharType="separate"/>
      </w:r>
      <w:r w:rsidRPr="00A363D3">
        <w:rPr>
          <w:i/>
        </w:rPr>
        <w:t>Using the Work of Internal Auditors</w:t>
      </w:r>
      <w:r w:rsidRPr="001133B4">
        <w:rPr>
          <w:i/>
        </w:rPr>
        <w:fldChar w:fldCharType="end"/>
      </w:r>
      <w:r>
        <w:rPr>
          <w:i/>
        </w:rPr>
        <w:t>,</w:t>
      </w:r>
      <w:r>
        <w:t xml:space="preserve"> pursuant to the requirements of the legislative provisions and the Strategic Direction explained below.</w:t>
      </w:r>
    </w:p>
    <w:p w:rsidR="00FB4767" w:rsidRPr="004D3084" w:rsidRDefault="00FB4767" w:rsidP="00FB4767">
      <w:pPr>
        <w:pStyle w:val="ParaPlain"/>
      </w:pPr>
      <w:r>
        <w:t xml:space="preserve">The AUASB is an independent statutory committee of the Australian Government established under section 227A of the </w:t>
      </w:r>
      <w:r w:rsidRPr="004D3084">
        <w:rPr>
          <w:i/>
        </w:rPr>
        <w:t>Australian Securities</w:t>
      </w:r>
      <w:r>
        <w:rPr>
          <w:i/>
        </w:rPr>
        <w:t xml:space="preserve"> and Investments </w:t>
      </w:r>
      <w:r w:rsidR="00817B13">
        <w:rPr>
          <w:i/>
        </w:rPr>
        <w:t>Commission Act 2001</w:t>
      </w:r>
      <w:r>
        <w:t xml:space="preserve"> (as amended) (</w:t>
      </w:r>
      <w:r w:rsidR="00817B13">
        <w:t>ASIC Act</w:t>
      </w:r>
      <w:r>
        <w:t xml:space="preserve">).  Under section 336 of the </w:t>
      </w:r>
      <w:r w:rsidR="00817B13">
        <w:rPr>
          <w:i/>
        </w:rPr>
        <w:t>Corporations Act 2001</w:t>
      </w:r>
      <w:r>
        <w:t xml:space="preserve">, the AUASB may make Auditing Standards for the purposes of the </w:t>
      </w:r>
      <w:proofErr w:type="gramStart"/>
      <w:r>
        <w:t>corporations</w:t>
      </w:r>
      <w:proofErr w:type="gramEnd"/>
      <w:r>
        <w:t xml:space="preserve"> legislation.  These Auditing Standards are legislative instruments under the </w:t>
      </w:r>
      <w:r>
        <w:rPr>
          <w:i/>
        </w:rPr>
        <w:t>Legislative Instruments Act </w:t>
      </w:r>
      <w:r w:rsidRPr="004D3084">
        <w:rPr>
          <w:i/>
        </w:rPr>
        <w:t>2003</w:t>
      </w:r>
      <w:r>
        <w:t>.</w:t>
      </w:r>
    </w:p>
    <w:p w:rsidR="00FB4767" w:rsidRDefault="00FB4767" w:rsidP="00FB4767">
      <w:pPr>
        <w:pStyle w:val="ParaPlain"/>
      </w:pPr>
      <w:r>
        <w:t>Under the Strategic Direction given to the AUASB by the Financial Reporting Council (FRC), the AUASB is required, inter alia, to develop auditing standards that have a clear public interest focus and are of the highest quality.</w:t>
      </w:r>
    </w:p>
    <w:p w:rsidR="006B0D12" w:rsidRDefault="006B0D12" w:rsidP="006B0D12">
      <w:pPr>
        <w:pStyle w:val="ParaPlain"/>
      </w:pPr>
      <w:r>
        <w:t xml:space="preserve">The Auditing Standard conforms </w:t>
      </w:r>
      <w:proofErr w:type="gramStart"/>
      <w:r>
        <w:t>with</w:t>
      </w:r>
      <w:proofErr w:type="gramEnd"/>
      <w:r>
        <w:t xml:space="preserve"> </w:t>
      </w:r>
      <w:bookmarkStart w:id="8" w:name="DocTypeIntl"/>
      <w:r w:rsidR="00FB4767">
        <w:t>ISA</w:t>
      </w:r>
      <w:bookmarkEnd w:id="8"/>
      <w:r w:rsidR="00CA06B2">
        <w:t> </w:t>
      </w:r>
      <w:bookmarkStart w:id="9" w:name="DocNoIntl"/>
      <w:r w:rsidR="00FB4767">
        <w:t>610</w:t>
      </w:r>
      <w:bookmarkEnd w:id="9"/>
      <w:r>
        <w:t xml:space="preserve"> </w:t>
      </w:r>
      <w:bookmarkStart w:id="10" w:name="DocTitleIntl"/>
      <w:r w:rsidR="00FB4767" w:rsidRPr="00FB4767">
        <w:rPr>
          <w:i/>
        </w:rPr>
        <w:t>Using the Work of Internal Auditors</w:t>
      </w:r>
      <w:bookmarkEnd w:id="10"/>
      <w:r w:rsidR="00266920">
        <w:t xml:space="preserve"> issued by the International Auditing and Assurance Standards Board (IAASB)</w:t>
      </w:r>
      <w:r w:rsidR="00213D73">
        <w:t xml:space="preserve"> in March 2013</w:t>
      </w:r>
      <w:r w:rsidR="00266920">
        <w:t>.</w:t>
      </w:r>
    </w:p>
    <w:p w:rsidR="006B0D12" w:rsidRDefault="006B0D12" w:rsidP="005D3838">
      <w:pPr>
        <w:pStyle w:val="Heading5"/>
      </w:pPr>
      <w:r>
        <w:t>Purpose o</w:t>
      </w:r>
      <w:r w:rsidR="002F25BB">
        <w:t xml:space="preserve">f </w:t>
      </w:r>
      <w:fldSimple w:instr=" REF DocTypeLong \* charformat ">
        <w:r w:rsidR="00D27B7C">
          <w:t>Auditing Standard</w:t>
        </w:r>
      </w:fldSimple>
      <w:r w:rsidR="002F25BB">
        <w:t xml:space="preserve"> </w:t>
      </w:r>
      <w:fldSimple w:instr=" REF DocType \* charformat ">
        <w:r w:rsidR="00D27B7C">
          <w:t>ASA</w:t>
        </w:r>
      </w:fldSimple>
      <w:r w:rsidR="00CA06B2">
        <w:t> </w:t>
      </w:r>
      <w:fldSimple w:instr=" REF DocNo \* charformat ">
        <w:r w:rsidR="00D27B7C">
          <w:t>610</w:t>
        </w:r>
      </w:fldSimple>
      <w:r w:rsidR="002F25BB">
        <w:t xml:space="preserve"> </w:t>
      </w:r>
      <w:r w:rsidR="002F25BB" w:rsidRPr="002F25BB">
        <w:rPr>
          <w:i/>
        </w:rPr>
        <w:fldChar w:fldCharType="begin"/>
      </w:r>
      <w:r w:rsidR="002F25BB" w:rsidRPr="002F25BB">
        <w:rPr>
          <w:i/>
        </w:rPr>
        <w:instrText xml:space="preserve"> REF DocTitle \* charformat </w:instrText>
      </w:r>
      <w:r w:rsidR="002F25BB" w:rsidRPr="002F25BB">
        <w:rPr>
          <w:i/>
        </w:rPr>
        <w:fldChar w:fldCharType="separate"/>
      </w:r>
      <w:r w:rsidR="00D27B7C" w:rsidRPr="00D27B7C">
        <w:rPr>
          <w:i/>
        </w:rPr>
        <w:t>Using the Work of Internal Auditors</w:t>
      </w:r>
      <w:r w:rsidR="002F25BB" w:rsidRPr="002F25BB">
        <w:rPr>
          <w:i/>
        </w:rPr>
        <w:fldChar w:fldCharType="end"/>
      </w:r>
    </w:p>
    <w:p w:rsidR="00FB4767" w:rsidRPr="00E358F6" w:rsidRDefault="00266920" w:rsidP="00FB4767">
      <w:pPr>
        <w:pStyle w:val="ParaPlain"/>
      </w:pPr>
      <w:bookmarkStart w:id="11" w:name="Purpose"/>
      <w:bookmarkEnd w:id="11"/>
      <w:r>
        <w:t>The purpose of this</w:t>
      </w:r>
      <w:r w:rsidR="00FB4767">
        <w:t xml:space="preserve"> </w:t>
      </w:r>
      <w:fldSimple w:instr=" REF DocTypeLong \* charformat " w:fldLock="1">
        <w:r w:rsidR="00FB4767" w:rsidRPr="00A363D3">
          <w:t>Auditing Standard</w:t>
        </w:r>
      </w:fldSimple>
      <w:r w:rsidR="00FB4767">
        <w:t xml:space="preserve"> </w:t>
      </w:r>
      <w:r w:rsidR="00FB4767" w:rsidRPr="00E358F6">
        <w:t xml:space="preserve">is </w:t>
      </w:r>
      <w:r w:rsidR="00817B13">
        <w:t xml:space="preserve">to revise </w:t>
      </w:r>
      <w:r w:rsidR="00FB4767" w:rsidRPr="00E358F6">
        <w:t xml:space="preserve">existing standard ASA 610 </w:t>
      </w:r>
      <w:r w:rsidR="00FB4767" w:rsidRPr="00F169B8">
        <w:rPr>
          <w:i/>
        </w:rPr>
        <w:t>Using</w:t>
      </w:r>
      <w:r w:rsidR="00FB4767" w:rsidRPr="00E358F6">
        <w:t xml:space="preserve"> </w:t>
      </w:r>
      <w:r w:rsidR="00FB4767" w:rsidRPr="00F169B8">
        <w:rPr>
          <w:i/>
        </w:rPr>
        <w:t>the</w:t>
      </w:r>
      <w:r w:rsidR="00FB4767" w:rsidRPr="00E358F6">
        <w:t xml:space="preserve"> </w:t>
      </w:r>
      <w:r w:rsidR="00FB4767" w:rsidRPr="00F169B8">
        <w:rPr>
          <w:i/>
        </w:rPr>
        <w:t>Work</w:t>
      </w:r>
      <w:r w:rsidR="00FB4767" w:rsidRPr="00E358F6">
        <w:t xml:space="preserve"> </w:t>
      </w:r>
      <w:r w:rsidR="00FB4767" w:rsidRPr="00F169B8">
        <w:rPr>
          <w:i/>
        </w:rPr>
        <w:t>of</w:t>
      </w:r>
      <w:r w:rsidR="00FB4767" w:rsidRPr="00E358F6">
        <w:t xml:space="preserve"> </w:t>
      </w:r>
      <w:r w:rsidR="00FB4767" w:rsidRPr="00F169B8">
        <w:rPr>
          <w:i/>
        </w:rPr>
        <w:t>Internal</w:t>
      </w:r>
      <w:r w:rsidR="00FB4767" w:rsidRPr="00E358F6">
        <w:t xml:space="preserve"> </w:t>
      </w:r>
      <w:r w:rsidR="00FB4767" w:rsidRPr="00F169B8">
        <w:rPr>
          <w:i/>
        </w:rPr>
        <w:t>Auditors</w:t>
      </w:r>
      <w:r w:rsidR="00FB4767" w:rsidRPr="00E358F6">
        <w:t xml:space="preserve"> </w:t>
      </w:r>
      <w:r w:rsidR="00FB4767">
        <w:t>(Octo</w:t>
      </w:r>
      <w:r w:rsidR="00817B13">
        <w:t>ber 2009</w:t>
      </w:r>
      <w:r w:rsidR="00FB4767">
        <w:t>)</w:t>
      </w:r>
      <w:r w:rsidR="00817B13">
        <w:t>.</w:t>
      </w:r>
    </w:p>
    <w:p w:rsidR="006B0D12" w:rsidRDefault="006B0D12" w:rsidP="005D3838">
      <w:pPr>
        <w:pStyle w:val="Heading6"/>
      </w:pPr>
      <w:r>
        <w:t>Main Features</w:t>
      </w:r>
    </w:p>
    <w:p w:rsidR="006B0D12" w:rsidRDefault="00266920" w:rsidP="00817B13">
      <w:pPr>
        <w:pStyle w:val="ParaPlain"/>
      </w:pPr>
      <w:r>
        <w:t>This</w:t>
      </w:r>
      <w:r w:rsidR="006B0D12">
        <w:t xml:space="preserve"> Auditing Standard</w:t>
      </w:r>
      <w:r w:rsidR="00817B13">
        <w:t xml:space="preserve"> </w:t>
      </w:r>
      <w:r w:rsidR="00817B13" w:rsidRPr="00212084">
        <w:t xml:space="preserve">is a comprehensive revision of ASA 610 </w:t>
      </w:r>
      <w:r w:rsidR="00817B13" w:rsidRPr="00817B13">
        <w:rPr>
          <w:i/>
        </w:rPr>
        <w:t>Using</w:t>
      </w:r>
      <w:r w:rsidR="00817B13" w:rsidRPr="00212084">
        <w:t xml:space="preserve"> </w:t>
      </w:r>
      <w:r w:rsidR="00817B13" w:rsidRPr="00817B13">
        <w:rPr>
          <w:i/>
        </w:rPr>
        <w:t>the</w:t>
      </w:r>
      <w:r w:rsidR="00817B13" w:rsidRPr="00212084">
        <w:t xml:space="preserve"> </w:t>
      </w:r>
      <w:r w:rsidR="00817B13" w:rsidRPr="00817B13">
        <w:rPr>
          <w:i/>
        </w:rPr>
        <w:t>Work</w:t>
      </w:r>
      <w:r w:rsidR="00817B13" w:rsidRPr="00212084">
        <w:t xml:space="preserve"> </w:t>
      </w:r>
      <w:r w:rsidR="00817B13" w:rsidRPr="00817B13">
        <w:rPr>
          <w:i/>
        </w:rPr>
        <w:t>of</w:t>
      </w:r>
      <w:r w:rsidR="00817B13" w:rsidRPr="00212084">
        <w:t xml:space="preserve"> </w:t>
      </w:r>
      <w:r w:rsidR="00817B13" w:rsidRPr="00817B13">
        <w:rPr>
          <w:i/>
        </w:rPr>
        <w:t>Internal</w:t>
      </w:r>
      <w:r w:rsidR="00817B13" w:rsidRPr="00212084">
        <w:t xml:space="preserve"> </w:t>
      </w:r>
      <w:r w:rsidR="00817B13" w:rsidRPr="00817B13">
        <w:rPr>
          <w:i/>
        </w:rPr>
        <w:t>Auditors</w:t>
      </w:r>
      <w:r w:rsidR="00817B13" w:rsidRPr="00212084">
        <w:t xml:space="preserve"> </w:t>
      </w:r>
      <w:r w:rsidR="00817B13">
        <w:t>(</w:t>
      </w:r>
      <w:r w:rsidR="00817B13" w:rsidRPr="00212084">
        <w:t>October</w:t>
      </w:r>
      <w:r w:rsidR="00817B13">
        <w:t> </w:t>
      </w:r>
      <w:r w:rsidR="00817B13" w:rsidRPr="00212084">
        <w:t>2009)</w:t>
      </w:r>
      <w:r w:rsidR="00817B13">
        <w:t xml:space="preserve"> that:</w:t>
      </w:r>
      <w:r w:rsidR="00C36A73" w:rsidRPr="00C36A73">
        <w:rPr>
          <w:highlight w:val="yellow"/>
        </w:rPr>
        <w:t xml:space="preserve"> </w:t>
      </w:r>
    </w:p>
    <w:p w:rsidR="00FB4767" w:rsidRPr="00E358F6" w:rsidRDefault="00FB4767" w:rsidP="00FB4767">
      <w:pPr>
        <w:pStyle w:val="ParaLevel1"/>
      </w:pPr>
      <w:bookmarkStart w:id="12" w:name="MainFeatures"/>
      <w:bookmarkEnd w:id="12"/>
      <w:r>
        <w:t>R</w:t>
      </w:r>
      <w:r w:rsidRPr="00E358F6">
        <w:t>eflects recent developments in the internal auditing environment;</w:t>
      </w:r>
    </w:p>
    <w:p w:rsidR="00FB4767" w:rsidRPr="00E358F6" w:rsidRDefault="00FB4767" w:rsidP="00FB4767">
      <w:pPr>
        <w:pStyle w:val="ParaLevel1"/>
      </w:pPr>
      <w:bookmarkStart w:id="13" w:name="_Ref359925780"/>
      <w:r>
        <w:t>P</w:t>
      </w:r>
      <w:r w:rsidRPr="00E358F6">
        <w:t>rovides a more robust framework for the evaluation and, where appropriate, use of the work of the internal audit function; and</w:t>
      </w:r>
      <w:bookmarkEnd w:id="13"/>
    </w:p>
    <w:p w:rsidR="00FB4767" w:rsidRDefault="00FB4767" w:rsidP="00FB4767">
      <w:pPr>
        <w:pStyle w:val="ParaLevel1"/>
      </w:pPr>
      <w:r>
        <w:t>P</w:t>
      </w:r>
      <w:r w:rsidRPr="00E358F6">
        <w:t xml:space="preserve">rohibits the use of internal auditors to provide direct assistance in an </w:t>
      </w:r>
      <w:r>
        <w:t xml:space="preserve">independent </w:t>
      </w:r>
      <w:r w:rsidRPr="00E358F6">
        <w:t xml:space="preserve">audit </w:t>
      </w:r>
      <w:r>
        <w:t xml:space="preserve">or review </w:t>
      </w:r>
      <w:r w:rsidRPr="00E358F6">
        <w:t>conducted in accordance with the Australian Auditing Standards.</w:t>
      </w:r>
      <w:r>
        <w:t xml:space="preserve">  For a group audit, this prohibition extends to the use of internal auditors to provide direct assistance in an audit or review of a component, including an overseas component, conducted in accordance with the Australian Auditing Standards. </w:t>
      </w:r>
    </w:p>
    <w:p w:rsidR="00FB4767" w:rsidRDefault="00FB4767" w:rsidP="00FB4767">
      <w:pPr>
        <w:pStyle w:val="ParaLevel1"/>
        <w:numPr>
          <w:ilvl w:val="0"/>
          <w:numId w:val="0"/>
        </w:numPr>
        <w:ind w:left="709"/>
      </w:pPr>
      <w:r>
        <w:t xml:space="preserve">The revised Auditing Standard, therefore, does not include the paragraphs relating to the use of internal auditors to provide direct assistance that are included in </w:t>
      </w:r>
      <w:r w:rsidR="00817B13">
        <w:t>ISA 6</w:t>
      </w:r>
      <w:r>
        <w:t xml:space="preserve">10 </w:t>
      </w:r>
      <w:r w:rsidRPr="00AA4736">
        <w:rPr>
          <w:i/>
        </w:rPr>
        <w:t>Using the Work of Internal Auditors</w:t>
      </w:r>
      <w:r>
        <w:t xml:space="preserve"> and such paragraphs have been replaced with the words “[Deleted by the AUASB.  Refer Aus 1.2]”.</w:t>
      </w:r>
    </w:p>
    <w:p w:rsidR="00FB4767" w:rsidRPr="00E358F6" w:rsidRDefault="00FB4767" w:rsidP="00FB4767">
      <w:pPr>
        <w:pStyle w:val="ParaLevel1"/>
        <w:numPr>
          <w:ilvl w:val="0"/>
          <w:numId w:val="0"/>
        </w:numPr>
        <w:ind w:left="709"/>
      </w:pPr>
      <w:r w:rsidRPr="00E358F6">
        <w:t>This prohibition</w:t>
      </w:r>
      <w:r w:rsidR="00094C4D">
        <w:t>,</w:t>
      </w:r>
      <w:r w:rsidRPr="00E358F6">
        <w:t xml:space="preserve"> </w:t>
      </w:r>
      <w:r w:rsidR="00094C4D">
        <w:t xml:space="preserve">which has been made to preserve auditor independence, </w:t>
      </w:r>
      <w:r w:rsidRPr="00E358F6">
        <w:t xml:space="preserve">does not represent a divergence from ISA 610, as the IAASB makes </w:t>
      </w:r>
      <w:r>
        <w:t xml:space="preserve">it </w:t>
      </w:r>
      <w:r w:rsidRPr="00E358F6">
        <w:t xml:space="preserve">clear that its requirements and guidance in this area will not be applicable in jurisdictions where </w:t>
      </w:r>
      <w:r>
        <w:t xml:space="preserve">the use of internal auditors to provide </w:t>
      </w:r>
      <w:r w:rsidRPr="00E358F6">
        <w:t>direct assistance is prohibited.</w:t>
      </w:r>
      <w:r>
        <w:t xml:space="preserve">  </w:t>
      </w:r>
    </w:p>
    <w:p w:rsidR="00FB4767" w:rsidRPr="00E358F6" w:rsidRDefault="00FB4767" w:rsidP="00FB4767">
      <w:pPr>
        <w:pStyle w:val="ParaPlain"/>
      </w:pPr>
      <w:r w:rsidRPr="00E358F6">
        <w:t xml:space="preserve">This </w:t>
      </w:r>
      <w:r>
        <w:t>Auditing S</w:t>
      </w:r>
      <w:r w:rsidRPr="00E358F6">
        <w:t>tandard contains both new and revised requirements.</w:t>
      </w:r>
      <w:r>
        <w:t xml:space="preserve">  </w:t>
      </w:r>
      <w:r w:rsidRPr="00E358F6">
        <w:t>The revised requirements clarify existing requirements and make explicit matters that are implicit in ASA 610</w:t>
      </w:r>
      <w:r w:rsidR="00280ADE">
        <w:t xml:space="preserve"> (October </w:t>
      </w:r>
      <w:r w:rsidR="000B5FBF">
        <w:t>2009)</w:t>
      </w:r>
      <w:r w:rsidRPr="00E358F6">
        <w:t>.</w:t>
      </w:r>
      <w:r>
        <w:t xml:space="preserve">  </w:t>
      </w:r>
      <w:r w:rsidRPr="00E358F6">
        <w:t xml:space="preserve">The new requirements, in most instances, articulate what would ordinarily be expected to occur in </w:t>
      </w:r>
      <w:r>
        <w:t xml:space="preserve">current </w:t>
      </w:r>
      <w:r w:rsidRPr="00E358F6">
        <w:t>practice.</w:t>
      </w:r>
    </w:p>
    <w:p w:rsidR="00FB4767" w:rsidRPr="00E358F6" w:rsidRDefault="00FB4767" w:rsidP="00FB4767">
      <w:pPr>
        <w:pStyle w:val="ParaPlain"/>
      </w:pPr>
      <w:r w:rsidRPr="00E358F6">
        <w:t>The main proposals in this Auditing Standard are:</w:t>
      </w:r>
    </w:p>
    <w:p w:rsidR="00FB4767" w:rsidRPr="00E358F6" w:rsidRDefault="00FB4767" w:rsidP="00266920">
      <w:pPr>
        <w:pStyle w:val="ParaLevel2"/>
        <w:tabs>
          <w:tab w:val="clear" w:pos="1418"/>
          <w:tab w:val="num" w:pos="709"/>
        </w:tabs>
        <w:ind w:left="709"/>
      </w:pPr>
      <w:r w:rsidRPr="00E358F6">
        <w:t>Revised requirements relating to the external auditor:</w:t>
      </w:r>
    </w:p>
    <w:p w:rsidR="00FB4767" w:rsidRPr="00E358F6" w:rsidRDefault="00FB4767" w:rsidP="004010B3">
      <w:pPr>
        <w:pStyle w:val="ParaLevel3"/>
        <w:tabs>
          <w:tab w:val="clear" w:pos="2127"/>
          <w:tab w:val="num" w:pos="1418"/>
        </w:tabs>
        <w:spacing w:after="120"/>
        <w:ind w:left="1418"/>
      </w:pPr>
      <w:r>
        <w:lastRenderedPageBreak/>
        <w:t>D</w:t>
      </w:r>
      <w:r w:rsidRPr="00E358F6">
        <w:t>etermining whether, in which areas, and to what extent</w:t>
      </w:r>
      <w:r>
        <w:t>,</w:t>
      </w:r>
      <w:r w:rsidRPr="00E358F6">
        <w:t xml:space="preserve"> the work of the internal audit function can be used; and</w:t>
      </w:r>
    </w:p>
    <w:p w:rsidR="00FB4767" w:rsidRPr="00E358F6" w:rsidRDefault="00FB4767" w:rsidP="00266920">
      <w:pPr>
        <w:pStyle w:val="ParaLevel3"/>
        <w:tabs>
          <w:tab w:val="clear" w:pos="2127"/>
          <w:tab w:val="num" w:pos="1418"/>
        </w:tabs>
        <w:ind w:left="1418"/>
      </w:pPr>
      <w:r>
        <w:t>D</w:t>
      </w:r>
      <w:r w:rsidRPr="00E358F6">
        <w:t>etermining the adequacy of the work of the internal audit</w:t>
      </w:r>
      <w:r>
        <w:t xml:space="preserve"> function</w:t>
      </w:r>
      <w:r w:rsidRPr="00E358F6">
        <w:t xml:space="preserve"> for the purposes of the audit.</w:t>
      </w:r>
    </w:p>
    <w:p w:rsidR="00FB4767" w:rsidRPr="00E358F6" w:rsidRDefault="00FB4767" w:rsidP="00266920">
      <w:pPr>
        <w:pStyle w:val="ParaLevel2"/>
        <w:tabs>
          <w:tab w:val="clear" w:pos="1418"/>
          <w:tab w:val="num" w:pos="709"/>
        </w:tabs>
        <w:ind w:left="709"/>
      </w:pPr>
      <w:r w:rsidRPr="00E358F6">
        <w:t>New requirements for the external auditor, if planning to use the work of the internal audit function, to:</w:t>
      </w:r>
    </w:p>
    <w:p w:rsidR="00FB4767" w:rsidRPr="00E358F6" w:rsidRDefault="00FB4767" w:rsidP="004010B3">
      <w:pPr>
        <w:pStyle w:val="ParaLevel3"/>
        <w:tabs>
          <w:tab w:val="clear" w:pos="2127"/>
          <w:tab w:val="num" w:pos="1418"/>
        </w:tabs>
        <w:spacing w:after="120"/>
        <w:ind w:left="1418"/>
      </w:pPr>
      <w:r w:rsidRPr="00E358F6">
        <w:t>Evaluate whether using the work of the internal audit function would still result in the external auditor being sufficiently involved in the audit;</w:t>
      </w:r>
    </w:p>
    <w:p w:rsidR="00FB4767" w:rsidRPr="00E358F6" w:rsidRDefault="00FB4767" w:rsidP="004010B3">
      <w:pPr>
        <w:pStyle w:val="ParaLevel3"/>
        <w:tabs>
          <w:tab w:val="clear" w:pos="2127"/>
          <w:tab w:val="num" w:pos="1418"/>
        </w:tabs>
        <w:spacing w:after="120"/>
        <w:ind w:left="1418"/>
      </w:pPr>
      <w:r w:rsidRPr="00E358F6">
        <w:t>Communicate with those charged with governance the planned use of the work of the internal audit function;</w:t>
      </w:r>
    </w:p>
    <w:p w:rsidR="00FB4767" w:rsidRPr="00E358F6" w:rsidRDefault="00FB4767" w:rsidP="004010B3">
      <w:pPr>
        <w:pStyle w:val="ParaLevel3"/>
        <w:tabs>
          <w:tab w:val="clear" w:pos="2127"/>
          <w:tab w:val="num" w:pos="1418"/>
        </w:tabs>
        <w:spacing w:after="120"/>
        <w:ind w:left="1418"/>
      </w:pPr>
      <w:r w:rsidRPr="00E358F6">
        <w:t>Communicate with the internal audit function, to co</w:t>
      </w:r>
      <w:r>
        <w:noBreakHyphen/>
      </w:r>
      <w:r w:rsidRPr="00E358F6">
        <w:t>ordinate the relevant activities of the internal and external auditors; and</w:t>
      </w:r>
    </w:p>
    <w:p w:rsidR="00FB4767" w:rsidRPr="00E358F6" w:rsidRDefault="00FB4767" w:rsidP="00266920">
      <w:pPr>
        <w:pStyle w:val="ParaLevel3"/>
        <w:tabs>
          <w:tab w:val="clear" w:pos="2127"/>
          <w:tab w:val="num" w:pos="1418"/>
        </w:tabs>
        <w:ind w:left="1418"/>
      </w:pPr>
      <w:r w:rsidRPr="00E358F6">
        <w:t>Re</w:t>
      </w:r>
      <w:r w:rsidRPr="00E358F6">
        <w:noBreakHyphen/>
        <w:t xml:space="preserve">perform some of the </w:t>
      </w:r>
      <w:proofErr w:type="gramStart"/>
      <w:r w:rsidRPr="00E358F6">
        <w:t>work of the internal audit function</w:t>
      </w:r>
      <w:proofErr w:type="gramEnd"/>
      <w:r w:rsidRPr="00E358F6">
        <w:t xml:space="preserve"> that is planned to be used.</w:t>
      </w:r>
    </w:p>
    <w:p w:rsidR="00FB4767" w:rsidRDefault="00FB4767" w:rsidP="00266920">
      <w:pPr>
        <w:pStyle w:val="ParaLevel2"/>
        <w:tabs>
          <w:tab w:val="clear" w:pos="1418"/>
          <w:tab w:val="num" w:pos="709"/>
        </w:tabs>
        <w:ind w:left="709"/>
      </w:pPr>
      <w:r w:rsidRPr="00E358F6">
        <w:t xml:space="preserve">A clear link between ASA 610 and ASA 315 </w:t>
      </w:r>
      <w:r w:rsidRPr="00DA043F">
        <w:rPr>
          <w:i/>
        </w:rPr>
        <w:t>Identifying and Assessing the Risks of Material Misstatement through Understanding the Entity and Its Environment</w:t>
      </w:r>
      <w:r>
        <w:t xml:space="preserve"> </w:t>
      </w:r>
      <w:r w:rsidRPr="00E358F6">
        <w:t>(as amended)</w:t>
      </w:r>
      <w:r>
        <w:t>,</w:t>
      </w:r>
      <w:r w:rsidRPr="00E358F6">
        <w:t xml:space="preserve"> which contains a new requirement for the auditor’s risk assessment procedures to include enquiries of appropriate individuals within the internal audit function (if the function exists), whether or not the auditor expects to use the work of that function.</w:t>
      </w:r>
    </w:p>
    <w:p w:rsidR="00C36A73" w:rsidRDefault="00C36A73" w:rsidP="00C36A73">
      <w:pPr>
        <w:pStyle w:val="Heading5"/>
      </w:pPr>
      <w:r>
        <w:t>Operative Date</w:t>
      </w:r>
    </w:p>
    <w:p w:rsidR="00C36A73" w:rsidRPr="002F25BB" w:rsidRDefault="00D27B7C" w:rsidP="00C36A73">
      <w:pPr>
        <w:pStyle w:val="ParaPlain"/>
        <w:rPr>
          <w:i/>
        </w:rPr>
      </w:pPr>
      <w:fldSimple w:instr=" REF DocType \* charformat ">
        <w:r>
          <w:t>ASA</w:t>
        </w:r>
      </w:fldSimple>
      <w:r w:rsidR="00C36A73">
        <w:t> </w:t>
      </w:r>
      <w:fldSimple w:instr=" REF DocNo \* charformat ">
        <w:r>
          <w:t>610</w:t>
        </w:r>
      </w:fldSimple>
      <w:r w:rsidR="00C36A73">
        <w:t xml:space="preserve"> </w:t>
      </w:r>
      <w:r w:rsidR="00C36A73" w:rsidRPr="002F25BB">
        <w:rPr>
          <w:i/>
        </w:rPr>
        <w:fldChar w:fldCharType="begin"/>
      </w:r>
      <w:r w:rsidR="00C36A73" w:rsidRPr="002F25BB">
        <w:rPr>
          <w:i/>
        </w:rPr>
        <w:instrText xml:space="preserve"> REF DocTitle \* charformat </w:instrText>
      </w:r>
      <w:r w:rsidR="00C36A73" w:rsidRPr="002F25BB">
        <w:rPr>
          <w:i/>
        </w:rPr>
        <w:fldChar w:fldCharType="separate"/>
      </w:r>
      <w:r w:rsidRPr="00D27B7C">
        <w:rPr>
          <w:i/>
        </w:rPr>
        <w:t>Using the Work of Internal Auditors</w:t>
      </w:r>
      <w:r w:rsidR="00C36A73" w:rsidRPr="002F25BB">
        <w:rPr>
          <w:i/>
        </w:rPr>
        <w:fldChar w:fldCharType="end"/>
      </w:r>
      <w:r w:rsidR="00C36A73">
        <w:t xml:space="preserve"> is operative for </w:t>
      </w:r>
      <w:r w:rsidR="00C238D3">
        <w:t xml:space="preserve">financial reporting periods commencing on or after </w:t>
      </w:r>
      <w:r w:rsidR="00817B13">
        <w:t>1 January 2014</w:t>
      </w:r>
      <w:r w:rsidR="00C238D3">
        <w:t>.  Early adoption is permitted</w:t>
      </w:r>
      <w:bookmarkStart w:id="14" w:name="OpDate"/>
      <w:bookmarkEnd w:id="14"/>
      <w:r w:rsidR="00C36A73">
        <w:t>.</w:t>
      </w:r>
    </w:p>
    <w:p w:rsidR="005D3838" w:rsidRDefault="005D3838" w:rsidP="005D3838">
      <w:pPr>
        <w:pStyle w:val="Heading5"/>
      </w:pPr>
      <w:r>
        <w:t>Process of making Australian Auditing Standards</w:t>
      </w:r>
    </w:p>
    <w:p w:rsidR="005D3838" w:rsidRDefault="002F25BB" w:rsidP="006B0D12">
      <w:pPr>
        <w:pStyle w:val="ParaPlain"/>
      </w:pPr>
      <w:r>
        <w:t xml:space="preserve">The AUASB’s Strategic Direction, </w:t>
      </w:r>
      <w:r>
        <w:rPr>
          <w:i/>
        </w:rPr>
        <w:t>inter alia</w:t>
      </w:r>
      <w:r>
        <w:t>, provides that the AUASB develop Australian Auditing Standards that:</w:t>
      </w:r>
    </w:p>
    <w:p w:rsidR="002F25BB" w:rsidRDefault="002F25BB" w:rsidP="002F25BB">
      <w:pPr>
        <w:pStyle w:val="ListBullet"/>
      </w:pPr>
      <w:r>
        <w:t>have a clear public interest focus and are of the highest quality;</w:t>
      </w:r>
    </w:p>
    <w:p w:rsidR="002F25BB" w:rsidRDefault="002F25BB" w:rsidP="002F25BB">
      <w:pPr>
        <w:pStyle w:val="ListBullet"/>
      </w:pPr>
      <w:r>
        <w:t>use the International Standards on Auditing (ISAs) of the International Auditing and Assurance Standards Board (IAASB) as the underlying standards;</w:t>
      </w:r>
    </w:p>
    <w:p w:rsidR="002F25BB" w:rsidRDefault="002F25BB" w:rsidP="002F25BB">
      <w:pPr>
        <w:pStyle w:val="ListBullet"/>
      </w:pPr>
      <w:r>
        <w:t>conform with the Australian regulatory environment; and</w:t>
      </w:r>
    </w:p>
    <w:p w:rsidR="002F25BB" w:rsidRDefault="002F25BB" w:rsidP="002F25BB">
      <w:pPr>
        <w:pStyle w:val="ListBullet"/>
      </w:pPr>
      <w:r>
        <w:t>are capable of enforcement.</w:t>
      </w:r>
    </w:p>
    <w:p w:rsidR="005D3838" w:rsidRDefault="005D3838" w:rsidP="00076DDD">
      <w:pPr>
        <w:pStyle w:val="Heading5"/>
      </w:pPr>
      <w:r>
        <w:t>Consultation Process prior to issuing the Auditing Standard</w:t>
      </w:r>
    </w:p>
    <w:p w:rsidR="005D3838" w:rsidRDefault="00A614F0" w:rsidP="006B0D12">
      <w:pPr>
        <w:pStyle w:val="ParaPlain"/>
      </w:pPr>
      <w:r>
        <w:t>The AUASB has consulted publicly as part of its due process in developing the Auditing Standard.  Exposure Draft ED</w:t>
      </w:r>
      <w:r w:rsidR="00CA06B2">
        <w:t> </w:t>
      </w:r>
      <w:r w:rsidR="00C238D3">
        <w:t xml:space="preserve">02/13 Proposed Auditing Standard </w:t>
      </w:r>
      <w:r w:rsidR="00817B13">
        <w:t>ASA 6</w:t>
      </w:r>
      <w:r w:rsidR="00C238D3">
        <w:t>10</w:t>
      </w:r>
      <w:r>
        <w:t xml:space="preserve"> </w:t>
      </w:r>
      <w:r w:rsidR="00C238D3">
        <w:rPr>
          <w:i/>
        </w:rPr>
        <w:t>Using the Work of Internal Auditors</w:t>
      </w:r>
      <w:r w:rsidR="002517A6">
        <w:t xml:space="preserve"> </w:t>
      </w:r>
      <w:r>
        <w:t xml:space="preserve">was issued on </w:t>
      </w:r>
      <w:r w:rsidR="00817B13">
        <w:t>2 August 2013</w:t>
      </w:r>
      <w:r>
        <w:t xml:space="preserve"> with a </w:t>
      </w:r>
      <w:r w:rsidR="00C238D3">
        <w:t>60</w:t>
      </w:r>
      <w:r w:rsidR="00CA06B2">
        <w:t> </w:t>
      </w:r>
      <w:r>
        <w:t>day comment period.</w:t>
      </w:r>
      <w:r w:rsidR="00C238D3">
        <w:t xml:space="preserve">  At the same time, the AUASB issued ED 03/13 Proposed Auditing Standard ASA 201</w:t>
      </w:r>
      <w:r w:rsidR="00817B13">
        <w:t>3</w:t>
      </w:r>
      <w:r w:rsidR="00817B13">
        <w:noBreakHyphen/>
        <w:t>2</w:t>
      </w:r>
      <w:r w:rsidR="00C238D3">
        <w:t xml:space="preserve"> </w:t>
      </w:r>
      <w:r w:rsidR="00C238D3" w:rsidRPr="00C238D3">
        <w:rPr>
          <w:i/>
        </w:rPr>
        <w:t>Amendments to Australian Auditing Standards</w:t>
      </w:r>
      <w:r w:rsidR="00C238D3">
        <w:t>, which makes consequential amendments to Australian Auditing Standards arising</w:t>
      </w:r>
      <w:r w:rsidR="00266920">
        <w:t xml:space="preserve"> from the revision of ASA 610, with </w:t>
      </w:r>
      <w:r w:rsidR="00C238D3">
        <w:t>a 60 </w:t>
      </w:r>
      <w:proofErr w:type="gramStart"/>
      <w:r w:rsidR="00C238D3">
        <w:t>day</w:t>
      </w:r>
      <w:proofErr w:type="gramEnd"/>
      <w:r w:rsidR="00C238D3">
        <w:t xml:space="preserve"> comment period.</w:t>
      </w:r>
    </w:p>
    <w:p w:rsidR="00A614F0" w:rsidRPr="002F25BB" w:rsidRDefault="00A614F0" w:rsidP="00A614F0">
      <w:pPr>
        <w:pStyle w:val="ParaPlain"/>
      </w:pPr>
      <w:r>
        <w:t>Submissions were received by the AUASB and these were considered as part of the development and finalisation of the Auditing Standard.</w:t>
      </w:r>
    </w:p>
    <w:p w:rsidR="005D3838" w:rsidRDefault="005D3838" w:rsidP="00076DDD">
      <w:pPr>
        <w:pStyle w:val="Heading5"/>
      </w:pPr>
      <w:r>
        <w:t xml:space="preserve">Regulatory Impact </w:t>
      </w:r>
      <w:r w:rsidR="00C238D3">
        <w:t>Analysis</w:t>
      </w:r>
    </w:p>
    <w:p w:rsidR="00A614F0" w:rsidRPr="002F25BB" w:rsidRDefault="00C238D3" w:rsidP="00A614F0">
      <w:pPr>
        <w:pStyle w:val="ParaPlain"/>
      </w:pPr>
      <w:r>
        <w:t>A Regulation</w:t>
      </w:r>
      <w:r w:rsidR="00C36A73">
        <w:t xml:space="preserve"> Impact </w:t>
      </w:r>
      <w:r>
        <w:t>Assess</w:t>
      </w:r>
      <w:r w:rsidR="00C36A73">
        <w:t xml:space="preserve">ment (RIA) has been prepared in connection with the preparation of </w:t>
      </w:r>
      <w:fldSimple w:instr=" REF DocType \* charformat ">
        <w:r w:rsidR="00D27B7C">
          <w:t>ASA</w:t>
        </w:r>
      </w:fldSimple>
      <w:r w:rsidR="00C36A73">
        <w:t> </w:t>
      </w:r>
      <w:fldSimple w:instr=" REF DocNo \* charformat ">
        <w:r w:rsidR="00D27B7C">
          <w:t>610</w:t>
        </w:r>
      </w:fldSimple>
      <w:r w:rsidR="00C36A73">
        <w:t xml:space="preserve">.  The RIA has been </w:t>
      </w:r>
      <w:r>
        <w:t>cleared</w:t>
      </w:r>
      <w:r w:rsidR="00C36A73">
        <w:t xml:space="preserve"> by the Office of Best Practice Regulation (OBPR).</w:t>
      </w:r>
    </w:p>
    <w:tbl>
      <w:tblPr>
        <w:tblStyle w:val="TableGrid"/>
        <w:tblW w:w="0" w:type="auto"/>
        <w:tblLook w:val="04A0" w:firstRow="1" w:lastRow="0" w:firstColumn="1" w:lastColumn="0" w:noHBand="0" w:noVBand="1"/>
        <w:tblCaption w:val="Statement of Compatibility with Human Rights"/>
        <w:tblDescription w:val="Statement of Compatibility with Human Rights prepared in accordance with Part 3 of the Human Rights (Parliamentary Scrutiny) Act 2011"/>
      </w:tblPr>
      <w:tblGrid>
        <w:gridCol w:w="9287"/>
      </w:tblGrid>
      <w:tr w:rsidR="009E35AC" w:rsidRPr="009E35AC" w:rsidTr="009E35AC">
        <w:tc>
          <w:tcPr>
            <w:tcW w:w="9287" w:type="dxa"/>
          </w:tcPr>
          <w:p w:rsidR="009E35AC" w:rsidRDefault="009E35AC" w:rsidP="009E35AC">
            <w:pPr>
              <w:pStyle w:val="BoxHeading"/>
            </w:pPr>
            <w:r w:rsidRPr="009E35AC">
              <w:lastRenderedPageBreak/>
              <w:t>STATEMENT OF COMPATIBILITY WITH HUMAN RIGHTS</w:t>
            </w:r>
          </w:p>
          <w:p w:rsidR="009E35AC" w:rsidRDefault="009E35AC" w:rsidP="009E35AC">
            <w:pPr>
              <w:pStyle w:val="Heading7"/>
            </w:pPr>
            <w:r>
              <w:t>P</w:t>
            </w:r>
            <w:r w:rsidR="00496A4A">
              <w:t>repared in accordance with Part </w:t>
            </w:r>
            <w:r>
              <w:t>3 of the Human Righ</w:t>
            </w:r>
            <w:r w:rsidR="00496A4A">
              <w:t>ts (Parliamentary Scrutiny) Act </w:t>
            </w:r>
            <w:r>
              <w:t>2011</w:t>
            </w:r>
          </w:p>
          <w:p w:rsidR="009E35AC" w:rsidRPr="009E35AC" w:rsidRDefault="009E35AC" w:rsidP="00496A4A">
            <w:pPr>
              <w:pStyle w:val="Heading6"/>
              <w:ind w:left="2836" w:hanging="2836"/>
            </w:pPr>
            <w:r w:rsidRPr="009E35AC">
              <w:t>Legislative Instrument:</w:t>
            </w:r>
            <w:r w:rsidRPr="009E35AC">
              <w:tab/>
            </w:r>
            <w:fldSimple w:instr=" REF DocTypeLong \* charformat ">
              <w:r w:rsidR="00D27B7C">
                <w:t>Auditing Standard</w:t>
              </w:r>
            </w:fldSimple>
            <w:r>
              <w:t xml:space="preserve"> </w:t>
            </w:r>
            <w:fldSimple w:instr=" REF DocType \* charformat ">
              <w:r w:rsidR="00D27B7C">
                <w:t>ASA</w:t>
              </w:r>
            </w:fldSimple>
            <w:r>
              <w:t> </w:t>
            </w:r>
            <w:fldSimple w:instr=" REF DocNo \* charformat ">
              <w:r w:rsidR="00D27B7C">
                <w:t>610</w:t>
              </w:r>
            </w:fldSimple>
            <w:r>
              <w:t xml:space="preserve"> </w:t>
            </w:r>
            <w:r w:rsidRPr="009E35AC">
              <w:rPr>
                <w:i/>
              </w:rPr>
              <w:fldChar w:fldCharType="begin"/>
            </w:r>
            <w:r w:rsidRPr="009E35AC">
              <w:rPr>
                <w:i/>
              </w:rPr>
              <w:instrText xml:space="preserve"> REF DocTitle \* charformat </w:instrText>
            </w:r>
            <w:r w:rsidRPr="009E35AC">
              <w:rPr>
                <w:i/>
              </w:rPr>
              <w:fldChar w:fldCharType="separate"/>
            </w:r>
            <w:r w:rsidR="00D27B7C" w:rsidRPr="00D27B7C">
              <w:rPr>
                <w:i/>
              </w:rPr>
              <w:t>Using the Work of Internal Auditors</w:t>
            </w:r>
            <w:r w:rsidRPr="009E35AC">
              <w:rPr>
                <w:i/>
              </w:rPr>
              <w:fldChar w:fldCharType="end"/>
            </w:r>
          </w:p>
          <w:p w:rsidR="009E35AC" w:rsidRDefault="009E35AC" w:rsidP="00496A4A">
            <w:pPr>
              <w:pStyle w:val="ParaPlain"/>
            </w:pPr>
            <w:r>
              <w:t xml:space="preserve">This Legislative Instrument is </w:t>
            </w:r>
            <w:r w:rsidR="00496A4A">
              <w:t xml:space="preserve">compatible with the human rights and freedoms recognised or declared in the international instruments listed in section 3 of the </w:t>
            </w:r>
            <w:r w:rsidR="00496A4A" w:rsidRPr="00496A4A">
              <w:rPr>
                <w:i/>
              </w:rPr>
              <w:t>Human Rights (Parliamentary Scrutiny) Act 2011</w:t>
            </w:r>
            <w:r w:rsidR="00496A4A">
              <w:t>.</w:t>
            </w:r>
          </w:p>
          <w:p w:rsidR="00496A4A" w:rsidRDefault="00496A4A" w:rsidP="00496A4A">
            <w:pPr>
              <w:pStyle w:val="Heading6"/>
            </w:pPr>
            <w:r>
              <w:t>Overview of the Legislative Instrument</w:t>
            </w:r>
          </w:p>
          <w:p w:rsidR="00496A4A" w:rsidRDefault="00496A4A" w:rsidP="00496A4A">
            <w:pPr>
              <w:pStyle w:val="Heading7"/>
            </w:pPr>
            <w:r>
              <w:t>Background</w:t>
            </w:r>
          </w:p>
          <w:p w:rsidR="00496A4A" w:rsidRDefault="00496A4A" w:rsidP="00496A4A">
            <w:pPr>
              <w:pStyle w:val="ParaPlain"/>
            </w:pPr>
            <w:r>
              <w:t xml:space="preserve">The AUASB is an independent statutory committee of the Australian Government established under section 227A of the </w:t>
            </w:r>
            <w:r>
              <w:rPr>
                <w:i/>
              </w:rPr>
              <w:t xml:space="preserve">Australian Securities and Investments </w:t>
            </w:r>
            <w:r w:rsidR="00817B13">
              <w:rPr>
                <w:i/>
              </w:rPr>
              <w:t>Commission Act 2001</w:t>
            </w:r>
            <w:r>
              <w:t>, as amended (</w:t>
            </w:r>
            <w:r w:rsidR="00817B13">
              <w:t>ASIC Act</w:t>
            </w:r>
            <w:r>
              <w:t xml:space="preserve">).  Under section 336 of the </w:t>
            </w:r>
            <w:r w:rsidR="00817B13">
              <w:rPr>
                <w:i/>
              </w:rPr>
              <w:t>Corporations Act 2001</w:t>
            </w:r>
            <w:r>
              <w:t xml:space="preserve">, the AUASB may make Auditing Standards for the purposes of the </w:t>
            </w:r>
            <w:proofErr w:type="gramStart"/>
            <w:r>
              <w:t>corporations</w:t>
            </w:r>
            <w:proofErr w:type="gramEnd"/>
            <w:r>
              <w:t xml:space="preserve"> legislation.  These Auditing Standards are legislative instruments under the </w:t>
            </w:r>
            <w:r>
              <w:rPr>
                <w:i/>
              </w:rPr>
              <w:t>Legislative Instruments Act 2003</w:t>
            </w:r>
            <w:r>
              <w:t>.</w:t>
            </w:r>
          </w:p>
          <w:p w:rsidR="00496A4A" w:rsidRDefault="00496A4A" w:rsidP="00496A4A">
            <w:pPr>
              <w:pStyle w:val="Heading7"/>
            </w:pPr>
            <w:r>
              <w:t xml:space="preserve">Purpose of </w:t>
            </w:r>
            <w:fldSimple w:instr=" REF DocTypeLong \* charformat ">
              <w:r w:rsidR="00D27B7C">
                <w:t>Auditing Standard</w:t>
              </w:r>
            </w:fldSimple>
            <w:r>
              <w:t xml:space="preserve"> </w:t>
            </w:r>
            <w:fldSimple w:instr=" REF DocType \* charformat ">
              <w:r w:rsidR="00D27B7C" w:rsidRPr="00D27B7C">
                <w:t>ASA</w:t>
              </w:r>
            </w:fldSimple>
            <w:r>
              <w:t> </w:t>
            </w:r>
            <w:fldSimple w:instr=" REF DocNo \* charformat ">
              <w:r w:rsidR="00D27B7C" w:rsidRPr="00D27B7C">
                <w:t>610</w:t>
              </w:r>
            </w:fldSimple>
          </w:p>
          <w:p w:rsidR="00817B13" w:rsidRDefault="00496A4A" w:rsidP="00817B13">
            <w:pPr>
              <w:pStyle w:val="ParaPlain"/>
            </w:pPr>
            <w:r>
              <w:t xml:space="preserve">The purpose of </w:t>
            </w:r>
            <w:fldSimple w:instr=" REF DocType \* charformat ">
              <w:r w:rsidR="00D27B7C">
                <w:t>ASA</w:t>
              </w:r>
            </w:fldSimple>
            <w:r>
              <w:t> </w:t>
            </w:r>
            <w:fldSimple w:instr=" REF DocNo \* charformat ">
              <w:r w:rsidR="00D27B7C">
                <w:t>610</w:t>
              </w:r>
            </w:fldSimple>
            <w:r>
              <w:t xml:space="preserve"> is to </w:t>
            </w:r>
            <w:r w:rsidR="00817B13" w:rsidRPr="00F82C3A">
              <w:t xml:space="preserve">revise </w:t>
            </w:r>
            <w:r w:rsidR="00A26C93">
              <w:t xml:space="preserve">the </w:t>
            </w:r>
            <w:r w:rsidR="00817B13" w:rsidRPr="00F82C3A">
              <w:t xml:space="preserve">existing </w:t>
            </w:r>
            <w:r w:rsidR="00A26C93">
              <w:t xml:space="preserve">auditing </w:t>
            </w:r>
            <w:r w:rsidR="00817B13" w:rsidRPr="00F82C3A">
              <w:t xml:space="preserve">standard ASA 610 </w:t>
            </w:r>
            <w:r w:rsidR="00817B13" w:rsidRPr="00817B13">
              <w:rPr>
                <w:i/>
              </w:rPr>
              <w:t>Using</w:t>
            </w:r>
            <w:r w:rsidR="00817B13" w:rsidRPr="00F82C3A">
              <w:t xml:space="preserve"> </w:t>
            </w:r>
            <w:r w:rsidR="00817B13" w:rsidRPr="00817B13">
              <w:rPr>
                <w:i/>
              </w:rPr>
              <w:t>the</w:t>
            </w:r>
            <w:r w:rsidR="00817B13" w:rsidRPr="00F82C3A">
              <w:t xml:space="preserve"> </w:t>
            </w:r>
            <w:r w:rsidR="00817B13" w:rsidRPr="00817B13">
              <w:rPr>
                <w:i/>
              </w:rPr>
              <w:t>Work</w:t>
            </w:r>
            <w:r w:rsidR="00817B13" w:rsidRPr="00F82C3A">
              <w:t xml:space="preserve"> </w:t>
            </w:r>
            <w:r w:rsidR="00817B13" w:rsidRPr="00817B13">
              <w:rPr>
                <w:i/>
              </w:rPr>
              <w:t>of</w:t>
            </w:r>
            <w:r w:rsidR="00817B13" w:rsidRPr="00F82C3A">
              <w:t xml:space="preserve"> </w:t>
            </w:r>
            <w:r w:rsidR="00817B13" w:rsidRPr="00817B13">
              <w:rPr>
                <w:i/>
              </w:rPr>
              <w:t>Internal</w:t>
            </w:r>
            <w:r w:rsidR="00817B13" w:rsidRPr="00F82C3A">
              <w:t xml:space="preserve"> </w:t>
            </w:r>
            <w:r w:rsidR="00817B13" w:rsidRPr="00817B13">
              <w:rPr>
                <w:i/>
              </w:rPr>
              <w:t>Auditors</w:t>
            </w:r>
            <w:r w:rsidR="00817B13" w:rsidRPr="00F82C3A">
              <w:t xml:space="preserve"> (issued October 2009).</w:t>
            </w:r>
          </w:p>
          <w:p w:rsidR="00496A4A" w:rsidRDefault="00496A4A" w:rsidP="00496A4A">
            <w:pPr>
              <w:pStyle w:val="Heading7"/>
            </w:pPr>
            <w:r>
              <w:t>Main Features</w:t>
            </w:r>
          </w:p>
          <w:p w:rsidR="00817B13" w:rsidRPr="00BB16A0" w:rsidRDefault="00D27B7C" w:rsidP="00817B13">
            <w:pPr>
              <w:pStyle w:val="ParaPlain"/>
            </w:pPr>
            <w:fldSimple w:instr=" REF DocType \* charformat ">
              <w:r>
                <w:t>ASA</w:t>
              </w:r>
            </w:fldSimple>
            <w:r w:rsidR="00496A4A">
              <w:t> </w:t>
            </w:r>
            <w:fldSimple w:instr=" REF DocNo \* charformat ">
              <w:r>
                <w:t>610</w:t>
              </w:r>
            </w:fldSimple>
            <w:r w:rsidR="00817B13">
              <w:t xml:space="preserve"> </w:t>
            </w:r>
            <w:r w:rsidR="00817B13" w:rsidRPr="00BB16A0">
              <w:t xml:space="preserve">is a comprehensive revision of </w:t>
            </w:r>
            <w:r w:rsidR="00A26C93">
              <w:t xml:space="preserve">the existing </w:t>
            </w:r>
            <w:r w:rsidR="00817B13" w:rsidRPr="00BB16A0">
              <w:t xml:space="preserve">ASA 610 </w:t>
            </w:r>
            <w:r w:rsidR="00817B13" w:rsidRPr="00817B13">
              <w:rPr>
                <w:i/>
              </w:rPr>
              <w:t>Using</w:t>
            </w:r>
            <w:r w:rsidR="00817B13" w:rsidRPr="00BB16A0">
              <w:t xml:space="preserve"> </w:t>
            </w:r>
            <w:r w:rsidR="00817B13" w:rsidRPr="00817B13">
              <w:rPr>
                <w:i/>
              </w:rPr>
              <w:t>the</w:t>
            </w:r>
            <w:r w:rsidR="00817B13" w:rsidRPr="00BB16A0">
              <w:t xml:space="preserve"> </w:t>
            </w:r>
            <w:r w:rsidR="00817B13" w:rsidRPr="00817B13">
              <w:rPr>
                <w:i/>
              </w:rPr>
              <w:t>Work</w:t>
            </w:r>
            <w:r w:rsidR="00817B13" w:rsidRPr="00BB16A0">
              <w:t xml:space="preserve"> </w:t>
            </w:r>
            <w:r w:rsidR="00817B13" w:rsidRPr="00817B13">
              <w:rPr>
                <w:i/>
              </w:rPr>
              <w:t>of</w:t>
            </w:r>
            <w:r w:rsidR="00817B13" w:rsidRPr="00BB16A0">
              <w:t xml:space="preserve"> </w:t>
            </w:r>
            <w:r w:rsidR="00817B13" w:rsidRPr="00817B13">
              <w:rPr>
                <w:i/>
              </w:rPr>
              <w:t>Internal</w:t>
            </w:r>
            <w:r w:rsidR="00817B13" w:rsidRPr="00BB16A0">
              <w:t xml:space="preserve"> </w:t>
            </w:r>
            <w:r w:rsidR="00817B13" w:rsidRPr="00817B13">
              <w:rPr>
                <w:i/>
              </w:rPr>
              <w:t>Auditors</w:t>
            </w:r>
            <w:r w:rsidR="00817B13" w:rsidRPr="00BB16A0">
              <w:t xml:space="preserve"> (</w:t>
            </w:r>
            <w:r w:rsidR="00A26C93">
              <w:t xml:space="preserve">issued in </w:t>
            </w:r>
            <w:r w:rsidR="00817B13" w:rsidRPr="00BB16A0">
              <w:t>October 2009) that:</w:t>
            </w:r>
            <w:r w:rsidR="00817B13" w:rsidRPr="00BB16A0">
              <w:rPr>
                <w:highlight w:val="yellow"/>
              </w:rPr>
              <w:t xml:space="preserve"> </w:t>
            </w:r>
          </w:p>
          <w:p w:rsidR="00817B13" w:rsidRDefault="00817B13" w:rsidP="00817B13">
            <w:pPr>
              <w:pStyle w:val="ParaLevel1"/>
              <w:numPr>
                <w:ilvl w:val="0"/>
                <w:numId w:val="42"/>
              </w:numPr>
              <w:ind w:hanging="720"/>
            </w:pPr>
            <w:r w:rsidRPr="00BB16A0">
              <w:t>Reflects recent developments in the internal auditing environment;</w:t>
            </w:r>
          </w:p>
          <w:p w:rsidR="00817B13" w:rsidRPr="00BB16A0" w:rsidRDefault="00817B13" w:rsidP="00B80947">
            <w:pPr>
              <w:pStyle w:val="ParaLevel1"/>
              <w:numPr>
                <w:ilvl w:val="0"/>
                <w:numId w:val="42"/>
              </w:numPr>
              <w:ind w:hanging="720"/>
            </w:pPr>
            <w:r w:rsidRPr="00BB16A0">
              <w:t>Provides a more robust framework for the evaluation and, where appropriate, use of the work of the internal audit function; and</w:t>
            </w:r>
          </w:p>
          <w:p w:rsidR="00817B13" w:rsidRDefault="00817B13" w:rsidP="00B80947">
            <w:pPr>
              <w:pStyle w:val="ParaLevel1"/>
              <w:numPr>
                <w:ilvl w:val="0"/>
                <w:numId w:val="42"/>
              </w:numPr>
              <w:ind w:hanging="720"/>
            </w:pPr>
            <w:r w:rsidRPr="00BB16A0">
              <w:t xml:space="preserve">Prohibits the use of internal auditors to provide direct assistance in an independent </w:t>
            </w:r>
            <w:r w:rsidR="00A26C93">
              <w:t xml:space="preserve">external </w:t>
            </w:r>
            <w:r w:rsidRPr="00BB16A0">
              <w:t>audit or review conducted in accordance with the Australian Auditing Standards.</w:t>
            </w:r>
            <w:r>
              <w:t xml:space="preserve">  </w:t>
            </w:r>
            <w:r w:rsidRPr="00BB16A0">
              <w:t>For a group audit, this prohibition extends to the use of internal auditors to provide direct assistance in an audit or review of a component</w:t>
            </w:r>
            <w:r w:rsidR="00A26C93">
              <w:t xml:space="preserve"> entity</w:t>
            </w:r>
            <w:r w:rsidRPr="00BB16A0">
              <w:t>, including an overseas component</w:t>
            </w:r>
            <w:r w:rsidR="00A26C93">
              <w:t xml:space="preserve"> entity</w:t>
            </w:r>
            <w:r w:rsidRPr="00BB16A0">
              <w:t>, conducted in accordance with the Australian Auditing Standards.</w:t>
            </w:r>
            <w:r>
              <w:t xml:space="preserve">  </w:t>
            </w:r>
          </w:p>
          <w:p w:rsidR="002E5081" w:rsidRDefault="002E5081" w:rsidP="002E5081">
            <w:pPr>
              <w:pStyle w:val="Heading6"/>
            </w:pPr>
            <w:r>
              <w:t>Human Rights Implications</w:t>
            </w:r>
          </w:p>
          <w:p w:rsidR="002E5081" w:rsidRDefault="002E5081" w:rsidP="002E5081">
            <w:pPr>
              <w:pStyle w:val="ParaPlain"/>
            </w:pPr>
            <w:r>
              <w:t xml:space="preserve">This Legislative Instrument does not engage any of the applicable rights or freedoms due to </w:t>
            </w:r>
            <w:r w:rsidR="00A26C93">
              <w:t xml:space="preserve">the </w:t>
            </w:r>
            <w:r w:rsidR="00B80947">
              <w:t>nature and c</w:t>
            </w:r>
            <w:r w:rsidR="00280ADE">
              <w:t>ontent of the amendments to ASA 610 (October </w:t>
            </w:r>
            <w:r w:rsidR="00B80947">
              <w:t>2009).</w:t>
            </w:r>
          </w:p>
          <w:p w:rsidR="002E5081" w:rsidRDefault="002E5081" w:rsidP="00A26C93">
            <w:pPr>
              <w:pStyle w:val="Heading6"/>
            </w:pPr>
            <w:r>
              <w:t>Conclusion</w:t>
            </w:r>
          </w:p>
          <w:p w:rsidR="002E5081" w:rsidRPr="002E5081" w:rsidRDefault="002E5081" w:rsidP="002E5081">
            <w:pPr>
              <w:pStyle w:val="ParaPlain"/>
            </w:pPr>
            <w:r>
              <w:t>This Legislative Instrument is compatible with human rights as it does not raise any human rights issues.</w:t>
            </w:r>
          </w:p>
        </w:tc>
      </w:tr>
    </w:tbl>
    <w:p w:rsidR="00496A4A" w:rsidRPr="002F25BB" w:rsidRDefault="00496A4A" w:rsidP="00496A4A"/>
    <w:sectPr w:rsidR="00496A4A" w:rsidRPr="002F25BB" w:rsidSect="00A80E83">
      <w:headerReference w:type="default" r:id="rId12"/>
      <w:footerReference w:type="default" r:id="rId13"/>
      <w:headerReference w:type="first" r:id="rId14"/>
      <w:footerReference w:type="first" r:id="rId15"/>
      <w:pgSz w:w="11907" w:h="16840" w:code="9"/>
      <w:pgMar w:top="1985" w:right="1418" w:bottom="1701" w:left="1418" w:header="992" w:footer="99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767" w:rsidRDefault="00FB4767">
      <w:r>
        <w:separator/>
      </w:r>
    </w:p>
  </w:endnote>
  <w:endnote w:type="continuationSeparator" w:id="0">
    <w:p w:rsidR="00FB4767" w:rsidRDefault="00FB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C3A" w:rsidRDefault="00D27B7C" w:rsidP="001562E6">
    <w:pPr>
      <w:pStyle w:val="Footer"/>
      <w:spacing w:before="200"/>
      <w:rPr>
        <w:rStyle w:val="PageNumber"/>
      </w:rPr>
    </w:pPr>
    <w:fldSimple w:instr=" REF DocType \* charformat ">
      <w:r>
        <w:t>ASA</w:t>
      </w:r>
    </w:fldSimple>
    <w:r w:rsidR="00206C3A">
      <w:t xml:space="preserve"> </w:t>
    </w:r>
    <w:fldSimple w:instr=" REF DocNo \* charformat ">
      <w:r>
        <w:t>610</w:t>
      </w:r>
    </w:fldSimple>
    <w:r w:rsidR="00206C3A">
      <w:rPr>
        <w:rStyle w:val="PageNumber"/>
      </w:rPr>
      <w:tab/>
    </w:r>
    <w:r w:rsidR="00206C3A">
      <w:rPr>
        <w:b w:val="0"/>
        <w:bCs/>
      </w:rPr>
      <w:t xml:space="preserve">- </w:t>
    </w:r>
    <w:r w:rsidR="00206C3A">
      <w:rPr>
        <w:rStyle w:val="PageNumber"/>
        <w:b w:val="0"/>
        <w:bCs/>
      </w:rPr>
      <w:fldChar w:fldCharType="begin"/>
    </w:r>
    <w:r w:rsidR="00206C3A">
      <w:rPr>
        <w:rStyle w:val="PageNumber"/>
        <w:b w:val="0"/>
        <w:bCs/>
      </w:rPr>
      <w:instrText xml:space="preserve"> PAGE </w:instrText>
    </w:r>
    <w:r w:rsidR="00206C3A">
      <w:rPr>
        <w:rStyle w:val="PageNumber"/>
        <w:b w:val="0"/>
        <w:bCs/>
      </w:rPr>
      <w:fldChar w:fldCharType="separate"/>
    </w:r>
    <w:r w:rsidR="003A2444">
      <w:rPr>
        <w:rStyle w:val="PageNumber"/>
        <w:b w:val="0"/>
        <w:bCs/>
        <w:noProof/>
      </w:rPr>
      <w:t>5</w:t>
    </w:r>
    <w:r w:rsidR="00206C3A">
      <w:rPr>
        <w:rStyle w:val="PageNumber"/>
        <w:b w:val="0"/>
        <w:bCs/>
      </w:rPr>
      <w:fldChar w:fldCharType="end"/>
    </w:r>
    <w:r w:rsidR="00206C3A">
      <w:rPr>
        <w:rStyle w:val="PageNumber"/>
        <w:b w:val="0"/>
        <w:bCs/>
      </w:rPr>
      <w:t xml:space="preserve"> -</w:t>
    </w:r>
    <w:r w:rsidR="00206C3A">
      <w:rPr>
        <w:rStyle w:val="PageNumber"/>
      </w:rPr>
      <w:tab/>
      <w:t>EXPLANATORY STATEMENT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C3A" w:rsidRDefault="00D27B7C" w:rsidP="001562E6">
    <w:pPr>
      <w:pStyle w:val="Footer"/>
      <w:spacing w:before="200"/>
      <w:rPr>
        <w:rStyle w:val="PageNumber"/>
      </w:rPr>
    </w:pPr>
    <w:fldSimple w:instr=" REF DocType \* charformat ">
      <w:r>
        <w:t>ASA</w:t>
      </w:r>
    </w:fldSimple>
    <w:r w:rsidR="00206C3A">
      <w:t xml:space="preserve"> </w:t>
    </w:r>
    <w:fldSimple w:instr=" REF DocNo \* charformat ">
      <w:r>
        <w:t>610</w:t>
      </w:r>
    </w:fldSimple>
    <w:r w:rsidR="00206C3A">
      <w:rPr>
        <w:rStyle w:val="PageNumber"/>
      </w:rPr>
      <w:tab/>
    </w:r>
    <w:r w:rsidR="00206C3A">
      <w:rPr>
        <w:b w:val="0"/>
        <w:bCs/>
      </w:rPr>
      <w:t xml:space="preserve">- </w:t>
    </w:r>
    <w:r w:rsidR="00206C3A">
      <w:rPr>
        <w:rStyle w:val="PageNumber"/>
        <w:b w:val="0"/>
        <w:bCs/>
      </w:rPr>
      <w:fldChar w:fldCharType="begin"/>
    </w:r>
    <w:r w:rsidR="00206C3A">
      <w:rPr>
        <w:rStyle w:val="PageNumber"/>
        <w:b w:val="0"/>
        <w:bCs/>
      </w:rPr>
      <w:instrText xml:space="preserve"> PAGE </w:instrText>
    </w:r>
    <w:r w:rsidR="00206C3A">
      <w:rPr>
        <w:rStyle w:val="PageNumber"/>
        <w:b w:val="0"/>
        <w:bCs/>
      </w:rPr>
      <w:fldChar w:fldCharType="separate"/>
    </w:r>
    <w:r w:rsidR="003A2444">
      <w:rPr>
        <w:rStyle w:val="PageNumber"/>
        <w:b w:val="0"/>
        <w:bCs/>
        <w:noProof/>
      </w:rPr>
      <w:t>2</w:t>
    </w:r>
    <w:r w:rsidR="00206C3A">
      <w:rPr>
        <w:rStyle w:val="PageNumber"/>
        <w:b w:val="0"/>
        <w:bCs/>
      </w:rPr>
      <w:fldChar w:fldCharType="end"/>
    </w:r>
    <w:r w:rsidR="00206C3A">
      <w:rPr>
        <w:rStyle w:val="PageNumber"/>
        <w:b w:val="0"/>
        <w:bCs/>
      </w:rPr>
      <w:t xml:space="preserve"> -</w:t>
    </w:r>
    <w:r w:rsidR="00206C3A">
      <w:rPr>
        <w:rStyle w:val="PageNumber"/>
      </w:rPr>
      <w:tab/>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767" w:rsidRDefault="00FB4767" w:rsidP="00CA06B2">
      <w:pPr>
        <w:spacing w:before="240"/>
      </w:pPr>
      <w:r>
        <w:separator/>
      </w:r>
    </w:p>
  </w:footnote>
  <w:footnote w:type="continuationSeparator" w:id="0">
    <w:p w:rsidR="00FB4767" w:rsidRDefault="00FB4767" w:rsidP="00CA06B2">
      <w:pPr>
        <w:spacing w:before="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C3A" w:rsidRDefault="00206C3A">
    <w:pPr>
      <w:pStyle w:val="Header"/>
      <w:pBdr>
        <w:bottom w:val="none" w:sz="0" w:space="0" w:color="auto"/>
      </w:pBd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C3A" w:rsidRDefault="00206C3A">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C3A" w:rsidRDefault="00206C3A">
    <w:pPr>
      <w:pStyle w:val="Header"/>
      <w:rPr>
        <w:i/>
        <w:iCs/>
      </w:rPr>
    </w:pPr>
    <w:r>
      <w:t>Explanatory Statement</w:t>
    </w:r>
    <w:r w:rsidRPr="00C649F8">
      <w:t xml:space="preserve"> </w:t>
    </w:r>
    <w:fldSimple w:instr=" REF DocType \* charformat ">
      <w:r w:rsidR="00D27B7C">
        <w:t>ASA</w:t>
      </w:r>
    </w:fldSimple>
    <w:r w:rsidRPr="00C649F8">
      <w:t xml:space="preserve"> </w:t>
    </w:r>
    <w:fldSimple w:instr=" REF DocNo \* charformat ">
      <w:r w:rsidR="00D27B7C">
        <w:t>610</w:t>
      </w:r>
    </w:fldSimple>
    <w:r>
      <w:t xml:space="preserve"> </w:t>
    </w:r>
    <w:r w:rsidRPr="00C649F8">
      <w:rPr>
        <w:i/>
        <w:iCs/>
      </w:rPr>
      <w:fldChar w:fldCharType="begin"/>
    </w:r>
    <w:r w:rsidRPr="00C649F8">
      <w:rPr>
        <w:i/>
        <w:iCs/>
      </w:rPr>
      <w:instrText xml:space="preserve"> REF DocTitle \* charformat </w:instrText>
    </w:r>
    <w:r w:rsidRPr="00C649F8">
      <w:rPr>
        <w:i/>
        <w:iCs/>
      </w:rPr>
      <w:fldChar w:fldCharType="separate"/>
    </w:r>
    <w:r w:rsidR="00D27B7C" w:rsidRPr="00D27B7C">
      <w:rPr>
        <w:i/>
        <w:iCs/>
      </w:rPr>
      <w:t>Using the Work of Internal Auditors</w:t>
    </w:r>
    <w:r w:rsidRPr="00C649F8">
      <w:fldChar w:fldCharType="end"/>
    </w:r>
  </w:p>
  <w:p w:rsidR="00206C3A" w:rsidRDefault="00206C3A" w:rsidP="00F46978">
    <w:pPr>
      <w:pStyle w:val="Header"/>
      <w:spacing w:after="20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C3A" w:rsidRDefault="00206C3A">
    <w:pPr>
      <w:pStyle w:val="Header"/>
      <w:pBdr>
        <w:bottom w:val="none" w:sz="0" w:space="0" w:color="auto"/>
      </w:pBd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7C14D4"/>
    <w:multiLevelType w:val="hybridMultilevel"/>
    <w:tmpl w:val="49B04F04"/>
    <w:lvl w:ilvl="0" w:tplc="1804B2CE">
      <w:start w:val="1"/>
      <w:numFmt w:val="bullet"/>
      <w:lvlText w:val="o"/>
      <w:lvlJc w:val="left"/>
      <w:pPr>
        <w:tabs>
          <w:tab w:val="num" w:pos="2126"/>
        </w:tabs>
        <w:ind w:left="2126" w:hanging="70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B10786"/>
    <w:multiLevelType w:val="hybridMultilevel"/>
    <w:tmpl w:val="C7E42B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B282748"/>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5">
    <w:nsid w:val="1ED62E04"/>
    <w:multiLevelType w:val="multilevel"/>
    <w:tmpl w:val="996AFC5A"/>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6">
    <w:nsid w:val="233C5B6B"/>
    <w:multiLevelType w:val="multilevel"/>
    <w:tmpl w:val="4E5C80F8"/>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7">
    <w:nsid w:val="237C0915"/>
    <w:multiLevelType w:val="multilevel"/>
    <w:tmpl w:val="D90E8D8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9">
    <w:nsid w:val="27F821CB"/>
    <w:multiLevelType w:val="hybridMultilevel"/>
    <w:tmpl w:val="1CDC9BEA"/>
    <w:lvl w:ilvl="0" w:tplc="8A94C782">
      <w:start w:val="1"/>
      <w:numFmt w:val="bullet"/>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EE70E3"/>
    <w:multiLevelType w:val="multilevel"/>
    <w:tmpl w:val="213ED3E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9A23BD9"/>
    <w:multiLevelType w:val="hybridMultilevel"/>
    <w:tmpl w:val="809074BC"/>
    <w:lvl w:ilvl="0" w:tplc="AAC84BFE">
      <w:start w:val="1"/>
      <w:numFmt w:val="bullet"/>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AE4A8E"/>
    <w:multiLevelType w:val="hybridMultilevel"/>
    <w:tmpl w:val="F7F03D7A"/>
    <w:lvl w:ilvl="0" w:tplc="28BE53A0">
      <w:start w:val="1"/>
      <w:numFmt w:val="lowerLetter"/>
      <w:lvlText w:val="(%1)"/>
      <w:lvlJc w:val="left"/>
      <w:pPr>
        <w:tabs>
          <w:tab w:val="num" w:pos="709"/>
        </w:tabs>
        <w:ind w:left="709" w:hanging="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52504F"/>
    <w:multiLevelType w:val="hybridMultilevel"/>
    <w:tmpl w:val="FCC49D66"/>
    <w:lvl w:ilvl="0" w:tplc="DFF2F438">
      <w:start w:val="1"/>
      <w:numFmt w:val="bullet"/>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B63B74"/>
    <w:multiLevelType w:val="multilevel"/>
    <w:tmpl w:val="3EA83578"/>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648D53F6"/>
    <w:multiLevelType w:val="multilevel"/>
    <w:tmpl w:val="1A8AA198"/>
    <w:numStyleLink w:val="AUASBListBullets"/>
  </w:abstractNum>
  <w:abstractNum w:abstractNumId="17">
    <w:nsid w:val="67993364"/>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69C02929"/>
    <w:multiLevelType w:val="hybridMultilevel"/>
    <w:tmpl w:val="7F847CDE"/>
    <w:lvl w:ilvl="0" w:tplc="4860E214">
      <w:start w:val="1"/>
      <w:numFmt w:val="bullet"/>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B361F6"/>
    <w:multiLevelType w:val="hybridMultilevel"/>
    <w:tmpl w:val="AB2A1FF2"/>
    <w:lvl w:ilvl="0" w:tplc="00201714">
      <w:start w:val="1"/>
      <w:numFmt w:val="bullet"/>
      <w:lvlText w:val="◊"/>
      <w:lvlJc w:val="left"/>
      <w:pPr>
        <w:tabs>
          <w:tab w:val="num" w:pos="3544"/>
        </w:tabs>
        <w:ind w:left="3544" w:hanging="709"/>
      </w:pPr>
      <w:rPr>
        <w:rFonts w:ascii="Times New Roman" w:hAnsi="Times New Roman"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587097B"/>
    <w:multiLevelType w:val="multilevel"/>
    <w:tmpl w:val="80C8DBD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79325674"/>
    <w:multiLevelType w:val="hybridMultilevel"/>
    <w:tmpl w:val="BAC80ED8"/>
    <w:lvl w:ilvl="0" w:tplc="91340BBE">
      <w:start w:val="1"/>
      <w:numFmt w:val="bullet"/>
      <w:lvlText w:val="♦"/>
      <w:lvlJc w:val="left"/>
      <w:pPr>
        <w:tabs>
          <w:tab w:val="num" w:pos="2835"/>
        </w:tabs>
        <w:ind w:left="2835" w:hanging="709"/>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A392D64"/>
    <w:multiLevelType w:val="hybridMultilevel"/>
    <w:tmpl w:val="1FA8B230"/>
    <w:lvl w:ilvl="0" w:tplc="5158F546">
      <w:start w:val="1"/>
      <w:numFmt w:val="bullet"/>
      <w:lvlText w:val=""/>
      <w:lvlJc w:val="left"/>
      <w:pPr>
        <w:tabs>
          <w:tab w:val="num" w:pos="1418"/>
        </w:tabs>
        <w:ind w:left="1418"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C7729E5"/>
    <w:multiLevelType w:val="multilevel"/>
    <w:tmpl w:val="CED093EE"/>
    <w:lvl w:ilvl="0">
      <w:start w:val="1"/>
      <w:numFmt w:val="decimal"/>
      <w:lvlText w:val="A%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18"/>
  </w:num>
  <w:num w:numId="3">
    <w:abstractNumId w:val="14"/>
  </w:num>
  <w:num w:numId="4">
    <w:abstractNumId w:val="0"/>
  </w:num>
  <w:num w:numId="5">
    <w:abstractNumId w:val="10"/>
  </w:num>
  <w:num w:numId="6">
    <w:abstractNumId w:val="9"/>
  </w:num>
  <w:num w:numId="7">
    <w:abstractNumId w:val="7"/>
  </w:num>
  <w:num w:numId="8">
    <w:abstractNumId w:val="13"/>
  </w:num>
  <w:num w:numId="9">
    <w:abstractNumId w:val="22"/>
  </w:num>
  <w:num w:numId="10">
    <w:abstractNumId w:val="11"/>
  </w:num>
  <w:num w:numId="11">
    <w:abstractNumId w:val="1"/>
  </w:num>
  <w:num w:numId="12">
    <w:abstractNumId w:val="21"/>
  </w:num>
  <w:num w:numId="13">
    <w:abstractNumId w:val="19"/>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3"/>
  </w:num>
  <w:num w:numId="17">
    <w:abstractNumId w:val="23"/>
  </w:num>
  <w:num w:numId="18">
    <w:abstractNumId w:val="23"/>
  </w:num>
  <w:num w:numId="19">
    <w:abstractNumId w:val="23"/>
  </w:num>
  <w:num w:numId="20">
    <w:abstractNumId w:val="23"/>
  </w:num>
  <w:num w:numId="21">
    <w:abstractNumId w:val="23"/>
  </w:num>
  <w:num w:numId="22">
    <w:abstractNumId w:val="22"/>
  </w:num>
  <w:num w:numId="23">
    <w:abstractNumId w:val="1"/>
  </w:num>
  <w:num w:numId="24">
    <w:abstractNumId w:val="21"/>
  </w:num>
  <w:num w:numId="25">
    <w:abstractNumId w:val="19"/>
  </w:num>
  <w:num w:numId="26">
    <w:abstractNumId w:val="15"/>
  </w:num>
  <w:num w:numId="27">
    <w:abstractNumId w:val="15"/>
  </w:num>
  <w:num w:numId="28">
    <w:abstractNumId w:val="15"/>
  </w:num>
  <w:num w:numId="29">
    <w:abstractNumId w:val="13"/>
  </w:num>
  <w:num w:numId="30">
    <w:abstractNumId w:val="17"/>
  </w:num>
  <w:num w:numId="31">
    <w:abstractNumId w:val="17"/>
  </w:num>
  <w:num w:numId="32">
    <w:abstractNumId w:val="17"/>
  </w:num>
  <w:num w:numId="33">
    <w:abstractNumId w:val="3"/>
  </w:num>
  <w:num w:numId="34">
    <w:abstractNumId w:val="4"/>
  </w:num>
  <w:num w:numId="35">
    <w:abstractNumId w:val="16"/>
  </w:num>
  <w:num w:numId="36">
    <w:abstractNumId w:val="20"/>
  </w:num>
  <w:num w:numId="37">
    <w:abstractNumId w:val="5"/>
  </w:num>
  <w:num w:numId="38">
    <w:abstractNumId w:val="6"/>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6"/>
  </w:num>
  <w:num w:numId="44">
    <w:abstractNumId w:val="6"/>
  </w:num>
  <w:num w:numId="45">
    <w:abstractNumId w:val="6"/>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intFractionalCharacterWidth/>
  <w:hideGrammaticalErrors/>
  <w:activeWritingStyle w:appName="MSWord" w:lang="en-AU" w:vendorID="64" w:dllVersion="131077" w:nlCheck="1" w:checkStyle="1"/>
  <w:activeWritingStyle w:appName="MSWord" w:lang="en-AU"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16385">
      <o:colormru v:ext="edit" colors="#ddd,silver,#eaeaea"/>
    </o:shapedefaults>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767"/>
    <w:rsid w:val="0000664A"/>
    <w:rsid w:val="000120D9"/>
    <w:rsid w:val="00015F83"/>
    <w:rsid w:val="00034AFA"/>
    <w:rsid w:val="00061C75"/>
    <w:rsid w:val="00076DDD"/>
    <w:rsid w:val="0008431E"/>
    <w:rsid w:val="00094C4D"/>
    <w:rsid w:val="00097BDA"/>
    <w:rsid w:val="000A2F4F"/>
    <w:rsid w:val="000B579F"/>
    <w:rsid w:val="000B5FBF"/>
    <w:rsid w:val="000C1EE5"/>
    <w:rsid w:val="000D1A44"/>
    <w:rsid w:val="000D243E"/>
    <w:rsid w:val="000E141A"/>
    <w:rsid w:val="00105B19"/>
    <w:rsid w:val="001133B4"/>
    <w:rsid w:val="00115E2C"/>
    <w:rsid w:val="00123AF9"/>
    <w:rsid w:val="001562E6"/>
    <w:rsid w:val="00184705"/>
    <w:rsid w:val="001B5857"/>
    <w:rsid w:val="001C00FE"/>
    <w:rsid w:val="001C671A"/>
    <w:rsid w:val="001C6A39"/>
    <w:rsid w:val="001E344F"/>
    <w:rsid w:val="00203DF2"/>
    <w:rsid w:val="00205AAB"/>
    <w:rsid w:val="00206C3A"/>
    <w:rsid w:val="00213D73"/>
    <w:rsid w:val="00221539"/>
    <w:rsid w:val="00222D31"/>
    <w:rsid w:val="00237187"/>
    <w:rsid w:val="002517A6"/>
    <w:rsid w:val="0025349C"/>
    <w:rsid w:val="00262DBD"/>
    <w:rsid w:val="00266920"/>
    <w:rsid w:val="00270E3E"/>
    <w:rsid w:val="00274FCE"/>
    <w:rsid w:val="00275B2D"/>
    <w:rsid w:val="00277A56"/>
    <w:rsid w:val="00280ADE"/>
    <w:rsid w:val="00287D3A"/>
    <w:rsid w:val="002C33E9"/>
    <w:rsid w:val="002C6361"/>
    <w:rsid w:val="002D3424"/>
    <w:rsid w:val="002E5081"/>
    <w:rsid w:val="002F25BB"/>
    <w:rsid w:val="00301C19"/>
    <w:rsid w:val="00306690"/>
    <w:rsid w:val="00316D36"/>
    <w:rsid w:val="00317138"/>
    <w:rsid w:val="00324E2F"/>
    <w:rsid w:val="00325A5D"/>
    <w:rsid w:val="00331C6B"/>
    <w:rsid w:val="00334F5D"/>
    <w:rsid w:val="003522A7"/>
    <w:rsid w:val="0036205D"/>
    <w:rsid w:val="0036352F"/>
    <w:rsid w:val="003663DE"/>
    <w:rsid w:val="003674A3"/>
    <w:rsid w:val="003874B1"/>
    <w:rsid w:val="00397A7A"/>
    <w:rsid w:val="003A03DE"/>
    <w:rsid w:val="003A0F68"/>
    <w:rsid w:val="003A2444"/>
    <w:rsid w:val="003B0290"/>
    <w:rsid w:val="004010B3"/>
    <w:rsid w:val="00404E72"/>
    <w:rsid w:val="004123DE"/>
    <w:rsid w:val="004230B8"/>
    <w:rsid w:val="00453D65"/>
    <w:rsid w:val="00470C0A"/>
    <w:rsid w:val="00496A4A"/>
    <w:rsid w:val="004A003C"/>
    <w:rsid w:val="004A6352"/>
    <w:rsid w:val="004C6639"/>
    <w:rsid w:val="004D3084"/>
    <w:rsid w:val="004D4D03"/>
    <w:rsid w:val="00520E13"/>
    <w:rsid w:val="005213D3"/>
    <w:rsid w:val="0052624B"/>
    <w:rsid w:val="00546141"/>
    <w:rsid w:val="00560BEF"/>
    <w:rsid w:val="00575E6B"/>
    <w:rsid w:val="005A752C"/>
    <w:rsid w:val="005B6565"/>
    <w:rsid w:val="005D3838"/>
    <w:rsid w:val="005F31E8"/>
    <w:rsid w:val="006014A0"/>
    <w:rsid w:val="00612F73"/>
    <w:rsid w:val="00627868"/>
    <w:rsid w:val="00635B00"/>
    <w:rsid w:val="0063639C"/>
    <w:rsid w:val="00643057"/>
    <w:rsid w:val="00643692"/>
    <w:rsid w:val="006667D5"/>
    <w:rsid w:val="006923C1"/>
    <w:rsid w:val="006A1F8C"/>
    <w:rsid w:val="006B0D12"/>
    <w:rsid w:val="006B1C10"/>
    <w:rsid w:val="006E419A"/>
    <w:rsid w:val="006E78F9"/>
    <w:rsid w:val="006F32A8"/>
    <w:rsid w:val="00701A41"/>
    <w:rsid w:val="00706C5E"/>
    <w:rsid w:val="00722F13"/>
    <w:rsid w:val="007275DF"/>
    <w:rsid w:val="00731B50"/>
    <w:rsid w:val="0073531A"/>
    <w:rsid w:val="007449B9"/>
    <w:rsid w:val="00756E55"/>
    <w:rsid w:val="00782097"/>
    <w:rsid w:val="00782360"/>
    <w:rsid w:val="00784841"/>
    <w:rsid w:val="007B449F"/>
    <w:rsid w:val="007B5ACC"/>
    <w:rsid w:val="007B60DF"/>
    <w:rsid w:val="007C4C65"/>
    <w:rsid w:val="007F0D16"/>
    <w:rsid w:val="00806A9F"/>
    <w:rsid w:val="00817B13"/>
    <w:rsid w:val="008546BE"/>
    <w:rsid w:val="00857A6F"/>
    <w:rsid w:val="00880310"/>
    <w:rsid w:val="008809E8"/>
    <w:rsid w:val="008844E4"/>
    <w:rsid w:val="008B6960"/>
    <w:rsid w:val="008C72ED"/>
    <w:rsid w:val="008E386B"/>
    <w:rsid w:val="008F418D"/>
    <w:rsid w:val="00926344"/>
    <w:rsid w:val="009310BF"/>
    <w:rsid w:val="00937B54"/>
    <w:rsid w:val="00960A96"/>
    <w:rsid w:val="00963076"/>
    <w:rsid w:val="00973778"/>
    <w:rsid w:val="00995437"/>
    <w:rsid w:val="009A7ECB"/>
    <w:rsid w:val="009C471A"/>
    <w:rsid w:val="009E35AC"/>
    <w:rsid w:val="009F566D"/>
    <w:rsid w:val="009F6A28"/>
    <w:rsid w:val="00A04AC3"/>
    <w:rsid w:val="00A134B2"/>
    <w:rsid w:val="00A13EDD"/>
    <w:rsid w:val="00A22AC3"/>
    <w:rsid w:val="00A25CDF"/>
    <w:rsid w:val="00A26C93"/>
    <w:rsid w:val="00A52193"/>
    <w:rsid w:val="00A5777C"/>
    <w:rsid w:val="00A614F0"/>
    <w:rsid w:val="00A80E83"/>
    <w:rsid w:val="00A8621D"/>
    <w:rsid w:val="00AA46D1"/>
    <w:rsid w:val="00AB4024"/>
    <w:rsid w:val="00AC4228"/>
    <w:rsid w:val="00AF2F98"/>
    <w:rsid w:val="00AF43C8"/>
    <w:rsid w:val="00B314B2"/>
    <w:rsid w:val="00B37C0F"/>
    <w:rsid w:val="00B52F3F"/>
    <w:rsid w:val="00B63399"/>
    <w:rsid w:val="00B74ABB"/>
    <w:rsid w:val="00B80947"/>
    <w:rsid w:val="00B865D4"/>
    <w:rsid w:val="00B96948"/>
    <w:rsid w:val="00BD67FE"/>
    <w:rsid w:val="00BD7327"/>
    <w:rsid w:val="00BE42CC"/>
    <w:rsid w:val="00BE65DA"/>
    <w:rsid w:val="00BF314A"/>
    <w:rsid w:val="00C1588D"/>
    <w:rsid w:val="00C238D3"/>
    <w:rsid w:val="00C2414E"/>
    <w:rsid w:val="00C25B59"/>
    <w:rsid w:val="00C36A73"/>
    <w:rsid w:val="00C61395"/>
    <w:rsid w:val="00C649F8"/>
    <w:rsid w:val="00C65975"/>
    <w:rsid w:val="00CA06B2"/>
    <w:rsid w:val="00CA27DF"/>
    <w:rsid w:val="00CC7ED2"/>
    <w:rsid w:val="00CC7EFB"/>
    <w:rsid w:val="00CD5003"/>
    <w:rsid w:val="00CD7D09"/>
    <w:rsid w:val="00CE600B"/>
    <w:rsid w:val="00CF42BF"/>
    <w:rsid w:val="00D0132B"/>
    <w:rsid w:val="00D057D0"/>
    <w:rsid w:val="00D27B7C"/>
    <w:rsid w:val="00D438DF"/>
    <w:rsid w:val="00D45D46"/>
    <w:rsid w:val="00D51EB7"/>
    <w:rsid w:val="00D61FF9"/>
    <w:rsid w:val="00D66EEE"/>
    <w:rsid w:val="00D6750F"/>
    <w:rsid w:val="00D749E7"/>
    <w:rsid w:val="00DA75CC"/>
    <w:rsid w:val="00DB7FA9"/>
    <w:rsid w:val="00DD26CF"/>
    <w:rsid w:val="00DD6627"/>
    <w:rsid w:val="00DF7E1F"/>
    <w:rsid w:val="00E50216"/>
    <w:rsid w:val="00E53B4F"/>
    <w:rsid w:val="00E71E3D"/>
    <w:rsid w:val="00E723AD"/>
    <w:rsid w:val="00E82EC1"/>
    <w:rsid w:val="00E86003"/>
    <w:rsid w:val="00E861E3"/>
    <w:rsid w:val="00E87FAF"/>
    <w:rsid w:val="00EA5177"/>
    <w:rsid w:val="00EA541F"/>
    <w:rsid w:val="00ED013D"/>
    <w:rsid w:val="00ED4EE7"/>
    <w:rsid w:val="00EE08F5"/>
    <w:rsid w:val="00EE1F8F"/>
    <w:rsid w:val="00EF3BDA"/>
    <w:rsid w:val="00EF4389"/>
    <w:rsid w:val="00EF5357"/>
    <w:rsid w:val="00F05F83"/>
    <w:rsid w:val="00F0700A"/>
    <w:rsid w:val="00F24DD5"/>
    <w:rsid w:val="00F45376"/>
    <w:rsid w:val="00F46978"/>
    <w:rsid w:val="00F51CED"/>
    <w:rsid w:val="00FB1E16"/>
    <w:rsid w:val="00FB4767"/>
    <w:rsid w:val="00FB492A"/>
    <w:rsid w:val="00FC157A"/>
    <w:rsid w:val="00FD71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7"/>
    <w:lsdException w:name="annotation text" w:semiHidden="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7"/>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qFormat/>
    <w:rsid w:val="009E35AC"/>
    <w:pPr>
      <w:spacing w:line="220" w:lineRule="exact"/>
    </w:pPr>
    <w:rPr>
      <w:sz w:val="22"/>
      <w:lang w:eastAsia="en-US"/>
    </w:rPr>
  </w:style>
  <w:style w:type="paragraph" w:styleId="Heading1">
    <w:name w:val="heading 1"/>
    <w:basedOn w:val="Normal"/>
    <w:next w:val="Normal"/>
    <w:link w:val="Heading1Char"/>
    <w:semiHidden/>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E87FAF"/>
    <w:pPr>
      <w:keepNext/>
      <w:spacing w:after="280" w:line="280" w:lineRule="exact"/>
      <w:jc w:val="center"/>
      <w:outlineLvl w:val="1"/>
    </w:pPr>
    <w:rPr>
      <w:b/>
      <w:bCs/>
      <w:iCs/>
      <w:caps/>
      <w:sz w:val="28"/>
      <w:szCs w:val="28"/>
    </w:rPr>
  </w:style>
  <w:style w:type="paragraph" w:styleId="Heading3">
    <w:name w:val="heading 3"/>
    <w:basedOn w:val="Heading2"/>
    <w:next w:val="Normal"/>
    <w:semiHidden/>
    <w:rsid w:val="00E87FAF"/>
    <w:pPr>
      <w:outlineLvl w:val="2"/>
    </w:pPr>
    <w:rPr>
      <w:bCs w:val="0"/>
      <w:i/>
      <w:caps w:val="0"/>
      <w:szCs w:val="26"/>
    </w:rPr>
  </w:style>
  <w:style w:type="paragraph" w:styleId="Heading4">
    <w:name w:val="heading 4"/>
    <w:basedOn w:val="Normal"/>
    <w:next w:val="ParaPlain"/>
    <w:uiPriority w:val="3"/>
    <w:qFormat/>
    <w:rsid w:val="001562E6"/>
    <w:pPr>
      <w:keepNext/>
      <w:spacing w:after="200" w:line="300" w:lineRule="exact"/>
      <w:outlineLvl w:val="3"/>
    </w:pPr>
    <w:rPr>
      <w:b/>
      <w:bCs/>
      <w:sz w:val="30"/>
      <w:szCs w:val="28"/>
    </w:rPr>
  </w:style>
  <w:style w:type="paragraph" w:styleId="Heading5">
    <w:name w:val="heading 5"/>
    <w:basedOn w:val="Normal"/>
    <w:next w:val="ParaPlain"/>
    <w:uiPriority w:val="3"/>
    <w:qFormat/>
    <w:rsid w:val="001562E6"/>
    <w:pPr>
      <w:keepNext/>
      <w:spacing w:after="200" w:line="260" w:lineRule="exact"/>
      <w:outlineLvl w:val="4"/>
    </w:pPr>
    <w:rPr>
      <w:b/>
      <w:bCs/>
      <w:iCs/>
      <w:sz w:val="26"/>
      <w:szCs w:val="26"/>
    </w:rPr>
  </w:style>
  <w:style w:type="paragraph" w:styleId="Heading6">
    <w:name w:val="heading 6"/>
    <w:basedOn w:val="Heading5"/>
    <w:next w:val="ParaPlain"/>
    <w:uiPriority w:val="3"/>
    <w:qFormat/>
    <w:rsid w:val="001562E6"/>
    <w:pPr>
      <w:spacing w:line="220" w:lineRule="exact"/>
      <w:outlineLvl w:val="5"/>
    </w:pPr>
    <w:rPr>
      <w:bCs w:val="0"/>
      <w:sz w:val="22"/>
      <w:szCs w:val="22"/>
    </w:rPr>
  </w:style>
  <w:style w:type="paragraph" w:styleId="Heading7">
    <w:name w:val="heading 7"/>
    <w:basedOn w:val="Heading6"/>
    <w:next w:val="ParaPlain"/>
    <w:uiPriority w:val="3"/>
    <w:qFormat/>
    <w:rsid w:val="00E87FAF"/>
    <w:pPr>
      <w:outlineLvl w:val="6"/>
    </w:pPr>
    <w:rPr>
      <w:b w:val="0"/>
      <w:i/>
      <w:szCs w:val="24"/>
    </w:rPr>
  </w:style>
  <w:style w:type="paragraph" w:styleId="Heading8">
    <w:name w:val="heading 8"/>
    <w:basedOn w:val="Heading6"/>
    <w:link w:val="Heading8Char"/>
    <w:uiPriority w:val="3"/>
    <w:qFormat/>
    <w:rsid w:val="00E87FAF"/>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uiPriority w:val="3"/>
    <w:rsid w:val="003A0F68"/>
    <w:rPr>
      <w:iCs/>
      <w:szCs w:val="22"/>
      <w:lang w:eastAsia="en-US"/>
    </w:rPr>
  </w:style>
  <w:style w:type="paragraph" w:styleId="FootnoteText">
    <w:name w:val="footnote text"/>
    <w:basedOn w:val="Normal"/>
    <w:uiPriority w:val="7"/>
    <w:rsid w:val="00937B54"/>
    <w:pPr>
      <w:keepLines/>
      <w:spacing w:line="160" w:lineRule="exact"/>
      <w:ind w:left="284" w:hanging="284"/>
    </w:pPr>
    <w:rPr>
      <w:sz w:val="16"/>
    </w:rPr>
  </w:style>
  <w:style w:type="paragraph" w:customStyle="1" w:styleId="ListBullet">
    <w:name w:val="ListBullet"/>
    <w:basedOn w:val="ParaPlain"/>
    <w:uiPriority w:val="2"/>
    <w:qFormat/>
    <w:rsid w:val="0073531A"/>
    <w:pPr>
      <w:numPr>
        <w:numId w:val="35"/>
      </w:numPr>
      <w:outlineLvl w:val="0"/>
    </w:pPr>
  </w:style>
  <w:style w:type="paragraph" w:customStyle="1" w:styleId="ParaLevel1">
    <w:name w:val="ParaLevel1"/>
    <w:basedOn w:val="ParaPlain"/>
    <w:uiPriority w:val="1"/>
    <w:qFormat/>
    <w:rsid w:val="001C671A"/>
    <w:pPr>
      <w:numPr>
        <w:numId w:val="38"/>
      </w:numPr>
    </w:pPr>
  </w:style>
  <w:style w:type="paragraph" w:customStyle="1" w:styleId="ParaLevel2">
    <w:name w:val="ParaLevel2"/>
    <w:basedOn w:val="ParaPlain"/>
    <w:uiPriority w:val="1"/>
    <w:rsid w:val="001C671A"/>
    <w:pPr>
      <w:numPr>
        <w:ilvl w:val="1"/>
        <w:numId w:val="38"/>
      </w:numPr>
    </w:pPr>
  </w:style>
  <w:style w:type="paragraph" w:customStyle="1" w:styleId="ParaLevel3">
    <w:name w:val="ParaLevel3"/>
    <w:basedOn w:val="ParaPlain"/>
    <w:uiPriority w:val="1"/>
    <w:rsid w:val="001C671A"/>
    <w:pPr>
      <w:numPr>
        <w:ilvl w:val="2"/>
        <w:numId w:val="38"/>
      </w:numPr>
    </w:pPr>
  </w:style>
  <w:style w:type="paragraph" w:styleId="Header">
    <w:name w:val="header"/>
    <w:basedOn w:val="Normal"/>
    <w:uiPriority w:val="7"/>
    <w:rsid w:val="00E87FAF"/>
    <w:pPr>
      <w:pBdr>
        <w:bottom w:val="single" w:sz="4" w:space="1" w:color="auto"/>
      </w:pBdr>
    </w:pPr>
    <w:rPr>
      <w:b/>
    </w:rPr>
  </w:style>
  <w:style w:type="paragraph" w:styleId="Footer">
    <w:name w:val="footer"/>
    <w:basedOn w:val="Normal"/>
    <w:uiPriority w:val="7"/>
    <w:rsid w:val="001562E6"/>
    <w:pPr>
      <w:tabs>
        <w:tab w:val="center" w:pos="4536"/>
        <w:tab w:val="right" w:pos="9072"/>
      </w:tabs>
    </w:pPr>
    <w:rPr>
      <w:b/>
    </w:rPr>
  </w:style>
  <w:style w:type="paragraph" w:customStyle="1" w:styleId="CoverNumber">
    <w:name w:val="Cover Number"/>
    <w:basedOn w:val="Normal"/>
    <w:next w:val="Normal"/>
    <w:uiPriority w:val="6"/>
    <w:rsid w:val="00E87FAF"/>
    <w:pPr>
      <w:spacing w:line="320" w:lineRule="exact"/>
      <w:jc w:val="right"/>
    </w:pPr>
    <w:rPr>
      <w:b/>
      <w:caps/>
      <w:sz w:val="32"/>
    </w:rPr>
  </w:style>
  <w:style w:type="paragraph" w:customStyle="1" w:styleId="CoverDate">
    <w:name w:val="Cover Date"/>
    <w:basedOn w:val="Normal"/>
    <w:next w:val="Normal"/>
    <w:uiPriority w:val="6"/>
    <w:rsid w:val="001562E6"/>
    <w:pPr>
      <w:spacing w:after="800"/>
      <w:jc w:val="right"/>
    </w:pPr>
    <w:rPr>
      <w:sz w:val="20"/>
    </w:rPr>
  </w:style>
  <w:style w:type="paragraph" w:customStyle="1" w:styleId="CoverTitle">
    <w:name w:val="Cover Title"/>
    <w:basedOn w:val="Normal"/>
    <w:uiPriority w:val="6"/>
    <w:rsid w:val="00E87FAF"/>
    <w:pPr>
      <w:spacing w:line="500" w:lineRule="exact"/>
      <w:ind w:right="-142"/>
    </w:pPr>
    <w:rPr>
      <w:b/>
      <w:i/>
      <w:sz w:val="50"/>
      <w:szCs w:val="50"/>
    </w:rPr>
  </w:style>
  <w:style w:type="paragraph" w:customStyle="1" w:styleId="CoverSubTitle">
    <w:name w:val="Cover SubTitle"/>
    <w:basedOn w:val="Normal"/>
    <w:uiPriority w:val="6"/>
    <w:rsid w:val="00A52193"/>
    <w:pPr>
      <w:spacing w:before="400"/>
    </w:pPr>
  </w:style>
  <w:style w:type="character" w:styleId="Hyperlink">
    <w:name w:val="Hyperlink"/>
    <w:basedOn w:val="DefaultParagraphFont"/>
    <w:uiPriority w:val="7"/>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325A5D"/>
    <w:pPr>
      <w:numPr>
        <w:numId w:val="37"/>
      </w:numPr>
      <w:outlineLvl w:val="0"/>
    </w:pPr>
  </w:style>
  <w:style w:type="paragraph" w:customStyle="1" w:styleId="ContentsItem">
    <w:name w:val="ContentsItem"/>
    <w:basedOn w:val="Normal"/>
    <w:semiHidden/>
    <w:rsid w:val="00E87FAF"/>
    <w:pPr>
      <w:tabs>
        <w:tab w:val="left" w:leader="dot" w:pos="5103"/>
        <w:tab w:val="right" w:pos="5902"/>
      </w:tabs>
      <w:spacing w:before="120"/>
      <w:ind w:left="142" w:right="1134" w:hanging="142"/>
    </w:pPr>
  </w:style>
  <w:style w:type="character" w:styleId="FootnoteReference">
    <w:name w:val="footnote reference"/>
    <w:basedOn w:val="DefaultParagraphFont"/>
    <w:uiPriority w:val="7"/>
    <w:rsid w:val="00CA06B2"/>
    <w:rPr>
      <w:sz w:val="22"/>
      <w:vertAlign w:val="superscript"/>
    </w:rPr>
  </w:style>
  <w:style w:type="paragraph" w:customStyle="1" w:styleId="ListBullet2">
    <w:name w:val="ListBullet2"/>
    <w:basedOn w:val="ParaPlain"/>
    <w:uiPriority w:val="2"/>
    <w:rsid w:val="001E344F"/>
    <w:pPr>
      <w:numPr>
        <w:ilvl w:val="1"/>
        <w:numId w:val="35"/>
      </w:numPr>
      <w:ind w:left="2127"/>
      <w:outlineLvl w:val="1"/>
    </w:pPr>
  </w:style>
  <w:style w:type="paragraph" w:customStyle="1" w:styleId="ListBullet3">
    <w:name w:val="ListBullet3"/>
    <w:basedOn w:val="ParaPlain"/>
    <w:uiPriority w:val="2"/>
    <w:rsid w:val="001E344F"/>
    <w:pPr>
      <w:numPr>
        <w:ilvl w:val="2"/>
        <w:numId w:val="35"/>
      </w:numPr>
      <w:ind w:left="2835"/>
      <w:outlineLvl w:val="2"/>
    </w:pPr>
  </w:style>
  <w:style w:type="paragraph" w:customStyle="1" w:styleId="ListBullet4">
    <w:name w:val="ListBullet4"/>
    <w:basedOn w:val="ParaPlain"/>
    <w:uiPriority w:val="2"/>
    <w:rsid w:val="001E344F"/>
    <w:pPr>
      <w:numPr>
        <w:ilvl w:val="3"/>
        <w:numId w:val="35"/>
      </w:numPr>
      <w:ind w:left="3544"/>
      <w:outlineLvl w:val="3"/>
    </w:pPr>
  </w:style>
  <w:style w:type="paragraph" w:customStyle="1" w:styleId="AParaLevel2">
    <w:name w:val="AParaLevel2"/>
    <w:basedOn w:val="ParaPlain"/>
    <w:uiPriority w:val="2"/>
    <w:rsid w:val="00325A5D"/>
    <w:pPr>
      <w:numPr>
        <w:ilvl w:val="1"/>
        <w:numId w:val="37"/>
      </w:numPr>
      <w:outlineLvl w:val="1"/>
    </w:pPr>
  </w:style>
  <w:style w:type="paragraph" w:customStyle="1" w:styleId="AParaLevel3">
    <w:name w:val="AParaLevel3"/>
    <w:basedOn w:val="ParaPlain"/>
    <w:uiPriority w:val="2"/>
    <w:rsid w:val="00325A5D"/>
    <w:pPr>
      <w:numPr>
        <w:ilvl w:val="2"/>
        <w:numId w:val="37"/>
      </w:numPr>
      <w:outlineLvl w:val="2"/>
    </w:pPr>
  </w:style>
  <w:style w:type="paragraph" w:customStyle="1" w:styleId="AppendixTop">
    <w:name w:val="AppendixTop"/>
    <w:basedOn w:val="Normal"/>
    <w:uiPriority w:val="5"/>
    <w:rsid w:val="001562E6"/>
    <w:pPr>
      <w:spacing w:after="200" w:line="260" w:lineRule="exact"/>
      <w:jc w:val="right"/>
    </w:pPr>
    <w:rPr>
      <w:b/>
      <w:sz w:val="26"/>
    </w:rPr>
  </w:style>
  <w:style w:type="paragraph" w:customStyle="1" w:styleId="AppendixRef">
    <w:name w:val="AppendixRef"/>
    <w:basedOn w:val="AppendixTop"/>
    <w:uiPriority w:val="5"/>
    <w:rsid w:val="001562E6"/>
    <w:rPr>
      <w:b w:val="0"/>
      <w:sz w:val="18"/>
    </w:rPr>
  </w:style>
  <w:style w:type="paragraph" w:customStyle="1" w:styleId="AusParaLevel1">
    <w:name w:val="AusParaLevel1"/>
    <w:basedOn w:val="ParaPlain"/>
    <w:uiPriority w:val="4"/>
    <w:rsid w:val="00E87FAF"/>
    <w:pPr>
      <w:ind w:left="1418" w:hanging="1418"/>
    </w:pPr>
  </w:style>
  <w:style w:type="paragraph" w:customStyle="1" w:styleId="AusParaLevel2">
    <w:name w:val="AusParaLevel2"/>
    <w:basedOn w:val="AusParaLevel1"/>
    <w:uiPriority w:val="4"/>
    <w:rsid w:val="00E87FAF"/>
    <w:pPr>
      <w:ind w:left="2127" w:hanging="709"/>
    </w:pPr>
  </w:style>
  <w:style w:type="paragraph" w:customStyle="1" w:styleId="AusParaLevel3">
    <w:name w:val="AusParaLevel3"/>
    <w:basedOn w:val="AusParaLevel2"/>
    <w:uiPriority w:val="4"/>
    <w:rsid w:val="00E87FAF"/>
    <w:pPr>
      <w:ind w:left="2835"/>
    </w:pPr>
  </w:style>
  <w:style w:type="character" w:customStyle="1" w:styleId="RefParas">
    <w:name w:val="RefParas"/>
    <w:basedOn w:val="DefaultParagraphFont"/>
    <w:uiPriority w:val="4"/>
    <w:rsid w:val="001562E6"/>
    <w:rPr>
      <w:rFonts w:ascii="Times New Roman" w:hAnsi="Times New Roman"/>
      <w:b w:val="0"/>
      <w:i w:val="0"/>
      <w:sz w:val="18"/>
    </w:rPr>
  </w:style>
  <w:style w:type="paragraph" w:styleId="TOC1">
    <w:name w:val="toc 1"/>
    <w:basedOn w:val="Normal"/>
    <w:next w:val="Normal"/>
    <w:autoRedefine/>
    <w:uiPriority w:val="7"/>
    <w:rsid w:val="00F51CED"/>
    <w:pPr>
      <w:tabs>
        <w:tab w:val="right" w:leader="dot" w:pos="9072"/>
      </w:tabs>
      <w:spacing w:before="120"/>
      <w:ind w:left="142" w:right="1417" w:hanging="142"/>
    </w:pPr>
    <w:rPr>
      <w:b/>
    </w:rPr>
  </w:style>
  <w:style w:type="paragraph" w:styleId="TOC2">
    <w:name w:val="toc 2"/>
    <w:basedOn w:val="Normal"/>
    <w:next w:val="Normal"/>
    <w:autoRedefine/>
    <w:uiPriority w:val="7"/>
    <w:rsid w:val="00F51CED"/>
    <w:pPr>
      <w:tabs>
        <w:tab w:val="right" w:leader="dot" w:pos="9072"/>
      </w:tabs>
      <w:spacing w:before="120"/>
      <w:ind w:left="142" w:right="1417" w:hanging="142"/>
    </w:pPr>
  </w:style>
  <w:style w:type="numbering" w:customStyle="1" w:styleId="AUASBListBullets">
    <w:name w:val="AUASBListBullets"/>
    <w:uiPriority w:val="99"/>
    <w:rsid w:val="00B74ABB"/>
    <w:pPr>
      <w:numPr>
        <w:numId w:val="34"/>
      </w:numPr>
    </w:pPr>
  </w:style>
  <w:style w:type="numbering" w:customStyle="1" w:styleId="AUASBAParas">
    <w:name w:val="AUASBAParas"/>
    <w:uiPriority w:val="99"/>
    <w:rsid w:val="00325A5D"/>
    <w:pPr>
      <w:numPr>
        <w:numId w:val="37"/>
      </w:numPr>
    </w:pPr>
  </w:style>
  <w:style w:type="numbering" w:customStyle="1" w:styleId="AUASBParaLevels">
    <w:name w:val="AUASBParaLevels"/>
    <w:uiPriority w:val="99"/>
    <w:rsid w:val="001C671A"/>
    <w:pPr>
      <w:numPr>
        <w:numId w:val="38"/>
      </w:numPr>
    </w:pPr>
  </w:style>
  <w:style w:type="numbering" w:customStyle="1" w:styleId="AUASBListNumParas">
    <w:name w:val="AUASBListNumParas"/>
    <w:uiPriority w:val="99"/>
    <w:rsid w:val="001C671A"/>
    <w:pPr>
      <w:numPr>
        <w:numId w:val="40"/>
      </w:numPr>
    </w:pPr>
  </w:style>
  <w:style w:type="character" w:customStyle="1" w:styleId="Heading1Char">
    <w:name w:val="Heading 1 Char"/>
    <w:basedOn w:val="DefaultParagraphFont"/>
    <w:link w:val="Heading1"/>
    <w:semiHidden/>
    <w:rsid w:val="00D438DF"/>
    <w:rPr>
      <w:rFonts w:cs="Arial"/>
      <w:bCs/>
      <w:caps/>
      <w:sz w:val="32"/>
      <w:szCs w:val="32"/>
      <w:lang w:eastAsia="en-US"/>
    </w:rPr>
  </w:style>
  <w:style w:type="paragraph" w:customStyle="1" w:styleId="Divider">
    <w:name w:val="Divider"/>
    <w:basedOn w:val="ParaPlain"/>
    <w:uiPriority w:val="6"/>
    <w:rsid w:val="0000664A"/>
    <w:pPr>
      <w:spacing w:before="240" w:after="360"/>
      <w:jc w:val="center"/>
    </w:pPr>
  </w:style>
  <w:style w:type="paragraph" w:customStyle="1" w:styleId="AppendixHeading">
    <w:name w:val="Appendix Heading"/>
    <w:basedOn w:val="Normal"/>
    <w:next w:val="ParaPlain"/>
    <w:uiPriority w:val="5"/>
    <w:qFormat/>
    <w:rsid w:val="001562E6"/>
    <w:pPr>
      <w:keepNext/>
      <w:spacing w:after="200" w:line="260" w:lineRule="exact"/>
      <w:jc w:val="center"/>
    </w:pPr>
    <w:rPr>
      <w:b/>
      <w:caps/>
      <w:sz w:val="26"/>
      <w:szCs w:val="24"/>
    </w:rPr>
  </w:style>
  <w:style w:type="paragraph" w:customStyle="1" w:styleId="TableHeading">
    <w:name w:val="TableHeading"/>
    <w:basedOn w:val="Normal"/>
    <w:uiPriority w:val="5"/>
    <w:qFormat/>
    <w:rsid w:val="00275B2D"/>
    <w:pPr>
      <w:spacing w:before="60" w:after="60" w:line="240" w:lineRule="auto"/>
    </w:pPr>
    <w:rPr>
      <w:b/>
      <w:szCs w:val="24"/>
      <w:lang w:eastAsia="en-AU"/>
    </w:rPr>
  </w:style>
  <w:style w:type="paragraph" w:customStyle="1" w:styleId="TableRow">
    <w:name w:val="TableRow"/>
    <w:basedOn w:val="Normal"/>
    <w:uiPriority w:val="5"/>
    <w:qFormat/>
    <w:rsid w:val="00275B2D"/>
    <w:pPr>
      <w:spacing w:before="60" w:after="60" w:line="240" w:lineRule="auto"/>
    </w:pPr>
    <w:rPr>
      <w:szCs w:val="24"/>
      <w:lang w:eastAsia="en-AU"/>
    </w:rPr>
  </w:style>
  <w:style w:type="paragraph" w:customStyle="1" w:styleId="ParaIndent">
    <w:name w:val="ParaIndent"/>
    <w:basedOn w:val="ParaPlain"/>
    <w:uiPriority w:val="1"/>
    <w:qFormat/>
    <w:rsid w:val="00E723AD"/>
    <w:pPr>
      <w:ind w:left="709"/>
    </w:pPr>
    <w:rPr>
      <w:szCs w:val="24"/>
    </w:rPr>
  </w:style>
  <w:style w:type="table" w:styleId="TableGrid">
    <w:name w:val="Table Grid"/>
    <w:basedOn w:val="TableNormal"/>
    <w:rsid w:val="009E3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Heading">
    <w:name w:val="BoxHeading"/>
    <w:basedOn w:val="ParaPlain"/>
    <w:next w:val="ParaPlain"/>
    <w:uiPriority w:val="19"/>
    <w:rsid w:val="009E35AC"/>
    <w:pPr>
      <w:pageBreakBefore/>
      <w:spacing w:before="60" w:after="240" w:line="240" w:lineRule="auto"/>
      <w:jc w:val="center"/>
    </w:pPr>
    <w:rPr>
      <w:b/>
      <w:sz w:val="28"/>
    </w:rPr>
  </w:style>
  <w:style w:type="paragraph" w:styleId="BalloonText">
    <w:name w:val="Balloon Text"/>
    <w:basedOn w:val="Normal"/>
    <w:link w:val="BalloonTextChar"/>
    <w:semiHidden/>
    <w:rsid w:val="00CD500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D500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7"/>
    <w:lsdException w:name="annotation text" w:semiHidden="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7"/>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qFormat/>
    <w:rsid w:val="009E35AC"/>
    <w:pPr>
      <w:spacing w:line="220" w:lineRule="exact"/>
    </w:pPr>
    <w:rPr>
      <w:sz w:val="22"/>
      <w:lang w:eastAsia="en-US"/>
    </w:rPr>
  </w:style>
  <w:style w:type="paragraph" w:styleId="Heading1">
    <w:name w:val="heading 1"/>
    <w:basedOn w:val="Normal"/>
    <w:next w:val="Normal"/>
    <w:link w:val="Heading1Char"/>
    <w:semiHidden/>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E87FAF"/>
    <w:pPr>
      <w:keepNext/>
      <w:spacing w:after="280" w:line="280" w:lineRule="exact"/>
      <w:jc w:val="center"/>
      <w:outlineLvl w:val="1"/>
    </w:pPr>
    <w:rPr>
      <w:b/>
      <w:bCs/>
      <w:iCs/>
      <w:caps/>
      <w:sz w:val="28"/>
      <w:szCs w:val="28"/>
    </w:rPr>
  </w:style>
  <w:style w:type="paragraph" w:styleId="Heading3">
    <w:name w:val="heading 3"/>
    <w:basedOn w:val="Heading2"/>
    <w:next w:val="Normal"/>
    <w:semiHidden/>
    <w:rsid w:val="00E87FAF"/>
    <w:pPr>
      <w:outlineLvl w:val="2"/>
    </w:pPr>
    <w:rPr>
      <w:bCs w:val="0"/>
      <w:i/>
      <w:caps w:val="0"/>
      <w:szCs w:val="26"/>
    </w:rPr>
  </w:style>
  <w:style w:type="paragraph" w:styleId="Heading4">
    <w:name w:val="heading 4"/>
    <w:basedOn w:val="Normal"/>
    <w:next w:val="ParaPlain"/>
    <w:uiPriority w:val="3"/>
    <w:qFormat/>
    <w:rsid w:val="001562E6"/>
    <w:pPr>
      <w:keepNext/>
      <w:spacing w:after="200" w:line="300" w:lineRule="exact"/>
      <w:outlineLvl w:val="3"/>
    </w:pPr>
    <w:rPr>
      <w:b/>
      <w:bCs/>
      <w:sz w:val="30"/>
      <w:szCs w:val="28"/>
    </w:rPr>
  </w:style>
  <w:style w:type="paragraph" w:styleId="Heading5">
    <w:name w:val="heading 5"/>
    <w:basedOn w:val="Normal"/>
    <w:next w:val="ParaPlain"/>
    <w:uiPriority w:val="3"/>
    <w:qFormat/>
    <w:rsid w:val="001562E6"/>
    <w:pPr>
      <w:keepNext/>
      <w:spacing w:after="200" w:line="260" w:lineRule="exact"/>
      <w:outlineLvl w:val="4"/>
    </w:pPr>
    <w:rPr>
      <w:b/>
      <w:bCs/>
      <w:iCs/>
      <w:sz w:val="26"/>
      <w:szCs w:val="26"/>
    </w:rPr>
  </w:style>
  <w:style w:type="paragraph" w:styleId="Heading6">
    <w:name w:val="heading 6"/>
    <w:basedOn w:val="Heading5"/>
    <w:next w:val="ParaPlain"/>
    <w:uiPriority w:val="3"/>
    <w:qFormat/>
    <w:rsid w:val="001562E6"/>
    <w:pPr>
      <w:spacing w:line="220" w:lineRule="exact"/>
      <w:outlineLvl w:val="5"/>
    </w:pPr>
    <w:rPr>
      <w:bCs w:val="0"/>
      <w:sz w:val="22"/>
      <w:szCs w:val="22"/>
    </w:rPr>
  </w:style>
  <w:style w:type="paragraph" w:styleId="Heading7">
    <w:name w:val="heading 7"/>
    <w:basedOn w:val="Heading6"/>
    <w:next w:val="ParaPlain"/>
    <w:uiPriority w:val="3"/>
    <w:qFormat/>
    <w:rsid w:val="00E87FAF"/>
    <w:pPr>
      <w:outlineLvl w:val="6"/>
    </w:pPr>
    <w:rPr>
      <w:b w:val="0"/>
      <w:i/>
      <w:szCs w:val="24"/>
    </w:rPr>
  </w:style>
  <w:style w:type="paragraph" w:styleId="Heading8">
    <w:name w:val="heading 8"/>
    <w:basedOn w:val="Heading6"/>
    <w:link w:val="Heading8Char"/>
    <w:uiPriority w:val="3"/>
    <w:qFormat/>
    <w:rsid w:val="00E87FAF"/>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uiPriority w:val="3"/>
    <w:rsid w:val="003A0F68"/>
    <w:rPr>
      <w:iCs/>
      <w:szCs w:val="22"/>
      <w:lang w:eastAsia="en-US"/>
    </w:rPr>
  </w:style>
  <w:style w:type="paragraph" w:styleId="FootnoteText">
    <w:name w:val="footnote text"/>
    <w:basedOn w:val="Normal"/>
    <w:uiPriority w:val="7"/>
    <w:rsid w:val="00937B54"/>
    <w:pPr>
      <w:keepLines/>
      <w:spacing w:line="160" w:lineRule="exact"/>
      <w:ind w:left="284" w:hanging="284"/>
    </w:pPr>
    <w:rPr>
      <w:sz w:val="16"/>
    </w:rPr>
  </w:style>
  <w:style w:type="paragraph" w:customStyle="1" w:styleId="ListBullet">
    <w:name w:val="ListBullet"/>
    <w:basedOn w:val="ParaPlain"/>
    <w:uiPriority w:val="2"/>
    <w:qFormat/>
    <w:rsid w:val="0073531A"/>
    <w:pPr>
      <w:numPr>
        <w:numId w:val="35"/>
      </w:numPr>
      <w:outlineLvl w:val="0"/>
    </w:pPr>
  </w:style>
  <w:style w:type="paragraph" w:customStyle="1" w:styleId="ParaLevel1">
    <w:name w:val="ParaLevel1"/>
    <w:basedOn w:val="ParaPlain"/>
    <w:uiPriority w:val="1"/>
    <w:qFormat/>
    <w:rsid w:val="001C671A"/>
    <w:pPr>
      <w:numPr>
        <w:numId w:val="38"/>
      </w:numPr>
    </w:pPr>
  </w:style>
  <w:style w:type="paragraph" w:customStyle="1" w:styleId="ParaLevel2">
    <w:name w:val="ParaLevel2"/>
    <w:basedOn w:val="ParaPlain"/>
    <w:uiPriority w:val="1"/>
    <w:rsid w:val="001C671A"/>
    <w:pPr>
      <w:numPr>
        <w:ilvl w:val="1"/>
        <w:numId w:val="38"/>
      </w:numPr>
    </w:pPr>
  </w:style>
  <w:style w:type="paragraph" w:customStyle="1" w:styleId="ParaLevel3">
    <w:name w:val="ParaLevel3"/>
    <w:basedOn w:val="ParaPlain"/>
    <w:uiPriority w:val="1"/>
    <w:rsid w:val="001C671A"/>
    <w:pPr>
      <w:numPr>
        <w:ilvl w:val="2"/>
        <w:numId w:val="38"/>
      </w:numPr>
    </w:pPr>
  </w:style>
  <w:style w:type="paragraph" w:styleId="Header">
    <w:name w:val="header"/>
    <w:basedOn w:val="Normal"/>
    <w:uiPriority w:val="7"/>
    <w:rsid w:val="00E87FAF"/>
    <w:pPr>
      <w:pBdr>
        <w:bottom w:val="single" w:sz="4" w:space="1" w:color="auto"/>
      </w:pBdr>
    </w:pPr>
    <w:rPr>
      <w:b/>
    </w:rPr>
  </w:style>
  <w:style w:type="paragraph" w:styleId="Footer">
    <w:name w:val="footer"/>
    <w:basedOn w:val="Normal"/>
    <w:uiPriority w:val="7"/>
    <w:rsid w:val="001562E6"/>
    <w:pPr>
      <w:tabs>
        <w:tab w:val="center" w:pos="4536"/>
        <w:tab w:val="right" w:pos="9072"/>
      </w:tabs>
    </w:pPr>
    <w:rPr>
      <w:b/>
    </w:rPr>
  </w:style>
  <w:style w:type="paragraph" w:customStyle="1" w:styleId="CoverNumber">
    <w:name w:val="Cover Number"/>
    <w:basedOn w:val="Normal"/>
    <w:next w:val="Normal"/>
    <w:uiPriority w:val="6"/>
    <w:rsid w:val="00E87FAF"/>
    <w:pPr>
      <w:spacing w:line="320" w:lineRule="exact"/>
      <w:jc w:val="right"/>
    </w:pPr>
    <w:rPr>
      <w:b/>
      <w:caps/>
      <w:sz w:val="32"/>
    </w:rPr>
  </w:style>
  <w:style w:type="paragraph" w:customStyle="1" w:styleId="CoverDate">
    <w:name w:val="Cover Date"/>
    <w:basedOn w:val="Normal"/>
    <w:next w:val="Normal"/>
    <w:uiPriority w:val="6"/>
    <w:rsid w:val="001562E6"/>
    <w:pPr>
      <w:spacing w:after="800"/>
      <w:jc w:val="right"/>
    </w:pPr>
    <w:rPr>
      <w:sz w:val="20"/>
    </w:rPr>
  </w:style>
  <w:style w:type="paragraph" w:customStyle="1" w:styleId="CoverTitle">
    <w:name w:val="Cover Title"/>
    <w:basedOn w:val="Normal"/>
    <w:uiPriority w:val="6"/>
    <w:rsid w:val="00E87FAF"/>
    <w:pPr>
      <w:spacing w:line="500" w:lineRule="exact"/>
      <w:ind w:right="-142"/>
    </w:pPr>
    <w:rPr>
      <w:b/>
      <w:i/>
      <w:sz w:val="50"/>
      <w:szCs w:val="50"/>
    </w:rPr>
  </w:style>
  <w:style w:type="paragraph" w:customStyle="1" w:styleId="CoverSubTitle">
    <w:name w:val="Cover SubTitle"/>
    <w:basedOn w:val="Normal"/>
    <w:uiPriority w:val="6"/>
    <w:rsid w:val="00A52193"/>
    <w:pPr>
      <w:spacing w:before="400"/>
    </w:pPr>
  </w:style>
  <w:style w:type="character" w:styleId="Hyperlink">
    <w:name w:val="Hyperlink"/>
    <w:basedOn w:val="DefaultParagraphFont"/>
    <w:uiPriority w:val="7"/>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325A5D"/>
    <w:pPr>
      <w:numPr>
        <w:numId w:val="37"/>
      </w:numPr>
      <w:outlineLvl w:val="0"/>
    </w:pPr>
  </w:style>
  <w:style w:type="paragraph" w:customStyle="1" w:styleId="ContentsItem">
    <w:name w:val="ContentsItem"/>
    <w:basedOn w:val="Normal"/>
    <w:semiHidden/>
    <w:rsid w:val="00E87FAF"/>
    <w:pPr>
      <w:tabs>
        <w:tab w:val="left" w:leader="dot" w:pos="5103"/>
        <w:tab w:val="right" w:pos="5902"/>
      </w:tabs>
      <w:spacing w:before="120"/>
      <w:ind w:left="142" w:right="1134" w:hanging="142"/>
    </w:pPr>
  </w:style>
  <w:style w:type="character" w:styleId="FootnoteReference">
    <w:name w:val="footnote reference"/>
    <w:basedOn w:val="DefaultParagraphFont"/>
    <w:uiPriority w:val="7"/>
    <w:rsid w:val="00CA06B2"/>
    <w:rPr>
      <w:sz w:val="22"/>
      <w:vertAlign w:val="superscript"/>
    </w:rPr>
  </w:style>
  <w:style w:type="paragraph" w:customStyle="1" w:styleId="ListBullet2">
    <w:name w:val="ListBullet2"/>
    <w:basedOn w:val="ParaPlain"/>
    <w:uiPriority w:val="2"/>
    <w:rsid w:val="001E344F"/>
    <w:pPr>
      <w:numPr>
        <w:ilvl w:val="1"/>
        <w:numId w:val="35"/>
      </w:numPr>
      <w:ind w:left="2127"/>
      <w:outlineLvl w:val="1"/>
    </w:pPr>
  </w:style>
  <w:style w:type="paragraph" w:customStyle="1" w:styleId="ListBullet3">
    <w:name w:val="ListBullet3"/>
    <w:basedOn w:val="ParaPlain"/>
    <w:uiPriority w:val="2"/>
    <w:rsid w:val="001E344F"/>
    <w:pPr>
      <w:numPr>
        <w:ilvl w:val="2"/>
        <w:numId w:val="35"/>
      </w:numPr>
      <w:ind w:left="2835"/>
      <w:outlineLvl w:val="2"/>
    </w:pPr>
  </w:style>
  <w:style w:type="paragraph" w:customStyle="1" w:styleId="ListBullet4">
    <w:name w:val="ListBullet4"/>
    <w:basedOn w:val="ParaPlain"/>
    <w:uiPriority w:val="2"/>
    <w:rsid w:val="001E344F"/>
    <w:pPr>
      <w:numPr>
        <w:ilvl w:val="3"/>
        <w:numId w:val="35"/>
      </w:numPr>
      <w:ind w:left="3544"/>
      <w:outlineLvl w:val="3"/>
    </w:pPr>
  </w:style>
  <w:style w:type="paragraph" w:customStyle="1" w:styleId="AParaLevel2">
    <w:name w:val="AParaLevel2"/>
    <w:basedOn w:val="ParaPlain"/>
    <w:uiPriority w:val="2"/>
    <w:rsid w:val="00325A5D"/>
    <w:pPr>
      <w:numPr>
        <w:ilvl w:val="1"/>
        <w:numId w:val="37"/>
      </w:numPr>
      <w:outlineLvl w:val="1"/>
    </w:pPr>
  </w:style>
  <w:style w:type="paragraph" w:customStyle="1" w:styleId="AParaLevel3">
    <w:name w:val="AParaLevel3"/>
    <w:basedOn w:val="ParaPlain"/>
    <w:uiPriority w:val="2"/>
    <w:rsid w:val="00325A5D"/>
    <w:pPr>
      <w:numPr>
        <w:ilvl w:val="2"/>
        <w:numId w:val="37"/>
      </w:numPr>
      <w:outlineLvl w:val="2"/>
    </w:pPr>
  </w:style>
  <w:style w:type="paragraph" w:customStyle="1" w:styleId="AppendixTop">
    <w:name w:val="AppendixTop"/>
    <w:basedOn w:val="Normal"/>
    <w:uiPriority w:val="5"/>
    <w:rsid w:val="001562E6"/>
    <w:pPr>
      <w:spacing w:after="200" w:line="260" w:lineRule="exact"/>
      <w:jc w:val="right"/>
    </w:pPr>
    <w:rPr>
      <w:b/>
      <w:sz w:val="26"/>
    </w:rPr>
  </w:style>
  <w:style w:type="paragraph" w:customStyle="1" w:styleId="AppendixRef">
    <w:name w:val="AppendixRef"/>
    <w:basedOn w:val="AppendixTop"/>
    <w:uiPriority w:val="5"/>
    <w:rsid w:val="001562E6"/>
    <w:rPr>
      <w:b w:val="0"/>
      <w:sz w:val="18"/>
    </w:rPr>
  </w:style>
  <w:style w:type="paragraph" w:customStyle="1" w:styleId="AusParaLevel1">
    <w:name w:val="AusParaLevel1"/>
    <w:basedOn w:val="ParaPlain"/>
    <w:uiPriority w:val="4"/>
    <w:rsid w:val="00E87FAF"/>
    <w:pPr>
      <w:ind w:left="1418" w:hanging="1418"/>
    </w:pPr>
  </w:style>
  <w:style w:type="paragraph" w:customStyle="1" w:styleId="AusParaLevel2">
    <w:name w:val="AusParaLevel2"/>
    <w:basedOn w:val="AusParaLevel1"/>
    <w:uiPriority w:val="4"/>
    <w:rsid w:val="00E87FAF"/>
    <w:pPr>
      <w:ind w:left="2127" w:hanging="709"/>
    </w:pPr>
  </w:style>
  <w:style w:type="paragraph" w:customStyle="1" w:styleId="AusParaLevel3">
    <w:name w:val="AusParaLevel3"/>
    <w:basedOn w:val="AusParaLevel2"/>
    <w:uiPriority w:val="4"/>
    <w:rsid w:val="00E87FAF"/>
    <w:pPr>
      <w:ind w:left="2835"/>
    </w:pPr>
  </w:style>
  <w:style w:type="character" w:customStyle="1" w:styleId="RefParas">
    <w:name w:val="RefParas"/>
    <w:basedOn w:val="DefaultParagraphFont"/>
    <w:uiPriority w:val="4"/>
    <w:rsid w:val="001562E6"/>
    <w:rPr>
      <w:rFonts w:ascii="Times New Roman" w:hAnsi="Times New Roman"/>
      <w:b w:val="0"/>
      <w:i w:val="0"/>
      <w:sz w:val="18"/>
    </w:rPr>
  </w:style>
  <w:style w:type="paragraph" w:styleId="TOC1">
    <w:name w:val="toc 1"/>
    <w:basedOn w:val="Normal"/>
    <w:next w:val="Normal"/>
    <w:autoRedefine/>
    <w:uiPriority w:val="7"/>
    <w:rsid w:val="00F51CED"/>
    <w:pPr>
      <w:tabs>
        <w:tab w:val="right" w:leader="dot" w:pos="9072"/>
      </w:tabs>
      <w:spacing w:before="120"/>
      <w:ind w:left="142" w:right="1417" w:hanging="142"/>
    </w:pPr>
    <w:rPr>
      <w:b/>
    </w:rPr>
  </w:style>
  <w:style w:type="paragraph" w:styleId="TOC2">
    <w:name w:val="toc 2"/>
    <w:basedOn w:val="Normal"/>
    <w:next w:val="Normal"/>
    <w:autoRedefine/>
    <w:uiPriority w:val="7"/>
    <w:rsid w:val="00F51CED"/>
    <w:pPr>
      <w:tabs>
        <w:tab w:val="right" w:leader="dot" w:pos="9072"/>
      </w:tabs>
      <w:spacing w:before="120"/>
      <w:ind w:left="142" w:right="1417" w:hanging="142"/>
    </w:pPr>
  </w:style>
  <w:style w:type="numbering" w:customStyle="1" w:styleId="AUASBListBullets">
    <w:name w:val="AUASBListBullets"/>
    <w:uiPriority w:val="99"/>
    <w:rsid w:val="00B74ABB"/>
    <w:pPr>
      <w:numPr>
        <w:numId w:val="34"/>
      </w:numPr>
    </w:pPr>
  </w:style>
  <w:style w:type="numbering" w:customStyle="1" w:styleId="AUASBAParas">
    <w:name w:val="AUASBAParas"/>
    <w:uiPriority w:val="99"/>
    <w:rsid w:val="00325A5D"/>
    <w:pPr>
      <w:numPr>
        <w:numId w:val="37"/>
      </w:numPr>
    </w:pPr>
  </w:style>
  <w:style w:type="numbering" w:customStyle="1" w:styleId="AUASBParaLevels">
    <w:name w:val="AUASBParaLevels"/>
    <w:uiPriority w:val="99"/>
    <w:rsid w:val="001C671A"/>
    <w:pPr>
      <w:numPr>
        <w:numId w:val="38"/>
      </w:numPr>
    </w:pPr>
  </w:style>
  <w:style w:type="numbering" w:customStyle="1" w:styleId="AUASBListNumParas">
    <w:name w:val="AUASBListNumParas"/>
    <w:uiPriority w:val="99"/>
    <w:rsid w:val="001C671A"/>
    <w:pPr>
      <w:numPr>
        <w:numId w:val="40"/>
      </w:numPr>
    </w:pPr>
  </w:style>
  <w:style w:type="character" w:customStyle="1" w:styleId="Heading1Char">
    <w:name w:val="Heading 1 Char"/>
    <w:basedOn w:val="DefaultParagraphFont"/>
    <w:link w:val="Heading1"/>
    <w:semiHidden/>
    <w:rsid w:val="00D438DF"/>
    <w:rPr>
      <w:rFonts w:cs="Arial"/>
      <w:bCs/>
      <w:caps/>
      <w:sz w:val="32"/>
      <w:szCs w:val="32"/>
      <w:lang w:eastAsia="en-US"/>
    </w:rPr>
  </w:style>
  <w:style w:type="paragraph" w:customStyle="1" w:styleId="Divider">
    <w:name w:val="Divider"/>
    <w:basedOn w:val="ParaPlain"/>
    <w:uiPriority w:val="6"/>
    <w:rsid w:val="0000664A"/>
    <w:pPr>
      <w:spacing w:before="240" w:after="360"/>
      <w:jc w:val="center"/>
    </w:pPr>
  </w:style>
  <w:style w:type="paragraph" w:customStyle="1" w:styleId="AppendixHeading">
    <w:name w:val="Appendix Heading"/>
    <w:basedOn w:val="Normal"/>
    <w:next w:val="ParaPlain"/>
    <w:uiPriority w:val="5"/>
    <w:qFormat/>
    <w:rsid w:val="001562E6"/>
    <w:pPr>
      <w:keepNext/>
      <w:spacing w:after="200" w:line="260" w:lineRule="exact"/>
      <w:jc w:val="center"/>
    </w:pPr>
    <w:rPr>
      <w:b/>
      <w:caps/>
      <w:sz w:val="26"/>
      <w:szCs w:val="24"/>
    </w:rPr>
  </w:style>
  <w:style w:type="paragraph" w:customStyle="1" w:styleId="TableHeading">
    <w:name w:val="TableHeading"/>
    <w:basedOn w:val="Normal"/>
    <w:uiPriority w:val="5"/>
    <w:qFormat/>
    <w:rsid w:val="00275B2D"/>
    <w:pPr>
      <w:spacing w:before="60" w:after="60" w:line="240" w:lineRule="auto"/>
    </w:pPr>
    <w:rPr>
      <w:b/>
      <w:szCs w:val="24"/>
      <w:lang w:eastAsia="en-AU"/>
    </w:rPr>
  </w:style>
  <w:style w:type="paragraph" w:customStyle="1" w:styleId="TableRow">
    <w:name w:val="TableRow"/>
    <w:basedOn w:val="Normal"/>
    <w:uiPriority w:val="5"/>
    <w:qFormat/>
    <w:rsid w:val="00275B2D"/>
    <w:pPr>
      <w:spacing w:before="60" w:after="60" w:line="240" w:lineRule="auto"/>
    </w:pPr>
    <w:rPr>
      <w:szCs w:val="24"/>
      <w:lang w:eastAsia="en-AU"/>
    </w:rPr>
  </w:style>
  <w:style w:type="paragraph" w:customStyle="1" w:styleId="ParaIndent">
    <w:name w:val="ParaIndent"/>
    <w:basedOn w:val="ParaPlain"/>
    <w:uiPriority w:val="1"/>
    <w:qFormat/>
    <w:rsid w:val="00E723AD"/>
    <w:pPr>
      <w:ind w:left="709"/>
    </w:pPr>
    <w:rPr>
      <w:szCs w:val="24"/>
    </w:rPr>
  </w:style>
  <w:style w:type="table" w:styleId="TableGrid">
    <w:name w:val="Table Grid"/>
    <w:basedOn w:val="TableNormal"/>
    <w:rsid w:val="009E3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Heading">
    <w:name w:val="BoxHeading"/>
    <w:basedOn w:val="ParaPlain"/>
    <w:next w:val="ParaPlain"/>
    <w:uiPriority w:val="19"/>
    <w:rsid w:val="009E35AC"/>
    <w:pPr>
      <w:pageBreakBefore/>
      <w:spacing w:before="60" w:after="240" w:line="240" w:lineRule="auto"/>
      <w:jc w:val="center"/>
    </w:pPr>
    <w:rPr>
      <w:b/>
      <w:sz w:val="28"/>
    </w:rPr>
  </w:style>
  <w:style w:type="paragraph" w:styleId="BalloonText">
    <w:name w:val="Balloon Text"/>
    <w:basedOn w:val="Normal"/>
    <w:link w:val="BalloonTextChar"/>
    <w:semiHidden/>
    <w:rsid w:val="00CD500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D500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ciaw\AppData\Roaming\Microsoft\Templates\Word\ExpStm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53C20-FB4D-400B-8D0A-C3330D63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ExpStmt</Template>
  <TotalTime>16</TotalTime>
  <Pages>5</Pages>
  <Words>1314</Words>
  <Characters>8154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AUASB</Company>
  <LinksUpToDate>false</LinksUpToDate>
  <CharactersWithSpaces>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PW</dc:creator>
  <cp:lastModifiedBy>Christine Purtell</cp:lastModifiedBy>
  <cp:revision>13</cp:revision>
  <cp:lastPrinted>2013-11-11T00:14:00Z</cp:lastPrinted>
  <dcterms:created xsi:type="dcterms:W3CDTF">2013-10-29T04:27:00Z</dcterms:created>
  <dcterms:modified xsi:type="dcterms:W3CDTF">2013-11-11T00:23:00Z</dcterms:modified>
</cp:coreProperties>
</file>