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C2" w:rsidRDefault="00824BC2" w:rsidP="00824BC2">
      <w:pPr>
        <w:jc w:val="center"/>
        <w:rPr>
          <w:b/>
          <w:bCs/>
          <w:sz w:val="28"/>
          <w:szCs w:val="28"/>
        </w:rPr>
      </w:pPr>
      <w:r>
        <w:rPr>
          <w:b/>
          <w:bCs/>
          <w:sz w:val="28"/>
          <w:szCs w:val="28"/>
        </w:rPr>
        <w:t>EXPLANATORY STATEMENT</w:t>
      </w:r>
    </w:p>
    <w:p w:rsidR="00824BC2" w:rsidRDefault="00824BC2" w:rsidP="00824BC2">
      <w:pPr>
        <w:tabs>
          <w:tab w:val="left" w:pos="1134"/>
        </w:tabs>
        <w:ind w:left="1134" w:hanging="1134"/>
        <w:jc w:val="center"/>
        <w:rPr>
          <w:b/>
          <w:bCs/>
        </w:rPr>
      </w:pPr>
    </w:p>
    <w:p w:rsidR="00824BC2" w:rsidRPr="00EB39E9" w:rsidRDefault="00824BC2" w:rsidP="00824BC2">
      <w:pPr>
        <w:tabs>
          <w:tab w:val="left" w:pos="1134"/>
        </w:tabs>
        <w:ind w:left="1134" w:hanging="1134"/>
        <w:jc w:val="center"/>
        <w:rPr>
          <w:b/>
          <w:bCs/>
        </w:rPr>
      </w:pPr>
      <w:r w:rsidRPr="00EB39E9">
        <w:rPr>
          <w:b/>
          <w:bCs/>
        </w:rPr>
        <w:t xml:space="preserve">THERAPEUTIC GOODS (LISTING) NOTICE </w:t>
      </w:r>
      <w:r>
        <w:rPr>
          <w:b/>
          <w:bCs/>
        </w:rPr>
        <w:t>2013</w:t>
      </w:r>
      <w:r w:rsidRPr="00EB39E9">
        <w:rPr>
          <w:b/>
          <w:bCs/>
        </w:rPr>
        <w:t xml:space="preserve"> (NO. </w:t>
      </w:r>
      <w:r w:rsidR="006B2602">
        <w:rPr>
          <w:b/>
          <w:bCs/>
        </w:rPr>
        <w:t>4</w:t>
      </w:r>
      <w:r w:rsidRPr="00EB39E9">
        <w:rPr>
          <w:b/>
          <w:bCs/>
        </w:rPr>
        <w:t>)</w:t>
      </w:r>
    </w:p>
    <w:p w:rsidR="00824BC2" w:rsidRDefault="00824BC2" w:rsidP="00824BC2">
      <w:pPr>
        <w:tabs>
          <w:tab w:val="left" w:pos="1134"/>
        </w:tabs>
        <w:jc w:val="center"/>
        <w:rPr>
          <w:b/>
        </w:rPr>
      </w:pPr>
    </w:p>
    <w:p w:rsidR="00824BC2" w:rsidRPr="00965334" w:rsidRDefault="00824BC2" w:rsidP="00824BC2">
      <w:pPr>
        <w:tabs>
          <w:tab w:val="left" w:pos="1134"/>
        </w:tabs>
        <w:jc w:val="center"/>
        <w:rPr>
          <w:bCs/>
          <w:iCs/>
        </w:rPr>
      </w:pPr>
      <w:r>
        <w:rPr>
          <w:bCs/>
          <w:i/>
          <w:iCs/>
        </w:rPr>
        <w:t>Subsection 9A(5), Therapeutic Goods Act 1989</w:t>
      </w:r>
    </w:p>
    <w:p w:rsidR="00824BC2" w:rsidRPr="00393D80" w:rsidRDefault="00824BC2" w:rsidP="00824BC2">
      <w:pPr>
        <w:tabs>
          <w:tab w:val="left" w:pos="1134"/>
        </w:tabs>
        <w:jc w:val="center"/>
        <w:rPr>
          <w:b/>
          <w:bCs/>
          <w:i/>
          <w:iCs/>
        </w:rPr>
      </w:pPr>
    </w:p>
    <w:p w:rsidR="00824BC2" w:rsidRPr="00FA615E" w:rsidRDefault="00824BC2" w:rsidP="00824BC2">
      <w:pPr>
        <w:pStyle w:val="Heading3"/>
        <w:spacing w:after="120"/>
        <w:rPr>
          <w:rFonts w:ascii="Times New Roman" w:hAnsi="Times New Roman"/>
        </w:rPr>
      </w:pPr>
      <w:r w:rsidRPr="00FA615E">
        <w:rPr>
          <w:rFonts w:ascii="Times New Roman" w:hAnsi="Times New Roman"/>
        </w:rPr>
        <w:t>OUTLINE</w:t>
      </w:r>
    </w:p>
    <w:p w:rsidR="00824BC2" w:rsidRDefault="00824BC2" w:rsidP="00824BC2">
      <w:pPr>
        <w:tabs>
          <w:tab w:val="left" w:pos="1134"/>
        </w:tabs>
        <w:rPr>
          <w:bCs/>
        </w:rPr>
      </w:pPr>
      <w:r w:rsidRPr="001A1A36">
        <w:rPr>
          <w:i/>
        </w:rPr>
        <w:t>Therap</w:t>
      </w:r>
      <w:r>
        <w:rPr>
          <w:i/>
        </w:rPr>
        <w:t>eutic Goods (Listing) Notice 2013</w:t>
      </w:r>
      <w:r w:rsidRPr="001A1A36">
        <w:rPr>
          <w:i/>
        </w:rPr>
        <w:t xml:space="preserve"> (No. </w:t>
      </w:r>
      <w:r w:rsidR="006B2602">
        <w:rPr>
          <w:i/>
        </w:rPr>
        <w:t>4</w:t>
      </w:r>
      <w:r w:rsidRPr="001A1A36">
        <w:rPr>
          <w:i/>
        </w:rPr>
        <w:t>)</w:t>
      </w:r>
      <w:r>
        <w:t xml:space="preserve"> (the Listing Notice) is a notice</w:t>
      </w:r>
      <w:r w:rsidRPr="0000674E">
        <w:t xml:space="preserve"> made by the delegate of the Minister for Health under </w:t>
      </w:r>
      <w:r>
        <w:t>sub</w:t>
      </w:r>
      <w:r w:rsidRPr="0000674E">
        <w:t xml:space="preserve">section </w:t>
      </w:r>
      <w:r>
        <w:t>9A(5)</w:t>
      </w:r>
      <w:r w:rsidRPr="0000674E">
        <w:t xml:space="preserve"> of the </w:t>
      </w:r>
      <w:r w:rsidRPr="0000674E">
        <w:rPr>
          <w:i/>
          <w:iCs/>
        </w:rPr>
        <w:t xml:space="preserve">Therapeutic Goods Act 1989 </w:t>
      </w:r>
      <w:r>
        <w:t>(the Act).</w:t>
      </w:r>
    </w:p>
    <w:p w:rsidR="00824BC2" w:rsidRPr="00D0216A" w:rsidRDefault="00824BC2" w:rsidP="00824BC2"/>
    <w:p w:rsidR="00824BC2" w:rsidRDefault="00824BC2" w:rsidP="00824BC2">
      <w:r>
        <w:t>The Listing Notice has the effect of requiring that therapeutic goods that contain ‘</w:t>
      </w:r>
      <w:r w:rsidRPr="00FB669B">
        <w:t xml:space="preserve">Astaxanthin esters extracted from </w:t>
      </w:r>
      <w:r w:rsidRPr="00FB669B">
        <w:rPr>
          <w:i/>
        </w:rPr>
        <w:t xml:space="preserve">Haematococcus pluvialis’ </w:t>
      </w:r>
      <w:r>
        <w:t>as a therapeutically active ingredient, subject to certain conditions, be included in the part of the Australian Register of Therapeutic Goods (the Register) for listed goods.</w:t>
      </w:r>
    </w:p>
    <w:p w:rsidR="00824BC2" w:rsidRDefault="00824BC2" w:rsidP="00824BC2"/>
    <w:p w:rsidR="00824BC2" w:rsidRDefault="00824BC2" w:rsidP="00824BC2">
      <w:pPr>
        <w:rPr>
          <w:i/>
        </w:rPr>
      </w:pPr>
      <w:r w:rsidRPr="00B20F58">
        <w:t>The Listing Notice commenced on the day after it was registered on the Federal Register of</w:t>
      </w:r>
      <w:r>
        <w:t xml:space="preserve"> Legislative Instruments (FRLI).</w:t>
      </w:r>
    </w:p>
    <w:p w:rsidR="00824BC2" w:rsidRPr="0000674E" w:rsidRDefault="00824BC2" w:rsidP="00824BC2"/>
    <w:p w:rsidR="00824BC2" w:rsidRDefault="00824BC2" w:rsidP="00824BC2">
      <w:pPr>
        <w:pStyle w:val="Heading3"/>
        <w:spacing w:before="0"/>
        <w:rPr>
          <w:rFonts w:ascii="Times New Roman" w:hAnsi="Times New Roman"/>
        </w:rPr>
      </w:pPr>
      <w:r w:rsidRPr="00FA615E">
        <w:rPr>
          <w:rFonts w:ascii="Times New Roman" w:hAnsi="Times New Roman"/>
        </w:rPr>
        <w:t>BACKGROUND</w:t>
      </w:r>
    </w:p>
    <w:p w:rsidR="00824BC2" w:rsidRPr="00FA615E" w:rsidRDefault="00824BC2" w:rsidP="00824BC2">
      <w:pPr>
        <w:rPr>
          <w:lang w:eastAsia="en-US"/>
        </w:rPr>
      </w:pPr>
    </w:p>
    <w:p w:rsidR="00824BC2" w:rsidRDefault="00824BC2" w:rsidP="00824BC2">
      <w:r>
        <w:t xml:space="preserve">The Act </w:t>
      </w:r>
      <w:r w:rsidRPr="0000674E">
        <w:t xml:space="preserve">provides for the establishment and maintenance of a national system of controls </w:t>
      </w:r>
      <w:r>
        <w:t>for</w:t>
      </w:r>
      <w:r w:rsidRPr="0000674E">
        <w:t xml:space="preserve"> the quality, safety, efficacy and timely</w:t>
      </w:r>
      <w:r w:rsidR="009C640A">
        <w:t xml:space="preserve"> </w:t>
      </w:r>
      <w:r w:rsidRPr="0000674E">
        <w:t xml:space="preserve">availability of therapeutic goods </w:t>
      </w:r>
      <w:r>
        <w:t xml:space="preserve">that are used in Australia or exported from Australia. </w:t>
      </w:r>
      <w:r w:rsidRPr="0000674E">
        <w:t>The Therapeutic Goods Administration (</w:t>
      </w:r>
      <w:r>
        <w:t xml:space="preserve">the </w:t>
      </w:r>
      <w:r w:rsidRPr="0000674E">
        <w:t>TGA) is responsible for administering the Act.</w:t>
      </w:r>
    </w:p>
    <w:p w:rsidR="00824BC2" w:rsidRDefault="00824BC2" w:rsidP="00824BC2"/>
    <w:p w:rsidR="00824BC2" w:rsidRDefault="00824BC2" w:rsidP="00824BC2">
      <w:r>
        <w:t xml:space="preserve">Unless specifically exempted or authorised under the Act, therapeutic goods are required to </w:t>
      </w:r>
      <w:r w:rsidRPr="00D64332">
        <w:t xml:space="preserve">be </w:t>
      </w:r>
      <w:r>
        <w:t>included on the Register</w:t>
      </w:r>
      <w:r w:rsidRPr="00D64332">
        <w:t xml:space="preserve"> before being supplied in, imported into, manufactured in or exported from Australia (sec</w:t>
      </w:r>
      <w:r>
        <w:t xml:space="preserve">tions 19B and 19D of the Act refer). </w:t>
      </w:r>
      <w:r w:rsidRPr="00D64332">
        <w:t xml:space="preserve">Medicines are </w:t>
      </w:r>
      <w:r>
        <w:t>either registered or listed on the Register</w:t>
      </w:r>
      <w:r w:rsidRPr="00D64332">
        <w:t>, depending on the ingredients they contain and the therapeutic claims that are being made.</w:t>
      </w:r>
    </w:p>
    <w:p w:rsidR="00824BC2" w:rsidRDefault="00824BC2" w:rsidP="00824BC2"/>
    <w:p w:rsidR="00824BC2" w:rsidRPr="00A61018" w:rsidRDefault="00824BC2" w:rsidP="00824BC2">
      <w:pPr>
        <w:rPr>
          <w:snapToGrid w:val="0"/>
          <w:color w:val="000000"/>
          <w:lang w:eastAsia="en-US"/>
        </w:rPr>
      </w:pPr>
      <w:r>
        <w:rPr>
          <w:snapToGrid w:val="0"/>
          <w:color w:val="000000"/>
          <w:lang w:eastAsia="en-US"/>
        </w:rPr>
        <w:t>In general</w:t>
      </w:r>
      <w:r w:rsidRPr="000B16EF">
        <w:rPr>
          <w:snapToGrid w:val="0"/>
          <w:color w:val="000000"/>
          <w:lang w:eastAsia="en-US"/>
        </w:rPr>
        <w:t xml:space="preserve">, products </w:t>
      </w:r>
      <w:r>
        <w:rPr>
          <w:snapToGrid w:val="0"/>
          <w:color w:val="000000"/>
          <w:lang w:eastAsia="en-US"/>
        </w:rPr>
        <w:t>that contain low risk ingredients are referred to as listed medicines in Australia</w:t>
      </w:r>
      <w:r w:rsidRPr="000B16EF">
        <w:rPr>
          <w:snapToGrid w:val="0"/>
          <w:color w:val="000000"/>
          <w:lang w:eastAsia="en-US"/>
        </w:rPr>
        <w:t>.</w:t>
      </w:r>
      <w:r>
        <w:rPr>
          <w:snapToGrid w:val="0"/>
          <w:color w:val="000000"/>
          <w:lang w:eastAsia="en-US"/>
        </w:rPr>
        <w:t xml:space="preserve"> Most listed medicines are considered to be of relatively low risk compared to other types of medicines, such as prescription and over-the-counter medicines, as they may only contain ingredients that have been approved by the TGA as being of low risk and may only make limited therapeutic claims.</w:t>
      </w:r>
    </w:p>
    <w:p w:rsidR="00824BC2" w:rsidRDefault="00824BC2" w:rsidP="00824BC2">
      <w:pPr>
        <w:rPr>
          <w:snapToGrid w:val="0"/>
          <w:color w:val="000000"/>
          <w:lang w:eastAsia="en-US"/>
        </w:rPr>
      </w:pPr>
    </w:p>
    <w:p w:rsidR="00824BC2" w:rsidRPr="001C0F44" w:rsidRDefault="00824BC2" w:rsidP="00824BC2">
      <w:pPr>
        <w:rPr>
          <w:bCs/>
          <w:iCs/>
        </w:rPr>
      </w:pPr>
      <w:r>
        <w:t xml:space="preserve">Part 1 of </w:t>
      </w:r>
      <w:r w:rsidRPr="001C0F44">
        <w:t xml:space="preserve">Schedule 4 </w:t>
      </w:r>
      <w:r>
        <w:t>to</w:t>
      </w:r>
      <w:r w:rsidRPr="001C0F44">
        <w:t xml:space="preserve"> the </w:t>
      </w:r>
      <w:r w:rsidRPr="00E13F64">
        <w:rPr>
          <w:snapToGrid w:val="0"/>
          <w:lang w:eastAsia="en-US"/>
        </w:rPr>
        <w:t>Therapeutic Goods Regulations 1990</w:t>
      </w:r>
      <w:r w:rsidRPr="001C0F44">
        <w:rPr>
          <w:snapToGrid w:val="0"/>
          <w:lang w:eastAsia="en-US"/>
        </w:rPr>
        <w:t xml:space="preserve"> (the Regulations) sets out those therapeutic goods that are </w:t>
      </w:r>
      <w:r w:rsidRPr="001C0F44">
        <w:t xml:space="preserve">required to be </w:t>
      </w:r>
      <w:r>
        <w:t>included in the part of the Register for listed goods. Part 1 of Schedule 4 does not currently include goods</w:t>
      </w:r>
      <w:r>
        <w:rPr>
          <w:bCs/>
          <w:iCs/>
        </w:rPr>
        <w:t xml:space="preserve"> containing</w:t>
      </w:r>
      <w:r w:rsidRPr="001C0F44">
        <w:rPr>
          <w:bCs/>
          <w:iCs/>
        </w:rPr>
        <w:t xml:space="preserve"> </w:t>
      </w:r>
      <w:r>
        <w:t>‘</w:t>
      </w:r>
      <w:r w:rsidRPr="00FB669B">
        <w:t xml:space="preserve">Astaxanthin esters extracted from </w:t>
      </w:r>
      <w:r w:rsidRPr="00FB669B">
        <w:rPr>
          <w:i/>
        </w:rPr>
        <w:t xml:space="preserve">Haematococcus pluvialis’ </w:t>
      </w:r>
      <w:r>
        <w:t>as a therapeutically active ingredient</w:t>
      </w:r>
      <w:r w:rsidRPr="001C0F44">
        <w:rPr>
          <w:bCs/>
          <w:iCs/>
        </w:rPr>
        <w:t>.</w:t>
      </w:r>
    </w:p>
    <w:p w:rsidR="00824BC2" w:rsidRDefault="00824BC2" w:rsidP="00824BC2">
      <w:pPr>
        <w:tabs>
          <w:tab w:val="left" w:pos="3686"/>
        </w:tabs>
        <w:rPr>
          <w:color w:val="000000"/>
        </w:rPr>
      </w:pPr>
    </w:p>
    <w:p w:rsidR="00824BC2" w:rsidRDefault="00824BC2" w:rsidP="00824BC2">
      <w:pPr>
        <w:tabs>
          <w:tab w:val="left" w:pos="3686"/>
        </w:tabs>
        <w:rPr>
          <w:color w:val="000000"/>
        </w:rPr>
      </w:pPr>
      <w:r>
        <w:t xml:space="preserve">Subsection 9A(5) of the Act authorises the Minister for Health to publish a notice in the </w:t>
      </w:r>
      <w:r w:rsidRPr="00B57C83">
        <w:rPr>
          <w:i/>
        </w:rPr>
        <w:t>Commonwealth of Australia Gazette</w:t>
      </w:r>
      <w:r w:rsidRPr="00533417">
        <w:t xml:space="preserve"> </w:t>
      </w:r>
      <w:r>
        <w:t>requiring that specified goods be included in the part of the Register for listed goods. Such notices generally require that goods containing particular ingredients be included in that part of the Register. Once the notice is in effect, persons may apply for the listing on the Register of new therapeutic goods that contain ingredients or substances of the kind set out in the notice.</w:t>
      </w:r>
    </w:p>
    <w:p w:rsidR="00824BC2" w:rsidRDefault="00824BC2" w:rsidP="00824BC2">
      <w:pPr>
        <w:tabs>
          <w:tab w:val="left" w:pos="3686"/>
        </w:tabs>
        <w:rPr>
          <w:color w:val="000000"/>
        </w:rPr>
      </w:pPr>
    </w:p>
    <w:p w:rsidR="00824BC2" w:rsidRDefault="00824BC2" w:rsidP="00824BC2">
      <w:r>
        <w:lastRenderedPageBreak/>
        <w:t>If Part 1 of Schedule 4 to the Regulations is amended to require goods that are the subject of a subsection 9A(5) notice to be included in the part of the Register for listed goods, the notice ceases to have effect (subsection 9A(6) of the Act refers).</w:t>
      </w:r>
    </w:p>
    <w:p w:rsidR="00824BC2" w:rsidRPr="00AE3F01" w:rsidRDefault="00824BC2" w:rsidP="00824BC2"/>
    <w:p w:rsidR="00824BC2" w:rsidRPr="0095187F" w:rsidRDefault="00824BC2" w:rsidP="00824BC2">
      <w:pPr>
        <w:tabs>
          <w:tab w:val="num" w:pos="927"/>
        </w:tabs>
      </w:pPr>
      <w:r w:rsidRPr="002966B5">
        <w:t xml:space="preserve">A person can apply for a new ingredient or substance to be </w:t>
      </w:r>
      <w:r>
        <w:t xml:space="preserve">specified in a notice under subsection 9A(5).  </w:t>
      </w:r>
      <w:r w:rsidRPr="002966B5">
        <w:t>The TGA evaluates such applications</w:t>
      </w:r>
      <w:r>
        <w:t>,</w:t>
      </w:r>
      <w:r w:rsidRPr="002966B5">
        <w:t xml:space="preserve"> and the supporting data provided by the applicant</w:t>
      </w:r>
      <w:r>
        <w:t>,</w:t>
      </w:r>
      <w:r w:rsidRPr="002966B5">
        <w:t xml:space="preserve"> on th</w:t>
      </w:r>
      <w:r>
        <w:t xml:space="preserve">e basis of safety and quality.  </w:t>
      </w:r>
      <w:r w:rsidRPr="002966B5">
        <w:t xml:space="preserve">The safety-focussed </w:t>
      </w:r>
      <w:r w:rsidRPr="0095187F">
        <w:t>element determines whether the ingredient or substance is of sufficiently low risk to allow its inclusion in listed medicines, and the quality-focussed element characterises the precise and correct nature of the ingredient or substance.</w:t>
      </w:r>
    </w:p>
    <w:p w:rsidR="00824BC2" w:rsidRPr="0095187F" w:rsidRDefault="00824BC2" w:rsidP="00824BC2">
      <w:pPr>
        <w:pStyle w:val="Title"/>
        <w:rPr>
          <w:rFonts w:ascii="Times New Roman" w:hAnsi="Times New Roman"/>
          <w:sz w:val="24"/>
          <w:szCs w:val="24"/>
        </w:rPr>
      </w:pPr>
    </w:p>
    <w:p w:rsidR="00824BC2" w:rsidRPr="0095187F" w:rsidRDefault="00824BC2" w:rsidP="00824BC2">
      <w:pPr>
        <w:pStyle w:val="Title"/>
        <w:spacing w:after="0"/>
        <w:rPr>
          <w:rFonts w:ascii="Times New Roman" w:hAnsi="Times New Roman"/>
          <w:b/>
          <w:sz w:val="24"/>
          <w:szCs w:val="24"/>
        </w:rPr>
      </w:pPr>
      <w:r w:rsidRPr="0095187F">
        <w:rPr>
          <w:rFonts w:ascii="Times New Roman" w:hAnsi="Times New Roman"/>
          <w:b/>
          <w:sz w:val="24"/>
          <w:szCs w:val="24"/>
        </w:rPr>
        <w:t xml:space="preserve">‘Astaxanthin esters extracted from </w:t>
      </w:r>
      <w:r w:rsidRPr="0095187F">
        <w:rPr>
          <w:rFonts w:ascii="Times New Roman" w:hAnsi="Times New Roman"/>
          <w:b/>
          <w:i/>
          <w:sz w:val="24"/>
          <w:szCs w:val="24"/>
        </w:rPr>
        <w:t>Haematococcus pluvialis</w:t>
      </w:r>
      <w:r w:rsidRPr="0095187F">
        <w:rPr>
          <w:rFonts w:ascii="Times New Roman" w:hAnsi="Times New Roman"/>
          <w:b/>
          <w:sz w:val="24"/>
          <w:szCs w:val="24"/>
        </w:rPr>
        <w:t>’</w:t>
      </w:r>
    </w:p>
    <w:p w:rsidR="00824BC2" w:rsidRPr="0095187F" w:rsidRDefault="00824BC2" w:rsidP="00824BC2">
      <w:pPr>
        <w:rPr>
          <w:lang w:eastAsia="en-US"/>
        </w:rPr>
      </w:pPr>
    </w:p>
    <w:p w:rsidR="00017D13" w:rsidRPr="00701327" w:rsidRDefault="00A17613" w:rsidP="00824BC2">
      <w:pPr>
        <w:autoSpaceDE w:val="0"/>
        <w:autoSpaceDN w:val="0"/>
        <w:adjustRightInd w:val="0"/>
      </w:pPr>
      <w:r w:rsidRPr="0095187F">
        <w:rPr>
          <w:i/>
        </w:rPr>
        <w:t>Haematococcus pluvialis</w:t>
      </w:r>
      <w:r w:rsidRPr="0095187F">
        <w:t xml:space="preserve"> </w:t>
      </w:r>
      <w:r w:rsidR="005D5F38">
        <w:t>(</w:t>
      </w:r>
      <w:r w:rsidR="005D5F38" w:rsidRPr="0095187F">
        <w:rPr>
          <w:i/>
        </w:rPr>
        <w:t xml:space="preserve">H. </w:t>
      </w:r>
      <w:r w:rsidR="00211835">
        <w:rPr>
          <w:i/>
        </w:rPr>
        <w:t>p</w:t>
      </w:r>
      <w:r w:rsidR="005D5F38" w:rsidRPr="0095187F">
        <w:rPr>
          <w:i/>
        </w:rPr>
        <w:t>luvialis</w:t>
      </w:r>
      <w:r w:rsidR="005D5F38">
        <w:t xml:space="preserve">) </w:t>
      </w:r>
      <w:r w:rsidRPr="0095187F">
        <w:t xml:space="preserve">is a species of freshwater green alga belonging to the order Volvocales, family Haematococcaceae. </w:t>
      </w:r>
      <w:r w:rsidR="005D5F38">
        <w:t xml:space="preserve"> </w:t>
      </w:r>
      <w:r w:rsidRPr="0095187F">
        <w:t xml:space="preserve">As with other members of its family </w:t>
      </w:r>
      <w:r w:rsidRPr="0095187F">
        <w:rPr>
          <w:i/>
        </w:rPr>
        <w:t>H. pluvialis</w:t>
      </w:r>
      <w:r w:rsidRPr="0095187F">
        <w:t xml:space="preserve"> can, under certain conditions, produce significant quantities of astaxanthin (ASX)</w:t>
      </w:r>
      <w:r w:rsidR="009474C9">
        <w:t xml:space="preserve"> which gives</w:t>
      </w:r>
      <w:r w:rsidRPr="0095187F">
        <w:t xml:space="preserve"> these ‘green’ algae a pink to deep red tinge.</w:t>
      </w:r>
      <w:r w:rsidR="006B51FD">
        <w:t xml:space="preserve"> </w:t>
      </w:r>
      <w:r w:rsidR="005D5F38">
        <w:t xml:space="preserve"> </w:t>
      </w:r>
      <w:r w:rsidR="006B51FD">
        <w:t xml:space="preserve">ASX is </w:t>
      </w:r>
      <w:r w:rsidR="006B51FD" w:rsidRPr="0095187F">
        <w:t>the major biologically active component c</w:t>
      </w:r>
      <w:r w:rsidR="006B51FD">
        <w:t xml:space="preserve">haracterised </w:t>
      </w:r>
      <w:r w:rsidR="009474C9">
        <w:t>in</w:t>
      </w:r>
      <w:r w:rsidR="00701327">
        <w:t xml:space="preserve"> </w:t>
      </w:r>
      <w:r w:rsidR="006B51FD" w:rsidRPr="0095187F">
        <w:t xml:space="preserve">‘Astaxanthin esters extracted from </w:t>
      </w:r>
      <w:r w:rsidR="006B51FD" w:rsidRPr="0095187F">
        <w:rPr>
          <w:i/>
        </w:rPr>
        <w:t>Haematococcus pluvialis</w:t>
      </w:r>
      <w:r w:rsidR="00701327">
        <w:rPr>
          <w:i/>
        </w:rPr>
        <w:t>’</w:t>
      </w:r>
      <w:r w:rsidR="00701327">
        <w:t>.</w:t>
      </w:r>
    </w:p>
    <w:p w:rsidR="005E7FB5" w:rsidRDefault="005E7FB5" w:rsidP="00824BC2">
      <w:pPr>
        <w:autoSpaceDE w:val="0"/>
        <w:autoSpaceDN w:val="0"/>
        <w:adjustRightInd w:val="0"/>
      </w:pPr>
    </w:p>
    <w:p w:rsidR="00DB6F6E" w:rsidRPr="0095187F" w:rsidRDefault="005E7FB5" w:rsidP="008A7B9D">
      <w:pPr>
        <w:autoSpaceDE w:val="0"/>
        <w:autoSpaceDN w:val="0"/>
        <w:adjustRightInd w:val="0"/>
      </w:pPr>
      <w:r w:rsidRPr="0095187F">
        <w:t xml:space="preserve">‘Astaxanthin esters extracted from </w:t>
      </w:r>
      <w:r w:rsidRPr="0095187F">
        <w:rPr>
          <w:i/>
        </w:rPr>
        <w:t>Haematococcus pluvialis’</w:t>
      </w:r>
      <w:r>
        <w:t xml:space="preserve"> </w:t>
      </w:r>
      <w:r w:rsidRPr="0095187F">
        <w:t>is an extract of dried</w:t>
      </w:r>
      <w:r w:rsidR="008C5F0D">
        <w:t xml:space="preserve">      </w:t>
      </w:r>
      <w:r w:rsidRPr="0095187F">
        <w:t xml:space="preserve"> </w:t>
      </w:r>
      <w:r w:rsidRPr="0095187F">
        <w:rPr>
          <w:i/>
        </w:rPr>
        <w:t>H. pluvialis</w:t>
      </w:r>
      <w:r w:rsidRPr="0095187F">
        <w:t xml:space="preserve"> cells</w:t>
      </w:r>
      <w:r w:rsidR="009474C9">
        <w:t xml:space="preserve">. </w:t>
      </w:r>
      <w:r w:rsidR="005D5F38">
        <w:t xml:space="preserve"> </w:t>
      </w:r>
      <w:r w:rsidR="009474C9">
        <w:t>It is</w:t>
      </w:r>
      <w:r w:rsidRPr="0095187F">
        <w:t xml:space="preserve"> </w:t>
      </w:r>
      <w:r w:rsidR="00FF6BDE" w:rsidRPr="0095187F">
        <w:t>a complex mixture</w:t>
      </w:r>
      <w:r w:rsidR="006027FA">
        <w:t xml:space="preserve"> that is</w:t>
      </w:r>
      <w:r w:rsidR="00FF6BDE" w:rsidRPr="0095187F">
        <w:t xml:space="preserve"> </w:t>
      </w:r>
      <w:r w:rsidR="00720A56">
        <w:t xml:space="preserve">primarily composed of lipids </w:t>
      </w:r>
      <w:r w:rsidR="009474C9">
        <w:t xml:space="preserve">but also </w:t>
      </w:r>
      <w:r w:rsidR="006027FA">
        <w:t xml:space="preserve">contains </w:t>
      </w:r>
      <w:r w:rsidR="009474C9">
        <w:t xml:space="preserve">naturally occurring </w:t>
      </w:r>
      <w:r w:rsidR="00720A56">
        <w:t>esterified ASX</w:t>
      </w:r>
      <w:r w:rsidR="009474C9">
        <w:t xml:space="preserve"> which is present in the extract at levels of approximately 10 – 13% by weight</w:t>
      </w:r>
      <w:r w:rsidR="00525846">
        <w:t xml:space="preserve">, </w:t>
      </w:r>
      <w:r w:rsidR="009474C9">
        <w:t>calculated as free ASX</w:t>
      </w:r>
      <w:r w:rsidR="00525846">
        <w:t>.</w:t>
      </w:r>
    </w:p>
    <w:p w:rsidR="00B62D79" w:rsidRPr="0095187F" w:rsidRDefault="00B62D79" w:rsidP="008A7B9D">
      <w:pPr>
        <w:autoSpaceDE w:val="0"/>
        <w:autoSpaceDN w:val="0"/>
        <w:adjustRightInd w:val="0"/>
      </w:pPr>
    </w:p>
    <w:p w:rsidR="00C94307" w:rsidRDefault="00F92C0E" w:rsidP="001F449E">
      <w:pPr>
        <w:autoSpaceDE w:val="0"/>
        <w:autoSpaceDN w:val="0"/>
        <w:adjustRightInd w:val="0"/>
      </w:pPr>
      <w:r w:rsidRPr="0095187F">
        <w:t xml:space="preserve">‘Astaxanthin esters extracted from </w:t>
      </w:r>
      <w:r w:rsidRPr="0095187F">
        <w:rPr>
          <w:i/>
        </w:rPr>
        <w:t>Haematococcus pluvialis’</w:t>
      </w:r>
      <w:r w:rsidR="00EE1BA8">
        <w:t>, and other substances</w:t>
      </w:r>
      <w:r w:rsidR="007E05CC" w:rsidRPr="0095187F">
        <w:t xml:space="preserve"> that are substantially equivalent, have a history of </w:t>
      </w:r>
      <w:r w:rsidR="009474C9" w:rsidRPr="0095187F">
        <w:t xml:space="preserve">safe </w:t>
      </w:r>
      <w:r w:rsidR="007E05CC" w:rsidRPr="0095187F">
        <w:t xml:space="preserve">use in countries such as the UK, Canada and USA. </w:t>
      </w:r>
      <w:r w:rsidR="000F1592">
        <w:t xml:space="preserve"> </w:t>
      </w:r>
      <w:r w:rsidR="007E05CC" w:rsidRPr="0095187F">
        <w:t xml:space="preserve">ASX is </w:t>
      </w:r>
      <w:r w:rsidR="00D3161C">
        <w:t xml:space="preserve">also </w:t>
      </w:r>
      <w:r w:rsidR="007E05CC" w:rsidRPr="0095187F">
        <w:t>naturally present in relatively high levels in certain foods such as salmon, shrimp and lobster</w:t>
      </w:r>
      <w:r w:rsidR="00E10C2E">
        <w:t>.</w:t>
      </w:r>
      <w:r w:rsidR="009474C9" w:rsidRPr="009474C9">
        <w:t xml:space="preserve"> </w:t>
      </w:r>
      <w:r w:rsidR="000F1592">
        <w:t xml:space="preserve"> </w:t>
      </w:r>
      <w:r w:rsidR="009474C9">
        <w:t xml:space="preserve">However, to ensure the safe use of the substance as </w:t>
      </w:r>
      <w:r w:rsidR="006027FA">
        <w:t xml:space="preserve">an </w:t>
      </w:r>
      <w:r w:rsidR="009474C9">
        <w:t xml:space="preserve">ingredient in listed medicines, </w:t>
      </w:r>
      <w:r w:rsidR="006027FA">
        <w:t>conditions have been placed on its use to limit the</w:t>
      </w:r>
      <w:r w:rsidR="009474C9" w:rsidRPr="0095187F">
        <w:t xml:space="preserve"> d</w:t>
      </w:r>
      <w:r w:rsidR="009474C9">
        <w:t xml:space="preserve">ose </w:t>
      </w:r>
      <w:r w:rsidR="006027FA">
        <w:t xml:space="preserve">of </w:t>
      </w:r>
      <w:r w:rsidR="009474C9">
        <w:t>ASX</w:t>
      </w:r>
      <w:r w:rsidR="006027FA" w:rsidRPr="006027FA">
        <w:t xml:space="preserve"> </w:t>
      </w:r>
      <w:r w:rsidR="006027FA">
        <w:t>to not more than 12 mg per day</w:t>
      </w:r>
      <w:r w:rsidR="009474C9">
        <w:t>.</w:t>
      </w:r>
    </w:p>
    <w:p w:rsidR="00A17C3F" w:rsidRDefault="00A17C3F" w:rsidP="00812012">
      <w:pPr>
        <w:autoSpaceDE w:val="0"/>
        <w:autoSpaceDN w:val="0"/>
        <w:adjustRightInd w:val="0"/>
      </w:pPr>
    </w:p>
    <w:p w:rsidR="00824BC2" w:rsidRPr="0095187F" w:rsidRDefault="00824BC2" w:rsidP="00824BC2">
      <w:pPr>
        <w:autoSpaceDE w:val="0"/>
        <w:autoSpaceDN w:val="0"/>
        <w:adjustRightInd w:val="0"/>
      </w:pPr>
      <w:r w:rsidRPr="0095187F">
        <w:rPr>
          <w:color w:val="000000"/>
        </w:rPr>
        <w:t>To that end, the delegate of the Minister has determined that therapeutic goods containing ‘Astaxanthin esters extracted from</w:t>
      </w:r>
      <w:r w:rsidRPr="0095187F">
        <w:rPr>
          <w:i/>
          <w:color w:val="000000"/>
        </w:rPr>
        <w:t xml:space="preserve"> Haematococcus pluvialis</w:t>
      </w:r>
      <w:r w:rsidRPr="0095187F">
        <w:rPr>
          <w:color w:val="000000"/>
        </w:rPr>
        <w:t>’ as a therapeutically active ingredient be included in the part of the Register for listed goods, when:</w:t>
      </w:r>
    </w:p>
    <w:p w:rsidR="003862F8" w:rsidRPr="0095187F" w:rsidRDefault="003862F8" w:rsidP="003862F8">
      <w:pPr>
        <w:numPr>
          <w:ilvl w:val="0"/>
          <w:numId w:val="27"/>
        </w:numPr>
        <w:spacing w:before="120" w:line="240" w:lineRule="atLeast"/>
        <w:rPr>
          <w:snapToGrid w:val="0"/>
          <w:lang w:eastAsia="en-US"/>
        </w:rPr>
      </w:pPr>
      <w:r w:rsidRPr="0095187F">
        <w:t>the preparations are for oral use only; and</w:t>
      </w:r>
    </w:p>
    <w:p w:rsidR="003862F8" w:rsidRPr="0095187F" w:rsidRDefault="003862F8" w:rsidP="003862F8">
      <w:pPr>
        <w:numPr>
          <w:ilvl w:val="0"/>
          <w:numId w:val="27"/>
        </w:numPr>
        <w:spacing w:before="120" w:line="240" w:lineRule="atLeast"/>
        <w:rPr>
          <w:snapToGrid w:val="0"/>
          <w:lang w:eastAsia="en-US"/>
        </w:rPr>
      </w:pPr>
      <w:r w:rsidRPr="0095187F">
        <w:t>the preparations provide not more than 12 mg of astaxanthin per daily dose; and</w:t>
      </w:r>
    </w:p>
    <w:p w:rsidR="003862F8" w:rsidRPr="0095187F" w:rsidRDefault="003862F8" w:rsidP="003862F8">
      <w:pPr>
        <w:numPr>
          <w:ilvl w:val="0"/>
          <w:numId w:val="27"/>
        </w:numPr>
        <w:spacing w:before="120" w:line="240" w:lineRule="atLeast"/>
        <w:rPr>
          <w:snapToGrid w:val="0"/>
          <w:lang w:eastAsia="en-US"/>
        </w:rPr>
      </w:pPr>
      <w:r w:rsidRPr="0095187F">
        <w:t xml:space="preserve">‘Astaxanthin esters extracted from </w:t>
      </w:r>
      <w:r w:rsidRPr="0095187F">
        <w:rPr>
          <w:i/>
        </w:rPr>
        <w:t xml:space="preserve">Haematococcus pluvialis’ </w:t>
      </w:r>
      <w:r w:rsidRPr="0095187F">
        <w:t>is present in combination with other ingredients; and</w:t>
      </w:r>
    </w:p>
    <w:p w:rsidR="003862F8" w:rsidRPr="0095187F" w:rsidRDefault="003862F8" w:rsidP="003862F8">
      <w:pPr>
        <w:numPr>
          <w:ilvl w:val="0"/>
          <w:numId w:val="27"/>
        </w:numPr>
        <w:spacing w:before="120" w:line="240" w:lineRule="atLeast"/>
        <w:rPr>
          <w:snapToGrid w:val="0"/>
          <w:lang w:eastAsia="en-US"/>
        </w:rPr>
      </w:pPr>
      <w:r w:rsidRPr="0095187F">
        <w:t>the preparations are presented in a therapeutic dosage form for therapeutic use.</w:t>
      </w:r>
    </w:p>
    <w:p w:rsidR="00824BC2" w:rsidRPr="0095187F" w:rsidRDefault="00824BC2" w:rsidP="00824BC2">
      <w:pPr>
        <w:spacing w:line="240" w:lineRule="atLeast"/>
      </w:pPr>
    </w:p>
    <w:p w:rsidR="00824BC2" w:rsidRPr="0095187F" w:rsidRDefault="00824BC2" w:rsidP="00824BC2">
      <w:pPr>
        <w:spacing w:line="240" w:lineRule="atLeast"/>
      </w:pPr>
      <w:r w:rsidRPr="0095187F">
        <w:t xml:space="preserve">Draft Compositional Guidelines are prepared by the TGA and are intended to set out the standards and requirements for the specific forms or types of substances for use in listed medicines where there is no monograph in the </w:t>
      </w:r>
      <w:r w:rsidRPr="0095187F">
        <w:rPr>
          <w:i/>
        </w:rPr>
        <w:t>British Pharmacopoeia</w:t>
      </w:r>
      <w:r w:rsidRPr="0095187F">
        <w:t xml:space="preserve">, </w:t>
      </w:r>
      <w:r w:rsidRPr="0095187F">
        <w:rPr>
          <w:i/>
        </w:rPr>
        <w:t>European Pharmacopoeia</w:t>
      </w:r>
      <w:r w:rsidRPr="0095187F">
        <w:t xml:space="preserve"> or the </w:t>
      </w:r>
      <w:r w:rsidRPr="0095187F">
        <w:rPr>
          <w:i/>
        </w:rPr>
        <w:t>United States Pharmacopeia – National Formulary</w:t>
      </w:r>
      <w:r w:rsidRPr="0095187F">
        <w:t xml:space="preserve"> in relation to the ingredient or substance in question.</w:t>
      </w:r>
    </w:p>
    <w:p w:rsidR="00824BC2" w:rsidRPr="0095187F" w:rsidRDefault="00824BC2" w:rsidP="00824BC2">
      <w:pPr>
        <w:spacing w:line="240" w:lineRule="atLeast"/>
      </w:pPr>
    </w:p>
    <w:p w:rsidR="00824BC2" w:rsidRPr="0095187F" w:rsidRDefault="00824BC2" w:rsidP="00824BC2">
      <w:pPr>
        <w:spacing w:line="240" w:lineRule="atLeast"/>
      </w:pPr>
      <w:r w:rsidRPr="0095187F">
        <w:t xml:space="preserve">As it has been established that the substance is of appropriate quality to allow its use in listed medicines, the TGA has finalised a draft Compositional Guideline in relation to </w:t>
      </w:r>
      <w:r w:rsidRPr="0095187F">
        <w:rPr>
          <w:lang w:eastAsia="en-US"/>
        </w:rPr>
        <w:t>‘Astaxanthin esters extracted from</w:t>
      </w:r>
      <w:r w:rsidRPr="0095187F">
        <w:rPr>
          <w:i/>
          <w:lang w:eastAsia="en-US"/>
        </w:rPr>
        <w:t xml:space="preserve"> Haematococcus pluvialis</w:t>
      </w:r>
      <w:r w:rsidRPr="0095187F">
        <w:rPr>
          <w:lang w:eastAsia="en-US"/>
        </w:rPr>
        <w:t>’</w:t>
      </w:r>
      <w:r w:rsidRPr="0095187F">
        <w:t xml:space="preserve">, which will be available </w:t>
      </w:r>
      <w:r w:rsidRPr="0095187F">
        <w:lastRenderedPageBreak/>
        <w:t>on the TGA’s Internet site (</w:t>
      </w:r>
      <w:hyperlink r:id="rId8" w:history="1">
        <w:r w:rsidR="008B38E7" w:rsidRPr="0095187F">
          <w:rPr>
            <w:rStyle w:val="Hyperlink"/>
          </w:rPr>
          <w:t>www.tga.gov.au</w:t>
        </w:r>
      </w:hyperlink>
      <w:r w:rsidRPr="0095187F">
        <w:t>)</w:t>
      </w:r>
      <w:r w:rsidR="008B38E7" w:rsidRPr="0095187F">
        <w:t xml:space="preserve"> </w:t>
      </w:r>
      <w:r w:rsidRPr="0095187F">
        <w:t xml:space="preserve">for consultation for six weeks following the registration of the Listing Notice on the FRLI. </w:t>
      </w:r>
      <w:r w:rsidR="000F1592">
        <w:t xml:space="preserve"> </w:t>
      </w:r>
      <w:r w:rsidRPr="0095187F">
        <w:t>The Compositional Guideline will then be published on the TGA website in its final form.</w:t>
      </w:r>
    </w:p>
    <w:p w:rsidR="00824BC2" w:rsidRPr="0095187F" w:rsidRDefault="00824BC2" w:rsidP="00824BC2">
      <w:pPr>
        <w:spacing w:line="240" w:lineRule="atLeast"/>
        <w:rPr>
          <w:b/>
        </w:rPr>
      </w:pPr>
    </w:p>
    <w:p w:rsidR="00824BC2" w:rsidRPr="0095187F" w:rsidRDefault="00824BC2" w:rsidP="00824BC2">
      <w:pPr>
        <w:spacing w:line="240" w:lineRule="atLeast"/>
        <w:rPr>
          <w:b/>
        </w:rPr>
      </w:pPr>
      <w:r w:rsidRPr="0095187F">
        <w:rPr>
          <w:b/>
        </w:rPr>
        <w:t>CONSULTATION</w:t>
      </w:r>
    </w:p>
    <w:p w:rsidR="00824BC2" w:rsidRPr="0095187F" w:rsidRDefault="00824BC2" w:rsidP="00824BC2"/>
    <w:p w:rsidR="00824BC2" w:rsidRPr="00011399" w:rsidRDefault="00824BC2" w:rsidP="00824BC2">
      <w:pPr>
        <w:rPr>
          <w:snapToGrid w:val="0"/>
          <w:lang w:eastAsia="en-US"/>
        </w:rPr>
      </w:pPr>
      <w:r w:rsidRPr="0095187F">
        <w:rPr>
          <w:snapToGrid w:val="0"/>
          <w:lang w:eastAsia="en-US"/>
        </w:rPr>
        <w:t>Consultation was</w:t>
      </w:r>
      <w:r w:rsidRPr="00011399">
        <w:rPr>
          <w:snapToGrid w:val="0"/>
          <w:lang w:eastAsia="en-US"/>
        </w:rPr>
        <w:t xml:space="preserve"> not undertaken in relation to the making of the Listing Notice, as the notice is considered to be minor and machinery in nature, with low compliance costs for affected industry.</w:t>
      </w:r>
    </w:p>
    <w:p w:rsidR="00824BC2" w:rsidRPr="00011399" w:rsidRDefault="00824BC2" w:rsidP="00824BC2">
      <w:pPr>
        <w:rPr>
          <w:snapToGrid w:val="0"/>
          <w:lang w:eastAsia="en-US"/>
        </w:rPr>
      </w:pPr>
    </w:p>
    <w:p w:rsidR="00824BC2" w:rsidRDefault="00824BC2" w:rsidP="00824BC2">
      <w:r>
        <w:rPr>
          <w:snapToGrid w:val="0"/>
          <w:lang w:eastAsia="en-US"/>
        </w:rPr>
        <w:t>The effect of this Listing Notice is that</w:t>
      </w:r>
      <w:r w:rsidRPr="00011399">
        <w:rPr>
          <w:snapToGrid w:val="0"/>
          <w:lang w:eastAsia="en-US"/>
        </w:rPr>
        <w:t xml:space="preserve"> sponsors wishing to use </w:t>
      </w:r>
      <w:r>
        <w:t>‘</w:t>
      </w:r>
      <w:r w:rsidRPr="00824BC2">
        <w:t>Astaxanthin esters extracted from</w:t>
      </w:r>
      <w:r>
        <w:rPr>
          <w:i/>
        </w:rPr>
        <w:t xml:space="preserve"> Haematococcus pluvialis</w:t>
      </w:r>
      <w:r>
        <w:t>’</w:t>
      </w:r>
      <w:r w:rsidRPr="00011399">
        <w:t xml:space="preserve"> in the formulation of </w:t>
      </w:r>
      <w:r>
        <w:t>a medicine can list the medicine on the Register rather than registering that medicine</w:t>
      </w:r>
      <w:r w:rsidRPr="00011399">
        <w:t xml:space="preserve">. </w:t>
      </w:r>
      <w:r w:rsidR="009904F0">
        <w:t xml:space="preserve"> </w:t>
      </w:r>
      <w:r w:rsidRPr="00011399">
        <w:t>Applications for new registered medicines are fully evaluated by the TGA for quality, safety and efficacy prior to inclusion on the Register, a process that is considerably more expensive and lengthy than the listing process.</w:t>
      </w:r>
    </w:p>
    <w:p w:rsidR="009904F0" w:rsidRDefault="009904F0" w:rsidP="00824BC2"/>
    <w:p w:rsidR="009904F0" w:rsidRPr="00011399" w:rsidRDefault="009904F0" w:rsidP="00824BC2">
      <w:r>
        <w:t>The making of the Notice does not involve any new regulatory steps</w:t>
      </w:r>
      <w:r w:rsidR="00135383">
        <w:t xml:space="preserve"> for industry</w:t>
      </w:r>
      <w:r>
        <w:t>, but rather provides a basis for products containing this ingredient to access the listing process rather than registration, a significant benefit</w:t>
      </w:r>
      <w:r w:rsidR="00135383">
        <w:t xml:space="preserve"> for sponsors</w:t>
      </w:r>
      <w:r>
        <w:t>.</w:t>
      </w:r>
    </w:p>
    <w:p w:rsidR="00824BC2" w:rsidRPr="00011399" w:rsidRDefault="00824BC2" w:rsidP="00824BC2"/>
    <w:p w:rsidR="00824BC2" w:rsidRPr="00011399" w:rsidRDefault="00824BC2" w:rsidP="00824BC2">
      <w:pPr>
        <w:rPr>
          <w:snapToGrid w:val="0"/>
          <w:lang w:eastAsia="en-US"/>
        </w:rPr>
      </w:pPr>
      <w:r w:rsidRPr="00011399">
        <w:t xml:space="preserve">The Office of Best Practice Regulation (OBPR) </w:t>
      </w:r>
      <w:r w:rsidR="00DD1794">
        <w:t>has</w:t>
      </w:r>
      <w:r w:rsidRPr="00011399">
        <w:t xml:space="preserve"> </w:t>
      </w:r>
      <w:r>
        <w:t>advised</w:t>
      </w:r>
      <w:r w:rsidRPr="00011399">
        <w:t xml:space="preserve"> that a regulatory impact statement </w:t>
      </w:r>
      <w:r>
        <w:t>is</w:t>
      </w:r>
      <w:r w:rsidRPr="00011399">
        <w:t xml:space="preserve"> not required in relation to Listing Notice</w:t>
      </w:r>
      <w:r>
        <w:t xml:space="preserve">s </w:t>
      </w:r>
      <w:r w:rsidRPr="00E33EDA">
        <w:t>(OBPR Ref. 14416).</w:t>
      </w:r>
    </w:p>
    <w:p w:rsidR="00824BC2" w:rsidRPr="00011399" w:rsidRDefault="00824BC2" w:rsidP="00824BC2">
      <w:pPr>
        <w:rPr>
          <w:snapToGrid w:val="0"/>
          <w:lang w:eastAsia="en-US"/>
        </w:rPr>
      </w:pPr>
    </w:p>
    <w:p w:rsidR="00824BC2" w:rsidRPr="00011399" w:rsidRDefault="00824BC2" w:rsidP="00824BC2">
      <w:r>
        <w:t xml:space="preserve">In relation to compatibility </w:t>
      </w:r>
      <w:r w:rsidRPr="00011399">
        <w:t>with human rights, it is cons</w:t>
      </w:r>
      <w:r>
        <w:t xml:space="preserve">idered that the Listing Notice </w:t>
      </w:r>
      <w:r w:rsidRPr="00011399">
        <w:t xml:space="preserve">is compatible with the human rights and freedoms recognised or declared in the international instruments listed in section 3 of the </w:t>
      </w:r>
      <w:r w:rsidRPr="00011399">
        <w:rPr>
          <w:i/>
        </w:rPr>
        <w:t>Human Rights (Parliamentary Scrutiny) Act 2011</w:t>
      </w:r>
      <w:r w:rsidRPr="00011399">
        <w:t xml:space="preserve">, and a Statement of Compatibility setting that out in further detail is </w:t>
      </w:r>
      <w:r>
        <w:t>set out below.</w:t>
      </w:r>
    </w:p>
    <w:p w:rsidR="00824BC2" w:rsidRPr="00011399" w:rsidRDefault="00824BC2" w:rsidP="00824BC2"/>
    <w:p w:rsidR="00824BC2" w:rsidRPr="00E4135E" w:rsidRDefault="00824BC2" w:rsidP="00824BC2">
      <w:pPr>
        <w:pStyle w:val="Heading1"/>
        <w:spacing w:before="0" w:after="0"/>
        <w:rPr>
          <w:rFonts w:ascii="Times New Roman" w:hAnsi="Times New Roman"/>
          <w:sz w:val="24"/>
          <w:szCs w:val="24"/>
        </w:rPr>
      </w:pPr>
      <w:r>
        <w:rPr>
          <w:rFonts w:ascii="Times New Roman" w:hAnsi="Times New Roman"/>
          <w:sz w:val="24"/>
          <w:szCs w:val="24"/>
        </w:rPr>
        <w:t xml:space="preserve">SUPPLEMENTARY MATERIAL – </w:t>
      </w:r>
      <w:r w:rsidRPr="00E4135E">
        <w:rPr>
          <w:rFonts w:ascii="Times New Roman" w:hAnsi="Times New Roman"/>
          <w:sz w:val="24"/>
          <w:szCs w:val="24"/>
        </w:rPr>
        <w:t>STATEMENT</w:t>
      </w:r>
      <w:r>
        <w:rPr>
          <w:rFonts w:ascii="Times New Roman" w:hAnsi="Times New Roman"/>
          <w:sz w:val="24"/>
          <w:szCs w:val="24"/>
        </w:rPr>
        <w:t xml:space="preserve"> OF COMPATIBILITY FOR A </w:t>
      </w:r>
      <w:r w:rsidRPr="00E4135E">
        <w:rPr>
          <w:rFonts w:ascii="Times New Roman" w:hAnsi="Times New Roman"/>
          <w:sz w:val="24"/>
          <w:szCs w:val="24"/>
        </w:rPr>
        <w:t xml:space="preserve">LEGISLATIVE INSTRUMENT THAT </w:t>
      </w:r>
      <w:r w:rsidRPr="00E4135E">
        <w:rPr>
          <w:rFonts w:ascii="Times New Roman" w:hAnsi="Times New Roman"/>
          <w:sz w:val="24"/>
          <w:szCs w:val="24"/>
          <w:u w:val="single"/>
        </w:rPr>
        <w:t>DOES NOT</w:t>
      </w:r>
      <w:r w:rsidRPr="00E4135E">
        <w:rPr>
          <w:rFonts w:ascii="Times New Roman" w:hAnsi="Times New Roman"/>
          <w:sz w:val="24"/>
          <w:szCs w:val="24"/>
        </w:rPr>
        <w:t xml:space="preserve"> RAISE ANY HUMAN RIGHTS ISSUES</w:t>
      </w:r>
    </w:p>
    <w:p w:rsidR="00824BC2" w:rsidRPr="00011399" w:rsidRDefault="00824BC2" w:rsidP="00824BC2"/>
    <w:p w:rsidR="00824BC2" w:rsidRPr="00F05A06" w:rsidRDefault="00824BC2" w:rsidP="00824BC2">
      <w:pPr>
        <w:rPr>
          <w:b/>
          <w:sz w:val="28"/>
          <w:szCs w:val="28"/>
        </w:rPr>
      </w:pPr>
      <w:r w:rsidRPr="00F05A06">
        <w:rPr>
          <w:b/>
          <w:sz w:val="28"/>
          <w:szCs w:val="28"/>
        </w:rPr>
        <w:t>Statement of Compatibility with Human Rights</w:t>
      </w:r>
    </w:p>
    <w:p w:rsidR="00824BC2" w:rsidRPr="00F05A06" w:rsidRDefault="00824BC2" w:rsidP="00824BC2">
      <w:pPr>
        <w:spacing w:before="120" w:after="120"/>
      </w:pPr>
      <w:r w:rsidRPr="00F05A06">
        <w:rPr>
          <w:i/>
        </w:rPr>
        <w:t>Prepared in accordance with Part 3 of the Human Rights (Parliamentary Scrutiny) Act 2011</w:t>
      </w:r>
    </w:p>
    <w:p w:rsidR="00824BC2" w:rsidRPr="00F05A06" w:rsidRDefault="00824BC2" w:rsidP="00824BC2">
      <w:pPr>
        <w:spacing w:before="120" w:after="120"/>
      </w:pPr>
    </w:p>
    <w:p w:rsidR="00824BC2" w:rsidRPr="00F05A06" w:rsidRDefault="00824BC2" w:rsidP="00824BC2">
      <w:pPr>
        <w:spacing w:before="120" w:after="120"/>
        <w:rPr>
          <w:b/>
        </w:rPr>
      </w:pPr>
      <w:r w:rsidRPr="00F05A06">
        <w:rPr>
          <w:b/>
        </w:rPr>
        <w:t xml:space="preserve">Therapeutic Goods </w:t>
      </w:r>
      <w:r>
        <w:rPr>
          <w:b/>
        </w:rPr>
        <w:t xml:space="preserve">(Listing) Notice 2013 (No. </w:t>
      </w:r>
      <w:r w:rsidR="006B2602">
        <w:rPr>
          <w:b/>
        </w:rPr>
        <w:t>4</w:t>
      </w:r>
      <w:r>
        <w:rPr>
          <w:b/>
        </w:rPr>
        <w:t>) – ‘</w:t>
      </w:r>
      <w:r w:rsidRPr="00EC3213">
        <w:rPr>
          <w:b/>
        </w:rPr>
        <w:t xml:space="preserve">Astaxanthin esters extracted from </w:t>
      </w:r>
      <w:r>
        <w:rPr>
          <w:b/>
          <w:i/>
        </w:rPr>
        <w:t>Haematococcus pluvialis</w:t>
      </w:r>
      <w:r>
        <w:rPr>
          <w:b/>
        </w:rPr>
        <w:t>’</w:t>
      </w:r>
    </w:p>
    <w:p w:rsidR="00824BC2" w:rsidRPr="00AB4C10" w:rsidRDefault="00824BC2" w:rsidP="00824BC2">
      <w:pPr>
        <w:spacing w:before="120" w:after="120"/>
      </w:pPr>
    </w:p>
    <w:p w:rsidR="00824BC2" w:rsidRPr="00F05A06" w:rsidRDefault="00824BC2" w:rsidP="00824BC2">
      <w:pPr>
        <w:spacing w:before="120" w:after="120"/>
      </w:pPr>
      <w:r w:rsidRPr="00F05A06">
        <w:t xml:space="preserve">This legislative instrument is compatible with the human rights and freedoms recognised or declared in the international instruments listed in section 3 of the </w:t>
      </w:r>
      <w:r w:rsidRPr="00F05A06">
        <w:rPr>
          <w:i/>
        </w:rPr>
        <w:t>Human Rights (Parliamentary Scrutiny) Act 2011</w:t>
      </w:r>
      <w:r w:rsidRPr="00F05A06">
        <w:t>.</w:t>
      </w:r>
    </w:p>
    <w:p w:rsidR="00824BC2" w:rsidRPr="00F05A06" w:rsidRDefault="00824BC2" w:rsidP="00824BC2">
      <w:pPr>
        <w:spacing w:before="120" w:after="120"/>
      </w:pPr>
    </w:p>
    <w:p w:rsidR="00824BC2" w:rsidRPr="00F05A06" w:rsidRDefault="00824BC2" w:rsidP="00824BC2">
      <w:pPr>
        <w:spacing w:before="120" w:after="120"/>
        <w:rPr>
          <w:b/>
        </w:rPr>
      </w:pPr>
      <w:r w:rsidRPr="00F05A06">
        <w:rPr>
          <w:b/>
        </w:rPr>
        <w:t>Overview of the Bill/Legislative Instrument</w:t>
      </w:r>
    </w:p>
    <w:p w:rsidR="00824BC2" w:rsidRPr="00F05A06" w:rsidRDefault="00824BC2" w:rsidP="00824BC2">
      <w:pPr>
        <w:tabs>
          <w:tab w:val="num" w:pos="927"/>
        </w:tabs>
      </w:pPr>
      <w:r w:rsidRPr="00F05A06">
        <w:rPr>
          <w:i/>
        </w:rPr>
        <w:t>Therapeutic Goods (Listing) Notice 201</w:t>
      </w:r>
      <w:r>
        <w:rPr>
          <w:i/>
        </w:rPr>
        <w:t>3</w:t>
      </w:r>
      <w:r w:rsidRPr="00F05A06">
        <w:rPr>
          <w:i/>
        </w:rPr>
        <w:t xml:space="preserve"> (No. </w:t>
      </w:r>
      <w:r w:rsidR="006B2602">
        <w:rPr>
          <w:i/>
        </w:rPr>
        <w:t>4</w:t>
      </w:r>
      <w:r w:rsidRPr="00F05A06">
        <w:rPr>
          <w:i/>
        </w:rPr>
        <w:t>)</w:t>
      </w:r>
      <w:r w:rsidRPr="00F05A06">
        <w:t xml:space="preserve"> (the </w:t>
      </w:r>
      <w:r>
        <w:t xml:space="preserve">Notice) is a notice made by the </w:t>
      </w:r>
      <w:r w:rsidRPr="00F05A06">
        <w:t xml:space="preserve">delegate of the Minister for Health under subsection 9A(5) of the </w:t>
      </w:r>
      <w:r w:rsidRPr="00F05A06">
        <w:rPr>
          <w:i/>
          <w:iCs/>
        </w:rPr>
        <w:t xml:space="preserve">Therapeutic Goods Act 1989 </w:t>
      </w:r>
      <w:r w:rsidRPr="00F05A06">
        <w:t xml:space="preserve">(the Act). </w:t>
      </w:r>
      <w:r w:rsidR="009F7DDF">
        <w:t xml:space="preserve"> </w:t>
      </w:r>
      <w:r w:rsidRPr="00F05A06">
        <w:t xml:space="preserve">The effect of the Notice is to allow sponsors of </w:t>
      </w:r>
      <w:r>
        <w:t xml:space="preserve">orally ingested </w:t>
      </w:r>
      <w:r w:rsidRPr="00F05A06">
        <w:lastRenderedPageBreak/>
        <w:t xml:space="preserve">therapeutic goods </w:t>
      </w:r>
      <w:r>
        <w:t>containing ‘</w:t>
      </w:r>
      <w:r w:rsidRPr="00211994">
        <w:t xml:space="preserve">Astaxanthin esters extracted from </w:t>
      </w:r>
      <w:r>
        <w:rPr>
          <w:i/>
        </w:rPr>
        <w:t>Haematococcus pluvialis</w:t>
      </w:r>
      <w:r w:rsidRPr="00F05A06">
        <w:t>’ as a therapeutically active ingredient</w:t>
      </w:r>
      <w:r>
        <w:t xml:space="preserve"> to </w:t>
      </w:r>
      <w:r w:rsidRPr="00F05A06">
        <w:t>list</w:t>
      </w:r>
      <w:r w:rsidR="006D139B">
        <w:t>, rather than register,</w:t>
      </w:r>
      <w:r w:rsidRPr="00F05A06">
        <w:t xml:space="preserve"> those goods in the Australian Register of Therapeutic Goods (</w:t>
      </w:r>
      <w:r w:rsidR="006D139B">
        <w:t>the Register</w:t>
      </w:r>
      <w:r w:rsidRPr="00F05A06">
        <w:t xml:space="preserve">) (registration being </w:t>
      </w:r>
      <w:r w:rsidR="006D139B">
        <w:t xml:space="preserve">a </w:t>
      </w:r>
      <w:r w:rsidRPr="00F05A06">
        <w:t xml:space="preserve">considerably more expensive and lengthy </w:t>
      </w:r>
      <w:r w:rsidR="006D139B">
        <w:t xml:space="preserve">process </w:t>
      </w:r>
      <w:r w:rsidRPr="00F05A06">
        <w:t xml:space="preserve">than listing). </w:t>
      </w:r>
      <w:r w:rsidR="009F7DDF">
        <w:t xml:space="preserve"> </w:t>
      </w:r>
      <w:r w:rsidRPr="00F05A06">
        <w:t xml:space="preserve">Once the Notice has commenced, persons can apply to list goods containing this </w:t>
      </w:r>
      <w:r>
        <w:t>ingredient i</w:t>
      </w:r>
      <w:r w:rsidRPr="00F05A06">
        <w:t xml:space="preserve">n the </w:t>
      </w:r>
      <w:r w:rsidR="006D139B">
        <w:t>Register</w:t>
      </w:r>
      <w:r w:rsidRPr="00F05A06">
        <w:t>.</w:t>
      </w:r>
    </w:p>
    <w:p w:rsidR="00824BC2" w:rsidRPr="00F05A06" w:rsidRDefault="00824BC2" w:rsidP="00824BC2">
      <w:pPr>
        <w:spacing w:before="120" w:after="120"/>
        <w:rPr>
          <w:b/>
        </w:rPr>
      </w:pPr>
      <w:r w:rsidRPr="00F05A06">
        <w:rPr>
          <w:b/>
        </w:rPr>
        <w:t>Human rights implications</w:t>
      </w:r>
    </w:p>
    <w:p w:rsidR="00824BC2" w:rsidRPr="00F05A06" w:rsidRDefault="00824BC2" w:rsidP="00824BC2">
      <w:pPr>
        <w:spacing w:before="120" w:after="120"/>
      </w:pPr>
      <w:r w:rsidRPr="00F05A06">
        <w:t>This legislative instrument does not engage any of the applicable rights or freedoms.</w:t>
      </w:r>
    </w:p>
    <w:p w:rsidR="00824BC2" w:rsidRDefault="00824BC2" w:rsidP="00824BC2">
      <w:pPr>
        <w:spacing w:before="120" w:after="120"/>
        <w:rPr>
          <w:b/>
        </w:rPr>
      </w:pPr>
      <w:r w:rsidRPr="00F05A06">
        <w:rPr>
          <w:b/>
        </w:rPr>
        <w:t>Conclusion</w:t>
      </w:r>
    </w:p>
    <w:p w:rsidR="00824BC2" w:rsidRDefault="00824BC2" w:rsidP="00824BC2">
      <w:pPr>
        <w:spacing w:before="120" w:after="120"/>
      </w:pPr>
      <w:r w:rsidRPr="00F05A06">
        <w:t>This legislative instrument is compatible with human rights as it does not raise any human rights issues.</w:t>
      </w:r>
    </w:p>
    <w:p w:rsidR="00824BC2" w:rsidRDefault="00824BC2" w:rsidP="00824BC2">
      <w:pPr>
        <w:spacing w:before="120" w:after="120"/>
      </w:pPr>
    </w:p>
    <w:p w:rsidR="00824BC2" w:rsidRDefault="009F7DDF" w:rsidP="00824BC2">
      <w:pPr>
        <w:spacing w:before="120" w:after="120"/>
        <w:rPr>
          <w:b/>
        </w:rPr>
      </w:pPr>
      <w:r>
        <w:rPr>
          <w:b/>
        </w:rPr>
        <w:t>Professor</w:t>
      </w:r>
      <w:r w:rsidR="00824BC2">
        <w:rPr>
          <w:b/>
        </w:rPr>
        <w:t xml:space="preserve"> John Skerritt, </w:t>
      </w:r>
      <w:r w:rsidR="006027FA">
        <w:rPr>
          <w:b/>
        </w:rPr>
        <w:t xml:space="preserve">delegate of the Minister </w:t>
      </w:r>
      <w:r w:rsidR="00824BC2" w:rsidRPr="00F05A06">
        <w:rPr>
          <w:b/>
        </w:rPr>
        <w:t>for Health</w:t>
      </w:r>
    </w:p>
    <w:p w:rsidR="00827F41" w:rsidRPr="00416EAC" w:rsidRDefault="00827F41" w:rsidP="00416EAC"/>
    <w:sectPr w:rsidR="00827F41" w:rsidRPr="00416EAC" w:rsidSect="00C06A51">
      <w:footerReference w:type="default" r:id="rId9"/>
      <w:headerReference w:type="first" r:id="rId10"/>
      <w:footerReference w:type="first" r:id="rId11"/>
      <w:type w:val="continuous"/>
      <w:pgSz w:w="11906" w:h="16838" w:code="9"/>
      <w:pgMar w:top="1522" w:right="1701" w:bottom="567" w:left="1701" w:header="907"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72B" w:rsidRDefault="002C372B" w:rsidP="00C40A36">
      <w:r>
        <w:separator/>
      </w:r>
    </w:p>
  </w:endnote>
  <w:endnote w:type="continuationSeparator" w:id="0">
    <w:p w:rsidR="002C372B" w:rsidRDefault="002C372B" w:rsidP="00C4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61" w:type="dxa"/>
      <w:tblBorders>
        <w:top w:val="single" w:sz="4" w:space="0" w:color="auto"/>
      </w:tblBorders>
      <w:tblLayout w:type="fixed"/>
      <w:tblCellMar>
        <w:top w:w="170" w:type="dxa"/>
        <w:left w:w="0" w:type="dxa"/>
        <w:bottom w:w="227" w:type="dxa"/>
        <w:right w:w="0" w:type="dxa"/>
      </w:tblCellMar>
      <w:tblLook w:val="04A0"/>
    </w:tblPr>
    <w:tblGrid>
      <w:gridCol w:w="7660"/>
      <w:gridCol w:w="1201"/>
    </w:tblGrid>
    <w:tr w:rsidR="002C372B" w:rsidTr="00AE32A9">
      <w:trPr>
        <w:trHeight w:val="269"/>
      </w:trPr>
      <w:tc>
        <w:tcPr>
          <w:tcW w:w="7660" w:type="dxa"/>
          <w:tcMar>
            <w:top w:w="142" w:type="dxa"/>
            <w:bottom w:w="0" w:type="dxa"/>
          </w:tcMar>
        </w:tcPr>
        <w:p w:rsidR="002C372B" w:rsidRDefault="002C372B" w:rsidP="00826007">
          <w:pPr>
            <w:pStyle w:val="Footer"/>
          </w:pPr>
        </w:p>
      </w:tc>
      <w:tc>
        <w:tcPr>
          <w:tcW w:w="1201" w:type="dxa"/>
          <w:tcMar>
            <w:top w:w="142" w:type="dxa"/>
            <w:bottom w:w="0" w:type="dxa"/>
          </w:tcMar>
        </w:tcPr>
        <w:p w:rsidR="002C372B" w:rsidRDefault="002C372B" w:rsidP="000F78B2">
          <w:pPr>
            <w:pStyle w:val="Footer"/>
            <w:jc w:val="right"/>
          </w:pPr>
          <w:r>
            <w:t xml:space="preserve">Page </w:t>
          </w:r>
          <w:fldSimple w:instr=" PAGE   \* MERGEFORMAT ">
            <w:r w:rsidR="00B23CA1">
              <w:rPr>
                <w:noProof/>
              </w:rPr>
              <w:t>4</w:t>
            </w:r>
          </w:fldSimple>
          <w:r>
            <w:t xml:space="preserve"> of </w:t>
          </w:r>
          <w:fldSimple w:instr=" NUMPAGES  \* Arabic ">
            <w:r w:rsidR="00B23CA1">
              <w:rPr>
                <w:noProof/>
              </w:rPr>
              <w:t>4</w:t>
            </w:r>
          </w:fldSimple>
        </w:p>
      </w:tc>
    </w:tr>
  </w:tbl>
  <w:p w:rsidR="002C372B" w:rsidRPr="00826007" w:rsidRDefault="002C372B" w:rsidP="00826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75" w:type="dxa"/>
      <w:tblBorders>
        <w:top w:val="single" w:sz="4" w:space="0" w:color="auto"/>
      </w:tblBorders>
      <w:tblLayout w:type="fixed"/>
      <w:tblCellMar>
        <w:top w:w="170" w:type="dxa"/>
        <w:left w:w="0" w:type="dxa"/>
        <w:bottom w:w="227" w:type="dxa"/>
        <w:right w:w="0" w:type="dxa"/>
      </w:tblCellMar>
      <w:tblLook w:val="04A0"/>
    </w:tblPr>
    <w:tblGrid>
      <w:gridCol w:w="7413"/>
      <w:gridCol w:w="1162"/>
    </w:tblGrid>
    <w:tr w:rsidR="002C372B" w:rsidTr="00AE32A9">
      <w:trPr>
        <w:trHeight w:val="339"/>
      </w:trPr>
      <w:tc>
        <w:tcPr>
          <w:tcW w:w="7413" w:type="dxa"/>
          <w:tcMar>
            <w:top w:w="142" w:type="dxa"/>
            <w:bottom w:w="0" w:type="dxa"/>
          </w:tcMar>
        </w:tcPr>
        <w:p w:rsidR="002C372B" w:rsidRDefault="002C372B" w:rsidP="000F78B2">
          <w:pPr>
            <w:pStyle w:val="Footer"/>
          </w:pPr>
        </w:p>
      </w:tc>
      <w:tc>
        <w:tcPr>
          <w:tcW w:w="1162" w:type="dxa"/>
          <w:tcMar>
            <w:top w:w="142" w:type="dxa"/>
            <w:bottom w:w="0" w:type="dxa"/>
          </w:tcMar>
        </w:tcPr>
        <w:p w:rsidR="002C372B" w:rsidRDefault="002C372B" w:rsidP="000F78B2">
          <w:pPr>
            <w:pStyle w:val="Footer"/>
            <w:jc w:val="right"/>
          </w:pPr>
          <w:r>
            <w:t xml:space="preserve">Page </w:t>
          </w:r>
          <w:fldSimple w:instr=" PAGE   \* MERGEFORMAT ">
            <w:r>
              <w:rPr>
                <w:noProof/>
              </w:rPr>
              <w:t>1</w:t>
            </w:r>
          </w:fldSimple>
          <w:r>
            <w:t xml:space="preserve"> of </w:t>
          </w:r>
          <w:fldSimple w:instr=" NUMPAGES  \* Arabic ">
            <w:r w:rsidR="009F7DDF">
              <w:rPr>
                <w:noProof/>
              </w:rPr>
              <w:t>4</w:t>
            </w:r>
          </w:fldSimple>
        </w:p>
      </w:tc>
    </w:tr>
  </w:tbl>
  <w:p w:rsidR="002C372B" w:rsidRDefault="002C372B" w:rsidP="00AE3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72B" w:rsidRDefault="002C372B" w:rsidP="00C40A36">
      <w:r>
        <w:separator/>
      </w:r>
    </w:p>
  </w:footnote>
  <w:footnote w:type="continuationSeparator" w:id="0">
    <w:p w:rsidR="002C372B" w:rsidRDefault="002C372B" w:rsidP="00C40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2B" w:rsidRPr="00AE32A9" w:rsidRDefault="002C372B" w:rsidP="00AE32A9">
    <w:pPr>
      <w:pStyle w:val="Header"/>
      <w:pBdr>
        <w:bottom w:val="none" w:sz="0" w:space="0" w:color="auto"/>
      </w:pBdr>
    </w:pPr>
    <w:r w:rsidRPr="00AE32A9">
      <w:tab/>
    </w:r>
    <w:r w:rsidRPr="00AE32A9">
      <w:tab/>
    </w:r>
    <w:r w:rsidRPr="00AE32A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6830B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04AD474"/>
    <w:lvl w:ilvl="0">
      <w:start w:val="1"/>
      <w:numFmt w:val="bullet"/>
      <w:lvlText w:val="–"/>
      <w:lvlJc w:val="left"/>
      <w:pPr>
        <w:ind w:left="643" w:hanging="360"/>
      </w:pPr>
      <w:rPr>
        <w:rFonts w:ascii="Arial" w:hAnsi="Arial" w:hint="default"/>
      </w:rPr>
    </w:lvl>
  </w:abstractNum>
  <w:abstractNum w:abstractNumId="2">
    <w:nsid w:val="FFFFFF89"/>
    <w:multiLevelType w:val="singleLevel"/>
    <w:tmpl w:val="F4085A32"/>
    <w:lvl w:ilvl="0">
      <w:start w:val="1"/>
      <w:numFmt w:val="bullet"/>
      <w:lvlText w:val=""/>
      <w:lvlJc w:val="left"/>
      <w:pPr>
        <w:tabs>
          <w:tab w:val="num" w:pos="360"/>
        </w:tabs>
        <w:ind w:left="360" w:hanging="360"/>
      </w:pPr>
      <w:rPr>
        <w:rFonts w:ascii="Symbol" w:hAnsi="Symbol" w:hint="default"/>
      </w:rPr>
    </w:lvl>
  </w:abstractNum>
  <w:abstractNum w:abstractNumId="3">
    <w:nsid w:val="05F36EBA"/>
    <w:multiLevelType w:val="hybridMultilevel"/>
    <w:tmpl w:val="5FE422FE"/>
    <w:lvl w:ilvl="0" w:tplc="0C090003">
      <w:start w:val="1"/>
      <w:numFmt w:val="bullet"/>
      <w:lvlText w:val="o"/>
      <w:lvlJc w:val="left"/>
      <w:pPr>
        <w:tabs>
          <w:tab w:val="num" w:pos="927"/>
        </w:tabs>
        <w:ind w:left="927" w:hanging="360"/>
      </w:pPr>
      <w:rPr>
        <w:rFonts w:ascii="Courier New" w:hAnsi="Courier New" w:cs="Courier New" w:hint="default"/>
      </w:rPr>
    </w:lvl>
    <w:lvl w:ilvl="1" w:tplc="0C090003">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4">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25EA4CF5"/>
    <w:multiLevelType w:val="hybridMultilevel"/>
    <w:tmpl w:val="1C16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686EAB"/>
    <w:multiLevelType w:val="hybridMultilevel"/>
    <w:tmpl w:val="B95ED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BA1E77"/>
    <w:multiLevelType w:val="hybridMultilevel"/>
    <w:tmpl w:val="C2BA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982D0B"/>
    <w:multiLevelType w:val="hybridMultilevel"/>
    <w:tmpl w:val="55C4B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BF6095"/>
    <w:multiLevelType w:val="hybridMultilevel"/>
    <w:tmpl w:val="59BC00BE"/>
    <w:lvl w:ilvl="0" w:tplc="151E7E3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F247F05"/>
    <w:multiLevelType w:val="hybridMultilevel"/>
    <w:tmpl w:val="82EC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04350C"/>
    <w:multiLevelType w:val="hybridMultilevel"/>
    <w:tmpl w:val="B89492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7AD21CD9"/>
    <w:multiLevelType w:val="hybridMultilevel"/>
    <w:tmpl w:val="D20CB884"/>
    <w:lvl w:ilvl="0" w:tplc="FC26E8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3937B9"/>
    <w:multiLevelType w:val="hybridMultilevel"/>
    <w:tmpl w:val="E40882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5"/>
  </w:num>
  <w:num w:numId="5">
    <w:abstractNumId w:val="0"/>
  </w:num>
  <w:num w:numId="6">
    <w:abstractNumId w:val="5"/>
  </w:num>
  <w:num w:numId="7">
    <w:abstractNumId w:val="5"/>
  </w:num>
  <w:num w:numId="8">
    <w:abstractNumId w:val="4"/>
  </w:num>
  <w:num w:numId="9">
    <w:abstractNumId w:val="4"/>
  </w:num>
  <w:num w:numId="10">
    <w:abstractNumId w:val="4"/>
  </w:num>
  <w:num w:numId="11">
    <w:abstractNumId w:val="4"/>
  </w:num>
  <w:num w:numId="12">
    <w:abstractNumId w:val="5"/>
  </w:num>
  <w:num w:numId="13">
    <w:abstractNumId w:val="5"/>
  </w:num>
  <w:num w:numId="14">
    <w:abstractNumId w:val="5"/>
  </w:num>
  <w:num w:numId="15">
    <w:abstractNumId w:val="10"/>
  </w:num>
  <w:num w:numId="16">
    <w:abstractNumId w:val="10"/>
  </w:num>
  <w:num w:numId="17">
    <w:abstractNumId w:val="11"/>
  </w:num>
  <w:num w:numId="18">
    <w:abstractNumId w:val="12"/>
  </w:num>
  <w:num w:numId="19">
    <w:abstractNumId w:val="13"/>
  </w:num>
  <w:num w:numId="20">
    <w:abstractNumId w:val="8"/>
  </w:num>
  <w:num w:numId="21">
    <w:abstractNumId w:val="6"/>
  </w:num>
  <w:num w:numId="22">
    <w:abstractNumId w:val="7"/>
  </w:num>
  <w:num w:numId="23">
    <w:abstractNumId w:val="9"/>
  </w:num>
  <w:num w:numId="24">
    <w:abstractNumId w:val="5"/>
  </w:num>
  <w:num w:numId="25">
    <w:abstractNumId w:val="5"/>
  </w:num>
  <w:num w:numId="26">
    <w:abstractNumId w:val="5"/>
  </w:num>
  <w:num w:numId="27">
    <w:abstractNumId w:val="14"/>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001"/>
  <w:stylePaneSortMethod w:val="0000"/>
  <w:defaultTabStop w:val="720"/>
  <w:drawingGridHorizontalSpacing w:val="110"/>
  <w:displayHorizontalDrawingGridEvery w:val="2"/>
  <w:characterSpacingControl w:val="doNotCompress"/>
  <w:hdrShapeDefaults>
    <o:shapedefaults v:ext="edit" spidmax="196609">
      <o:colormenu v:ext="edit" fillcolor="none [3206]"/>
    </o:shapedefaults>
  </w:hdrShapeDefaults>
  <w:footnotePr>
    <w:footnote w:id="-1"/>
    <w:footnote w:id="0"/>
  </w:footnotePr>
  <w:endnotePr>
    <w:endnote w:id="-1"/>
    <w:endnote w:id="0"/>
  </w:endnotePr>
  <w:compat/>
  <w:rsids>
    <w:rsidRoot w:val="00EF6EF4"/>
    <w:rsid w:val="00002031"/>
    <w:rsid w:val="00004734"/>
    <w:rsid w:val="00006B22"/>
    <w:rsid w:val="0001276A"/>
    <w:rsid w:val="00017D13"/>
    <w:rsid w:val="00023F82"/>
    <w:rsid w:val="000246AE"/>
    <w:rsid w:val="00025C67"/>
    <w:rsid w:val="0005559E"/>
    <w:rsid w:val="00055F06"/>
    <w:rsid w:val="00072B5C"/>
    <w:rsid w:val="00077775"/>
    <w:rsid w:val="00087CC7"/>
    <w:rsid w:val="00090471"/>
    <w:rsid w:val="000A1F98"/>
    <w:rsid w:val="000A20BF"/>
    <w:rsid w:val="000B1EBF"/>
    <w:rsid w:val="000B3532"/>
    <w:rsid w:val="000B3A75"/>
    <w:rsid w:val="000B543C"/>
    <w:rsid w:val="000B7084"/>
    <w:rsid w:val="000C0CC4"/>
    <w:rsid w:val="000D391B"/>
    <w:rsid w:val="000D3D6D"/>
    <w:rsid w:val="000D4D79"/>
    <w:rsid w:val="000D4FC7"/>
    <w:rsid w:val="000E5121"/>
    <w:rsid w:val="000F1592"/>
    <w:rsid w:val="000F4869"/>
    <w:rsid w:val="000F5B42"/>
    <w:rsid w:val="000F6E6F"/>
    <w:rsid w:val="000F78B2"/>
    <w:rsid w:val="001003F2"/>
    <w:rsid w:val="001030A9"/>
    <w:rsid w:val="0010601F"/>
    <w:rsid w:val="00110EA5"/>
    <w:rsid w:val="00115240"/>
    <w:rsid w:val="00125318"/>
    <w:rsid w:val="001305A2"/>
    <w:rsid w:val="00133238"/>
    <w:rsid w:val="00135383"/>
    <w:rsid w:val="0014197B"/>
    <w:rsid w:val="001447CD"/>
    <w:rsid w:val="00144BB2"/>
    <w:rsid w:val="00144C49"/>
    <w:rsid w:val="0014503C"/>
    <w:rsid w:val="001451F3"/>
    <w:rsid w:val="001467B9"/>
    <w:rsid w:val="001516B1"/>
    <w:rsid w:val="00155D80"/>
    <w:rsid w:val="00156316"/>
    <w:rsid w:val="00156653"/>
    <w:rsid w:val="00164238"/>
    <w:rsid w:val="00165389"/>
    <w:rsid w:val="0017693F"/>
    <w:rsid w:val="0018110E"/>
    <w:rsid w:val="00181684"/>
    <w:rsid w:val="001843C6"/>
    <w:rsid w:val="001850E0"/>
    <w:rsid w:val="001867C1"/>
    <w:rsid w:val="00186B41"/>
    <w:rsid w:val="00193880"/>
    <w:rsid w:val="001A525F"/>
    <w:rsid w:val="001B09F9"/>
    <w:rsid w:val="001B6448"/>
    <w:rsid w:val="001D1664"/>
    <w:rsid w:val="001E07CF"/>
    <w:rsid w:val="001E425B"/>
    <w:rsid w:val="001E59F1"/>
    <w:rsid w:val="001E7CA3"/>
    <w:rsid w:val="001F449E"/>
    <w:rsid w:val="001F49EB"/>
    <w:rsid w:val="001F6CBA"/>
    <w:rsid w:val="00201D4E"/>
    <w:rsid w:val="00211835"/>
    <w:rsid w:val="00211994"/>
    <w:rsid w:val="00220B8A"/>
    <w:rsid w:val="002257F3"/>
    <w:rsid w:val="00225EE8"/>
    <w:rsid w:val="0023048E"/>
    <w:rsid w:val="00233456"/>
    <w:rsid w:val="002339A5"/>
    <w:rsid w:val="00234E70"/>
    <w:rsid w:val="002501BF"/>
    <w:rsid w:val="00257848"/>
    <w:rsid w:val="00261B74"/>
    <w:rsid w:val="002675D0"/>
    <w:rsid w:val="0027084A"/>
    <w:rsid w:val="00286434"/>
    <w:rsid w:val="00286C59"/>
    <w:rsid w:val="0029108B"/>
    <w:rsid w:val="002942D1"/>
    <w:rsid w:val="00294570"/>
    <w:rsid w:val="002A0556"/>
    <w:rsid w:val="002B1218"/>
    <w:rsid w:val="002B1638"/>
    <w:rsid w:val="002C2763"/>
    <w:rsid w:val="002C372B"/>
    <w:rsid w:val="002D371E"/>
    <w:rsid w:val="002D3D18"/>
    <w:rsid w:val="002D6B5E"/>
    <w:rsid w:val="002D6C0D"/>
    <w:rsid w:val="002D7BA2"/>
    <w:rsid w:val="002E4C9A"/>
    <w:rsid w:val="002F11F8"/>
    <w:rsid w:val="002F32B3"/>
    <w:rsid w:val="002F3F56"/>
    <w:rsid w:val="002F44B5"/>
    <w:rsid w:val="002F61FC"/>
    <w:rsid w:val="00302933"/>
    <w:rsid w:val="00310302"/>
    <w:rsid w:val="00311AC0"/>
    <w:rsid w:val="003246C8"/>
    <w:rsid w:val="00332752"/>
    <w:rsid w:val="003413FA"/>
    <w:rsid w:val="003521E8"/>
    <w:rsid w:val="0035403E"/>
    <w:rsid w:val="00364F73"/>
    <w:rsid w:val="003664BF"/>
    <w:rsid w:val="003728F3"/>
    <w:rsid w:val="003779FA"/>
    <w:rsid w:val="003862F8"/>
    <w:rsid w:val="00390900"/>
    <w:rsid w:val="003A06B0"/>
    <w:rsid w:val="003B6677"/>
    <w:rsid w:val="003B7E39"/>
    <w:rsid w:val="003C33BE"/>
    <w:rsid w:val="003C58DC"/>
    <w:rsid w:val="003D60BF"/>
    <w:rsid w:val="003E3208"/>
    <w:rsid w:val="003E4C13"/>
    <w:rsid w:val="003F0B04"/>
    <w:rsid w:val="003F1B0F"/>
    <w:rsid w:val="0040134E"/>
    <w:rsid w:val="00415D8D"/>
    <w:rsid w:val="00416EAC"/>
    <w:rsid w:val="004360FB"/>
    <w:rsid w:val="00440A2D"/>
    <w:rsid w:val="00440DAF"/>
    <w:rsid w:val="00447666"/>
    <w:rsid w:val="00455875"/>
    <w:rsid w:val="004564A7"/>
    <w:rsid w:val="004617BF"/>
    <w:rsid w:val="00474BE3"/>
    <w:rsid w:val="00481784"/>
    <w:rsid w:val="00483288"/>
    <w:rsid w:val="00491760"/>
    <w:rsid w:val="004923FF"/>
    <w:rsid w:val="00494E60"/>
    <w:rsid w:val="00495943"/>
    <w:rsid w:val="004A38EE"/>
    <w:rsid w:val="004B7B76"/>
    <w:rsid w:val="004C08EC"/>
    <w:rsid w:val="004D25E3"/>
    <w:rsid w:val="004F0F38"/>
    <w:rsid w:val="004F2D9F"/>
    <w:rsid w:val="00501921"/>
    <w:rsid w:val="00523F0E"/>
    <w:rsid w:val="00525603"/>
    <w:rsid w:val="00525846"/>
    <w:rsid w:val="005258DA"/>
    <w:rsid w:val="00530354"/>
    <w:rsid w:val="00531EB3"/>
    <w:rsid w:val="005434C6"/>
    <w:rsid w:val="00543B39"/>
    <w:rsid w:val="00550096"/>
    <w:rsid w:val="00557FF9"/>
    <w:rsid w:val="00571115"/>
    <w:rsid w:val="00576378"/>
    <w:rsid w:val="00577E38"/>
    <w:rsid w:val="00585322"/>
    <w:rsid w:val="00593AD1"/>
    <w:rsid w:val="005A1131"/>
    <w:rsid w:val="005C057C"/>
    <w:rsid w:val="005C5570"/>
    <w:rsid w:val="005C79A4"/>
    <w:rsid w:val="005D5442"/>
    <w:rsid w:val="005D5F38"/>
    <w:rsid w:val="005E069E"/>
    <w:rsid w:val="005E1637"/>
    <w:rsid w:val="005E7FB5"/>
    <w:rsid w:val="00602266"/>
    <w:rsid w:val="006027FA"/>
    <w:rsid w:val="006031C2"/>
    <w:rsid w:val="00640FC3"/>
    <w:rsid w:val="00642020"/>
    <w:rsid w:val="00646236"/>
    <w:rsid w:val="0065337B"/>
    <w:rsid w:val="0065419D"/>
    <w:rsid w:val="00654AA6"/>
    <w:rsid w:val="006604D8"/>
    <w:rsid w:val="0066155E"/>
    <w:rsid w:val="00664A5B"/>
    <w:rsid w:val="00667942"/>
    <w:rsid w:val="00680C08"/>
    <w:rsid w:val="0068284F"/>
    <w:rsid w:val="0068741A"/>
    <w:rsid w:val="006931B1"/>
    <w:rsid w:val="006A15C0"/>
    <w:rsid w:val="006A399C"/>
    <w:rsid w:val="006B2602"/>
    <w:rsid w:val="006B51FD"/>
    <w:rsid w:val="006B598D"/>
    <w:rsid w:val="006C1F3B"/>
    <w:rsid w:val="006C3E2A"/>
    <w:rsid w:val="006C642F"/>
    <w:rsid w:val="006D03E5"/>
    <w:rsid w:val="006D139B"/>
    <w:rsid w:val="006D3540"/>
    <w:rsid w:val="006D5D3E"/>
    <w:rsid w:val="006E08B3"/>
    <w:rsid w:val="006E1980"/>
    <w:rsid w:val="006F572E"/>
    <w:rsid w:val="00701327"/>
    <w:rsid w:val="007046D6"/>
    <w:rsid w:val="00705DB0"/>
    <w:rsid w:val="007061C2"/>
    <w:rsid w:val="00706AFE"/>
    <w:rsid w:val="00712EE4"/>
    <w:rsid w:val="00714FB5"/>
    <w:rsid w:val="00720A56"/>
    <w:rsid w:val="00740C91"/>
    <w:rsid w:val="0074253D"/>
    <w:rsid w:val="0074429B"/>
    <w:rsid w:val="00745D5F"/>
    <w:rsid w:val="00746136"/>
    <w:rsid w:val="007477F8"/>
    <w:rsid w:val="00757AA8"/>
    <w:rsid w:val="007615BC"/>
    <w:rsid w:val="00762F05"/>
    <w:rsid w:val="007652FF"/>
    <w:rsid w:val="00767F93"/>
    <w:rsid w:val="00771329"/>
    <w:rsid w:val="00772CEF"/>
    <w:rsid w:val="00773EF7"/>
    <w:rsid w:val="00774E1D"/>
    <w:rsid w:val="00775F7C"/>
    <w:rsid w:val="0077675A"/>
    <w:rsid w:val="0077729F"/>
    <w:rsid w:val="00780355"/>
    <w:rsid w:val="00781735"/>
    <w:rsid w:val="00785721"/>
    <w:rsid w:val="00793A59"/>
    <w:rsid w:val="007A2162"/>
    <w:rsid w:val="007C0CB2"/>
    <w:rsid w:val="007C0F3D"/>
    <w:rsid w:val="007C1AF7"/>
    <w:rsid w:val="007C44CB"/>
    <w:rsid w:val="007C4790"/>
    <w:rsid w:val="007E05CC"/>
    <w:rsid w:val="007E1D03"/>
    <w:rsid w:val="007E39A9"/>
    <w:rsid w:val="007E462A"/>
    <w:rsid w:val="007F13F6"/>
    <w:rsid w:val="007F3BCD"/>
    <w:rsid w:val="007F3D5F"/>
    <w:rsid w:val="007F5782"/>
    <w:rsid w:val="00805642"/>
    <w:rsid w:val="00806153"/>
    <w:rsid w:val="008100B6"/>
    <w:rsid w:val="00812012"/>
    <w:rsid w:val="00814CE3"/>
    <w:rsid w:val="00815CD3"/>
    <w:rsid w:val="00821776"/>
    <w:rsid w:val="00824BC2"/>
    <w:rsid w:val="00826007"/>
    <w:rsid w:val="00827F41"/>
    <w:rsid w:val="0083086E"/>
    <w:rsid w:val="008321F5"/>
    <w:rsid w:val="00832369"/>
    <w:rsid w:val="00834660"/>
    <w:rsid w:val="0083644E"/>
    <w:rsid w:val="00836BC2"/>
    <w:rsid w:val="0085641B"/>
    <w:rsid w:val="00857136"/>
    <w:rsid w:val="00871888"/>
    <w:rsid w:val="00874B0E"/>
    <w:rsid w:val="00880599"/>
    <w:rsid w:val="00885930"/>
    <w:rsid w:val="00896018"/>
    <w:rsid w:val="008A07F4"/>
    <w:rsid w:val="008A0D6F"/>
    <w:rsid w:val="008A2847"/>
    <w:rsid w:val="008A2B9D"/>
    <w:rsid w:val="008A5B13"/>
    <w:rsid w:val="008A5E0B"/>
    <w:rsid w:val="008A6D59"/>
    <w:rsid w:val="008A7B9D"/>
    <w:rsid w:val="008A7F9B"/>
    <w:rsid w:val="008B38E7"/>
    <w:rsid w:val="008B4B03"/>
    <w:rsid w:val="008B596F"/>
    <w:rsid w:val="008B64A4"/>
    <w:rsid w:val="008C159F"/>
    <w:rsid w:val="008C1623"/>
    <w:rsid w:val="008C1BE2"/>
    <w:rsid w:val="008C3A45"/>
    <w:rsid w:val="008C4E34"/>
    <w:rsid w:val="008C51A9"/>
    <w:rsid w:val="008C5F0D"/>
    <w:rsid w:val="008D65BC"/>
    <w:rsid w:val="008E6F53"/>
    <w:rsid w:val="008E7524"/>
    <w:rsid w:val="008F1894"/>
    <w:rsid w:val="008F1CCC"/>
    <w:rsid w:val="008F2967"/>
    <w:rsid w:val="009146E0"/>
    <w:rsid w:val="00916BB4"/>
    <w:rsid w:val="00920330"/>
    <w:rsid w:val="009219D7"/>
    <w:rsid w:val="00922D53"/>
    <w:rsid w:val="00923B70"/>
    <w:rsid w:val="009252C7"/>
    <w:rsid w:val="0092600B"/>
    <w:rsid w:val="00930237"/>
    <w:rsid w:val="009474C9"/>
    <w:rsid w:val="0095187F"/>
    <w:rsid w:val="00963C08"/>
    <w:rsid w:val="009749DF"/>
    <w:rsid w:val="009904F0"/>
    <w:rsid w:val="009A4CED"/>
    <w:rsid w:val="009B15E8"/>
    <w:rsid w:val="009B1D12"/>
    <w:rsid w:val="009B416B"/>
    <w:rsid w:val="009C4BD5"/>
    <w:rsid w:val="009C640A"/>
    <w:rsid w:val="009C65A4"/>
    <w:rsid w:val="009D170D"/>
    <w:rsid w:val="009D7B77"/>
    <w:rsid w:val="009E0BB0"/>
    <w:rsid w:val="009E0E9E"/>
    <w:rsid w:val="009E13A3"/>
    <w:rsid w:val="009E3FBB"/>
    <w:rsid w:val="009F5F9B"/>
    <w:rsid w:val="009F7DDF"/>
    <w:rsid w:val="00A14DF7"/>
    <w:rsid w:val="00A17613"/>
    <w:rsid w:val="00A17C3F"/>
    <w:rsid w:val="00A3246D"/>
    <w:rsid w:val="00A35E34"/>
    <w:rsid w:val="00A36FA7"/>
    <w:rsid w:val="00A4383E"/>
    <w:rsid w:val="00A475B7"/>
    <w:rsid w:val="00A47AF7"/>
    <w:rsid w:val="00A47C3E"/>
    <w:rsid w:val="00A50226"/>
    <w:rsid w:val="00A57BE7"/>
    <w:rsid w:val="00A60BAD"/>
    <w:rsid w:val="00A61B30"/>
    <w:rsid w:val="00A633FA"/>
    <w:rsid w:val="00A63407"/>
    <w:rsid w:val="00A73A8D"/>
    <w:rsid w:val="00A87E87"/>
    <w:rsid w:val="00AA47C8"/>
    <w:rsid w:val="00AC2B40"/>
    <w:rsid w:val="00AC2BB2"/>
    <w:rsid w:val="00AC2C3C"/>
    <w:rsid w:val="00AC5EFA"/>
    <w:rsid w:val="00AE32A9"/>
    <w:rsid w:val="00AE65EB"/>
    <w:rsid w:val="00AF1D94"/>
    <w:rsid w:val="00AF4FB1"/>
    <w:rsid w:val="00AF60C5"/>
    <w:rsid w:val="00B0075D"/>
    <w:rsid w:val="00B009C6"/>
    <w:rsid w:val="00B01548"/>
    <w:rsid w:val="00B11171"/>
    <w:rsid w:val="00B15E5C"/>
    <w:rsid w:val="00B17603"/>
    <w:rsid w:val="00B20A14"/>
    <w:rsid w:val="00B21D29"/>
    <w:rsid w:val="00B23CA1"/>
    <w:rsid w:val="00B25034"/>
    <w:rsid w:val="00B27FCE"/>
    <w:rsid w:val="00B33863"/>
    <w:rsid w:val="00B34026"/>
    <w:rsid w:val="00B37D17"/>
    <w:rsid w:val="00B4175E"/>
    <w:rsid w:val="00B425C5"/>
    <w:rsid w:val="00B54C25"/>
    <w:rsid w:val="00B56277"/>
    <w:rsid w:val="00B62D79"/>
    <w:rsid w:val="00B7484F"/>
    <w:rsid w:val="00B76B91"/>
    <w:rsid w:val="00B92456"/>
    <w:rsid w:val="00B95CE9"/>
    <w:rsid w:val="00B96878"/>
    <w:rsid w:val="00BA5BB9"/>
    <w:rsid w:val="00BB7D39"/>
    <w:rsid w:val="00BC622A"/>
    <w:rsid w:val="00BD2A71"/>
    <w:rsid w:val="00BE03CA"/>
    <w:rsid w:val="00BE0A78"/>
    <w:rsid w:val="00BE79F0"/>
    <w:rsid w:val="00BF046D"/>
    <w:rsid w:val="00BF5D04"/>
    <w:rsid w:val="00C03FDE"/>
    <w:rsid w:val="00C067D1"/>
    <w:rsid w:val="00C06A51"/>
    <w:rsid w:val="00C13563"/>
    <w:rsid w:val="00C24226"/>
    <w:rsid w:val="00C251AF"/>
    <w:rsid w:val="00C34A54"/>
    <w:rsid w:val="00C36EC5"/>
    <w:rsid w:val="00C404A6"/>
    <w:rsid w:val="00C40A36"/>
    <w:rsid w:val="00C44419"/>
    <w:rsid w:val="00C45E7B"/>
    <w:rsid w:val="00C471B1"/>
    <w:rsid w:val="00C47EEB"/>
    <w:rsid w:val="00C54E0F"/>
    <w:rsid w:val="00C61587"/>
    <w:rsid w:val="00C6316B"/>
    <w:rsid w:val="00C634A9"/>
    <w:rsid w:val="00C64C52"/>
    <w:rsid w:val="00C661EE"/>
    <w:rsid w:val="00C72261"/>
    <w:rsid w:val="00C75B73"/>
    <w:rsid w:val="00C772FF"/>
    <w:rsid w:val="00C801AF"/>
    <w:rsid w:val="00C80256"/>
    <w:rsid w:val="00C817B9"/>
    <w:rsid w:val="00C94307"/>
    <w:rsid w:val="00CA3BC1"/>
    <w:rsid w:val="00CA6D95"/>
    <w:rsid w:val="00CB6BC0"/>
    <w:rsid w:val="00CC0155"/>
    <w:rsid w:val="00CC1B7C"/>
    <w:rsid w:val="00CC727F"/>
    <w:rsid w:val="00CD1DBA"/>
    <w:rsid w:val="00CD4F0A"/>
    <w:rsid w:val="00CD64F2"/>
    <w:rsid w:val="00CE2AEE"/>
    <w:rsid w:val="00CE45D3"/>
    <w:rsid w:val="00CE5BB0"/>
    <w:rsid w:val="00CF053A"/>
    <w:rsid w:val="00CF15C3"/>
    <w:rsid w:val="00CF2B6F"/>
    <w:rsid w:val="00CF548E"/>
    <w:rsid w:val="00CF7F5A"/>
    <w:rsid w:val="00D017ED"/>
    <w:rsid w:val="00D0673D"/>
    <w:rsid w:val="00D12C4D"/>
    <w:rsid w:val="00D153B1"/>
    <w:rsid w:val="00D224FE"/>
    <w:rsid w:val="00D242AC"/>
    <w:rsid w:val="00D3161C"/>
    <w:rsid w:val="00D6493E"/>
    <w:rsid w:val="00D675CF"/>
    <w:rsid w:val="00D73E47"/>
    <w:rsid w:val="00D85F12"/>
    <w:rsid w:val="00DA1124"/>
    <w:rsid w:val="00DA22F8"/>
    <w:rsid w:val="00DA2A4A"/>
    <w:rsid w:val="00DB3186"/>
    <w:rsid w:val="00DB6F66"/>
    <w:rsid w:val="00DB6F6E"/>
    <w:rsid w:val="00DC1AD5"/>
    <w:rsid w:val="00DC3F0E"/>
    <w:rsid w:val="00DC64B4"/>
    <w:rsid w:val="00DD1285"/>
    <w:rsid w:val="00DD1794"/>
    <w:rsid w:val="00DD2605"/>
    <w:rsid w:val="00DD75A3"/>
    <w:rsid w:val="00DE02AE"/>
    <w:rsid w:val="00DE3994"/>
    <w:rsid w:val="00DE6A0C"/>
    <w:rsid w:val="00DF1D7F"/>
    <w:rsid w:val="00E02FB4"/>
    <w:rsid w:val="00E074BD"/>
    <w:rsid w:val="00E10C2E"/>
    <w:rsid w:val="00E20571"/>
    <w:rsid w:val="00E21651"/>
    <w:rsid w:val="00E235F7"/>
    <w:rsid w:val="00E239D4"/>
    <w:rsid w:val="00E40B22"/>
    <w:rsid w:val="00E4588F"/>
    <w:rsid w:val="00E45EA5"/>
    <w:rsid w:val="00E46DA3"/>
    <w:rsid w:val="00E77401"/>
    <w:rsid w:val="00E83524"/>
    <w:rsid w:val="00E90801"/>
    <w:rsid w:val="00E91DF0"/>
    <w:rsid w:val="00EA406B"/>
    <w:rsid w:val="00EB0798"/>
    <w:rsid w:val="00EB40AD"/>
    <w:rsid w:val="00EB586E"/>
    <w:rsid w:val="00EB5FC8"/>
    <w:rsid w:val="00EC0AEE"/>
    <w:rsid w:val="00EC3213"/>
    <w:rsid w:val="00ED40B6"/>
    <w:rsid w:val="00ED5A41"/>
    <w:rsid w:val="00EE1BA8"/>
    <w:rsid w:val="00EE3694"/>
    <w:rsid w:val="00EF0773"/>
    <w:rsid w:val="00EF3598"/>
    <w:rsid w:val="00EF578B"/>
    <w:rsid w:val="00EF6EF4"/>
    <w:rsid w:val="00F033EC"/>
    <w:rsid w:val="00F04624"/>
    <w:rsid w:val="00F04F68"/>
    <w:rsid w:val="00F0701B"/>
    <w:rsid w:val="00F12670"/>
    <w:rsid w:val="00F14B27"/>
    <w:rsid w:val="00F3148D"/>
    <w:rsid w:val="00F35298"/>
    <w:rsid w:val="00F47E37"/>
    <w:rsid w:val="00F640B6"/>
    <w:rsid w:val="00F769D2"/>
    <w:rsid w:val="00F80E40"/>
    <w:rsid w:val="00F92C0E"/>
    <w:rsid w:val="00F93D68"/>
    <w:rsid w:val="00FA0A98"/>
    <w:rsid w:val="00FA1995"/>
    <w:rsid w:val="00FA1E9F"/>
    <w:rsid w:val="00FA5B82"/>
    <w:rsid w:val="00FA639E"/>
    <w:rsid w:val="00FC25E4"/>
    <w:rsid w:val="00FC2B32"/>
    <w:rsid w:val="00FC2BA6"/>
    <w:rsid w:val="00FC4EF7"/>
    <w:rsid w:val="00FD5910"/>
    <w:rsid w:val="00FE1DEE"/>
    <w:rsid w:val="00FE545D"/>
    <w:rsid w:val="00FF2126"/>
    <w:rsid w:val="00FF69BE"/>
    <w:rsid w:val="00FF6BDE"/>
    <w:rsid w:val="00FF7B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6609">
      <o:colormenu v:ext="edit" fillcolor="none [320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2"/>
        <w:szCs w:val="22"/>
        <w:lang w:val="en-AU"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35" w:unhideWhenUsed="0"/>
    <w:lsdException w:name="List Bullet" w:semiHidden="0" w:unhideWhenUsed="0" w:qFormat="1"/>
    <w:lsdException w:name="List Bullet 2" w:semiHidden="0" w:unhideWhenUsed="0" w:qFormat="1"/>
    <w:lsdException w:name="List Bullet 3" w:qFormat="1"/>
    <w:lsdException w:name="Title" w:semiHidden="0" w:uiPriority="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4BC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B27FCE"/>
    <w:pPr>
      <w:keepNext/>
      <w:keepLines/>
      <w:spacing w:before="360" w:after="360"/>
      <w:outlineLvl w:val="0"/>
    </w:pPr>
    <w:rPr>
      <w:rFonts w:ascii="Arial" w:hAnsi="Arial"/>
      <w:b/>
      <w:bCs/>
      <w:sz w:val="64"/>
      <w:szCs w:val="28"/>
    </w:rPr>
  </w:style>
  <w:style w:type="paragraph" w:styleId="Heading2">
    <w:name w:val="heading 2"/>
    <w:basedOn w:val="Normal"/>
    <w:next w:val="Normal"/>
    <w:link w:val="Heading2Char"/>
    <w:qFormat/>
    <w:rsid w:val="00B27FCE"/>
    <w:pPr>
      <w:keepNext/>
      <w:keepLines/>
      <w:spacing w:before="360"/>
      <w:outlineLvl w:val="1"/>
    </w:pPr>
    <w:rPr>
      <w:rFonts w:ascii="Arial" w:hAnsi="Arial"/>
      <w:b/>
      <w:bCs/>
      <w:sz w:val="32"/>
      <w:szCs w:val="26"/>
    </w:rPr>
  </w:style>
  <w:style w:type="paragraph" w:styleId="Heading3">
    <w:name w:val="heading 3"/>
    <w:basedOn w:val="Normal"/>
    <w:next w:val="Normal"/>
    <w:link w:val="Heading3Char"/>
    <w:qFormat/>
    <w:rsid w:val="00B27FCE"/>
    <w:pPr>
      <w:keepNext/>
      <w:keepLines/>
      <w:spacing w:before="360" w:line="220" w:lineRule="atLeast"/>
      <w:outlineLvl w:val="2"/>
    </w:pPr>
    <w:rPr>
      <w:rFonts w:ascii="Arial" w:hAnsi="Arial"/>
      <w:b/>
      <w:bCs/>
      <w:szCs w:val="21"/>
    </w:rPr>
  </w:style>
  <w:style w:type="paragraph" w:styleId="Heading4">
    <w:name w:val="heading 4"/>
    <w:basedOn w:val="Normal"/>
    <w:next w:val="Normal"/>
    <w:link w:val="Heading4Char"/>
    <w:qFormat/>
    <w:rsid w:val="00B27FCE"/>
    <w:pPr>
      <w:keepNext/>
      <w:spacing w:before="240" w:line="220" w:lineRule="atLeast"/>
      <w:outlineLvl w:val="3"/>
    </w:pPr>
    <w:rPr>
      <w:b/>
      <w:bCs/>
      <w:szCs w:val="21"/>
    </w:rPr>
  </w:style>
  <w:style w:type="paragraph" w:styleId="Heading5">
    <w:name w:val="heading 5"/>
    <w:basedOn w:val="Normal"/>
    <w:next w:val="Normal"/>
    <w:link w:val="Heading5Char"/>
    <w:uiPriority w:val="9"/>
    <w:qFormat/>
    <w:rsid w:val="00B27FCE"/>
    <w:pPr>
      <w:keepNext/>
      <w:keepLines/>
      <w:spacing w:line="220" w:lineRule="atLeast"/>
      <w:outlineLvl w:val="4"/>
    </w:pPr>
    <w:rPr>
      <w:b/>
      <w:bCs/>
      <w:i/>
      <w:color w:val="001523"/>
      <w:szCs w:val="21"/>
    </w:rPr>
  </w:style>
  <w:style w:type="paragraph" w:styleId="Heading6">
    <w:name w:val="heading 6"/>
    <w:basedOn w:val="Normal"/>
    <w:next w:val="Normal"/>
    <w:link w:val="Heading6Char"/>
    <w:uiPriority w:val="9"/>
    <w:qFormat/>
    <w:rsid w:val="00B27FCE"/>
    <w:pPr>
      <w:keepNext/>
      <w:spacing w:line="220" w:lineRule="atLeast"/>
      <w:outlineLvl w:val="5"/>
    </w:pPr>
    <w:rPr>
      <w:bCs/>
      <w:i/>
      <w:szCs w:val="21"/>
    </w:rPr>
  </w:style>
  <w:style w:type="paragraph" w:styleId="Heading7">
    <w:name w:val="heading 7"/>
    <w:basedOn w:val="Normal"/>
    <w:next w:val="Normal"/>
    <w:link w:val="Heading7Char"/>
    <w:uiPriority w:val="9"/>
    <w:qFormat/>
    <w:rsid w:val="00B27FCE"/>
    <w:pPr>
      <w:keepNext/>
      <w:spacing w:after="60" w:line="180" w:lineRule="atLeast"/>
      <w:outlineLvl w:val="6"/>
    </w:pPr>
    <w:rPr>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2A9"/>
    <w:rPr>
      <w:rFonts w:ascii="Arial" w:eastAsia="Times New Roman" w:hAnsi="Arial" w:cs="Times New Roman"/>
      <w:b/>
      <w:bCs/>
      <w:sz w:val="64"/>
      <w:szCs w:val="28"/>
    </w:rPr>
  </w:style>
  <w:style w:type="character" w:customStyle="1" w:styleId="Heading2Char">
    <w:name w:val="Heading 2 Char"/>
    <w:basedOn w:val="DefaultParagraphFont"/>
    <w:link w:val="Heading2"/>
    <w:rsid w:val="00930237"/>
    <w:rPr>
      <w:rFonts w:ascii="Arial" w:eastAsia="Times New Roman" w:hAnsi="Arial" w:cs="Times New Roman"/>
      <w:b/>
      <w:bCs/>
      <w:sz w:val="32"/>
      <w:szCs w:val="26"/>
    </w:rPr>
  </w:style>
  <w:style w:type="character" w:customStyle="1" w:styleId="Heading3Char">
    <w:name w:val="Heading 3 Char"/>
    <w:basedOn w:val="DefaultParagraphFont"/>
    <w:link w:val="Heading3"/>
    <w:rsid w:val="00AE32A9"/>
    <w:rPr>
      <w:rFonts w:ascii="Arial" w:eastAsia="Times New Roman" w:hAnsi="Arial" w:cs="Times New Roman"/>
      <w:b/>
      <w:bCs/>
      <w:szCs w:val="21"/>
    </w:rPr>
  </w:style>
  <w:style w:type="paragraph" w:customStyle="1" w:styleId="Address">
    <w:name w:val="Address"/>
    <w:basedOn w:val="Normal"/>
    <w:qFormat/>
    <w:rsid w:val="00EF578B"/>
    <w:rPr>
      <w:rFonts w:ascii="Arial" w:hAnsi="Arial"/>
      <w:sz w:val="16"/>
    </w:rPr>
  </w:style>
  <w:style w:type="paragraph" w:customStyle="1" w:styleId="AxisLabel">
    <w:name w:val="Axis Label"/>
    <w:basedOn w:val="Normal"/>
    <w:qFormat/>
    <w:rsid w:val="00F3148D"/>
    <w:rPr>
      <w:rFonts w:ascii="Arial" w:hAnsi="Arial"/>
      <w:noProof/>
      <w:sz w:val="14"/>
    </w:rPr>
  </w:style>
  <w:style w:type="paragraph" w:customStyle="1" w:styleId="AxisTitle">
    <w:name w:val="Axis Title"/>
    <w:basedOn w:val="Normal"/>
    <w:qFormat/>
    <w:rsid w:val="00F3148D"/>
    <w:rPr>
      <w:rFonts w:ascii="Arial" w:hAnsi="Arial"/>
      <w:sz w:val="16"/>
    </w:rPr>
  </w:style>
  <w:style w:type="paragraph" w:styleId="BalloonText">
    <w:name w:val="Balloon Text"/>
    <w:basedOn w:val="Normal"/>
    <w:link w:val="BalloonTextChar"/>
    <w:uiPriority w:val="99"/>
    <w:semiHidden/>
    <w:unhideWhenUsed/>
    <w:rsid w:val="00F3148D"/>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Caption">
    <w:name w:val="caption"/>
    <w:basedOn w:val="Normal"/>
    <w:next w:val="Normal"/>
    <w:uiPriority w:val="35"/>
    <w:rsid w:val="00F3148D"/>
    <w:rPr>
      <w:sz w:val="17"/>
      <w:szCs w:val="18"/>
    </w:rPr>
  </w:style>
  <w:style w:type="paragraph" w:customStyle="1" w:styleId="Contents">
    <w:name w:val="Contents"/>
    <w:basedOn w:val="Normal"/>
    <w:rsid w:val="008A5E0B"/>
    <w:pPr>
      <w:spacing w:after="360"/>
    </w:pPr>
    <w:rPr>
      <w:rFonts w:ascii="Arial" w:hAnsi="Arial"/>
      <w:b/>
      <w:sz w:val="64"/>
    </w:rPr>
  </w:style>
  <w:style w:type="paragraph" w:styleId="Date">
    <w:name w:val="Date"/>
    <w:basedOn w:val="Normal"/>
    <w:next w:val="Normal"/>
    <w:link w:val="DateChar"/>
    <w:uiPriority w:val="99"/>
    <w:rsid w:val="00F3148D"/>
    <w:rPr>
      <w:rFonts w:ascii="Arial" w:hAnsi="Arial"/>
      <w:sz w:val="28"/>
    </w:rPr>
  </w:style>
  <w:style w:type="character" w:customStyle="1" w:styleId="DateChar">
    <w:name w:val="Date Char"/>
    <w:basedOn w:val="DefaultParagraphFont"/>
    <w:link w:val="Date"/>
    <w:uiPriority w:val="99"/>
    <w:rsid w:val="00F3148D"/>
    <w:rPr>
      <w:rFonts w:ascii="Arial" w:hAnsi="Arial"/>
      <w:sz w:val="28"/>
    </w:rPr>
  </w:style>
  <w:style w:type="paragraph" w:customStyle="1" w:styleId="FigureCaption">
    <w:name w:val="Figure Caption"/>
    <w:basedOn w:val="Normal"/>
    <w:qFormat/>
    <w:rsid w:val="00F3148D"/>
  </w:style>
  <w:style w:type="paragraph" w:customStyle="1" w:styleId="FigureTitle">
    <w:name w:val="Figure Title"/>
    <w:basedOn w:val="Normal"/>
    <w:qFormat/>
    <w:rsid w:val="00F3148D"/>
    <w:pPr>
      <w:spacing w:line="220" w:lineRule="atLeast"/>
    </w:pPr>
    <w:rPr>
      <w:b/>
    </w:rPr>
  </w:style>
  <w:style w:type="character" w:customStyle="1" w:styleId="Heading4Char">
    <w:name w:val="Heading 4 Char"/>
    <w:basedOn w:val="DefaultParagraphFont"/>
    <w:link w:val="Heading4"/>
    <w:rsid w:val="00AE32A9"/>
    <w:rPr>
      <w:rFonts w:ascii="Cambria" w:hAnsi="Cambria" w:cs="Times New Roman"/>
      <w:b/>
      <w:bCs/>
      <w:szCs w:val="21"/>
    </w:rPr>
  </w:style>
  <w:style w:type="paragraph" w:customStyle="1" w:styleId="FlowChartWhiteHeading">
    <w:name w:val="Flow Chart White Heading"/>
    <w:basedOn w:val="Normal"/>
    <w:rsid w:val="00D73E47"/>
    <w:pPr>
      <w:spacing w:before="120"/>
      <w:jc w:val="center"/>
    </w:pPr>
    <w:rPr>
      <w:rFonts w:ascii="Arial" w:hAnsi="Arial"/>
      <w:b/>
      <w:color w:val="FFFFFF"/>
    </w:rPr>
  </w:style>
  <w:style w:type="paragraph" w:customStyle="1" w:styleId="FlowChartBlackHeading">
    <w:name w:val="Flow Chart Black Heading"/>
    <w:basedOn w:val="FlowChartWhiteHeading"/>
    <w:rsid w:val="00D73E47"/>
    <w:rPr>
      <w:color w:val="auto"/>
    </w:rPr>
  </w:style>
  <w:style w:type="paragraph" w:customStyle="1" w:styleId="FlowChartWhiteText">
    <w:name w:val="Flow Chart White Text"/>
    <w:basedOn w:val="Normal"/>
    <w:rsid w:val="00EF3598"/>
    <w:pPr>
      <w:jc w:val="center"/>
    </w:pPr>
    <w:rPr>
      <w:rFonts w:ascii="Arial" w:hAnsi="Arial"/>
      <w:color w:val="FFFFFF"/>
    </w:rPr>
  </w:style>
  <w:style w:type="paragraph" w:customStyle="1" w:styleId="FlowchartText">
    <w:name w:val="Flowchart Text"/>
    <w:basedOn w:val="Normal"/>
    <w:rsid w:val="00EF3598"/>
    <w:pPr>
      <w:jc w:val="center"/>
    </w:pPr>
    <w:rPr>
      <w:rFonts w:ascii="Arial" w:hAnsi="Arial"/>
    </w:rPr>
  </w:style>
  <w:style w:type="character" w:styleId="FollowedHyperlink">
    <w:name w:val="FollowedHyperlink"/>
    <w:basedOn w:val="DefaultParagraphFont"/>
    <w:rsid w:val="006A399C"/>
    <w:rPr>
      <w:color w:val="800080"/>
      <w:u w:val="single"/>
    </w:rPr>
  </w:style>
  <w:style w:type="paragraph" w:styleId="Footer">
    <w:name w:val="footer"/>
    <w:basedOn w:val="Normal"/>
    <w:link w:val="FooterChar"/>
    <w:uiPriority w:val="99"/>
    <w:rsid w:val="00826007"/>
    <w:pPr>
      <w:tabs>
        <w:tab w:val="center" w:pos="4513"/>
        <w:tab w:val="right" w:pos="9026"/>
      </w:tabs>
    </w:pPr>
    <w:rPr>
      <w:sz w:val="17"/>
    </w:rPr>
  </w:style>
  <w:style w:type="character" w:customStyle="1" w:styleId="FooterChar">
    <w:name w:val="Footer Char"/>
    <w:basedOn w:val="DefaultParagraphFont"/>
    <w:link w:val="Footer"/>
    <w:uiPriority w:val="99"/>
    <w:rsid w:val="00826007"/>
    <w:rPr>
      <w:rFonts w:ascii="Cambria" w:hAnsi="Cambria"/>
      <w:sz w:val="17"/>
    </w:rPr>
  </w:style>
  <w:style w:type="paragraph" w:styleId="Header">
    <w:name w:val="header"/>
    <w:basedOn w:val="Normal"/>
    <w:link w:val="HeaderChar"/>
    <w:uiPriority w:val="99"/>
    <w:rsid w:val="002D371E"/>
    <w:pPr>
      <w:pBdr>
        <w:bottom w:val="single" w:sz="4" w:space="3" w:color="auto"/>
      </w:pBdr>
      <w:tabs>
        <w:tab w:val="center" w:pos="4513"/>
        <w:tab w:val="right" w:pos="9026"/>
      </w:tabs>
      <w:spacing w:after="240"/>
      <w:jc w:val="right"/>
    </w:pPr>
    <w:rPr>
      <w:sz w:val="17"/>
    </w:rPr>
  </w:style>
  <w:style w:type="character" w:customStyle="1" w:styleId="HeaderChar">
    <w:name w:val="Header Char"/>
    <w:basedOn w:val="DefaultParagraphFont"/>
    <w:link w:val="Header"/>
    <w:uiPriority w:val="99"/>
    <w:rsid w:val="002D371E"/>
    <w:rPr>
      <w:rFonts w:ascii="Cambria" w:hAnsi="Cambria" w:cs="Times New Roman"/>
      <w:sz w:val="17"/>
    </w:rPr>
  </w:style>
  <w:style w:type="paragraph" w:customStyle="1" w:styleId="HeaderNoLine">
    <w:name w:val="Header No Line"/>
    <w:basedOn w:val="Header"/>
    <w:rsid w:val="003F1B0F"/>
    <w:pPr>
      <w:pBdr>
        <w:bottom w:val="none" w:sz="0" w:space="0" w:color="auto"/>
      </w:pBdr>
    </w:pPr>
  </w:style>
  <w:style w:type="character" w:customStyle="1" w:styleId="Heading5Char">
    <w:name w:val="Heading 5 Char"/>
    <w:basedOn w:val="DefaultParagraphFont"/>
    <w:link w:val="Heading5"/>
    <w:uiPriority w:val="9"/>
    <w:rsid w:val="00FA639E"/>
    <w:rPr>
      <w:rFonts w:ascii="Cambria" w:eastAsia="Times New Roman" w:hAnsi="Cambria" w:cs="Times New Roman"/>
      <w:b/>
      <w:bCs/>
      <w:i/>
      <w:color w:val="001523"/>
      <w:szCs w:val="21"/>
    </w:rPr>
  </w:style>
  <w:style w:type="character" w:customStyle="1" w:styleId="Heading6Char">
    <w:name w:val="Heading 6 Char"/>
    <w:basedOn w:val="DefaultParagraphFont"/>
    <w:link w:val="Heading6"/>
    <w:uiPriority w:val="9"/>
    <w:rsid w:val="00F3148D"/>
    <w:rPr>
      <w:rFonts w:ascii="Cambria" w:eastAsia="Times New Roman" w:hAnsi="Cambria" w:cs="Times New Roman"/>
      <w:bCs/>
      <w:i/>
      <w:szCs w:val="21"/>
    </w:rPr>
  </w:style>
  <w:style w:type="character" w:customStyle="1" w:styleId="Heading7Char">
    <w:name w:val="Heading 7 Char"/>
    <w:basedOn w:val="DefaultParagraphFont"/>
    <w:link w:val="Heading7"/>
    <w:uiPriority w:val="9"/>
    <w:rsid w:val="00F3148D"/>
    <w:rPr>
      <w:rFonts w:ascii="Cambria" w:eastAsia="Times New Roman" w:hAnsi="Cambria" w:cs="Times New Roman"/>
      <w:bCs/>
      <w:sz w:val="18"/>
      <w:szCs w:val="24"/>
    </w:rPr>
  </w:style>
  <w:style w:type="character" w:styleId="Hyperlink">
    <w:name w:val="Hyperlink"/>
    <w:basedOn w:val="DefaultParagraphFont"/>
    <w:uiPriority w:val="99"/>
    <w:unhideWhenUsed/>
    <w:rsid w:val="006A399C"/>
    <w:rPr>
      <w:color w:val="0000FF"/>
      <w:u w:val="single"/>
    </w:rPr>
  </w:style>
  <w:style w:type="paragraph" w:customStyle="1" w:styleId="Key">
    <w:name w:val="Key"/>
    <w:basedOn w:val="Normal"/>
    <w:qFormat/>
    <w:rsid w:val="00F3148D"/>
    <w:rPr>
      <w:sz w:val="14"/>
    </w:rPr>
  </w:style>
  <w:style w:type="paragraph" w:customStyle="1" w:styleId="LegalCopy">
    <w:name w:val="Legal Copy"/>
    <w:basedOn w:val="Footer"/>
    <w:qFormat/>
    <w:rsid w:val="00F3148D"/>
  </w:style>
  <w:style w:type="paragraph" w:customStyle="1" w:styleId="LegalSubheading">
    <w:name w:val="Legal Subheading"/>
    <w:basedOn w:val="Footer"/>
    <w:qFormat/>
    <w:rsid w:val="00F3148D"/>
    <w:rPr>
      <w:b/>
    </w:rPr>
  </w:style>
  <w:style w:type="table" w:styleId="LightShading-Accent2">
    <w:name w:val="Light Shading Accent 2"/>
    <w:basedOn w:val="TableNormal"/>
    <w:uiPriority w:val="60"/>
    <w:rsid w:val="00F3148D"/>
    <w:pPr>
      <w:spacing w:after="0" w:line="240" w:lineRule="auto"/>
    </w:pPr>
    <w:rPr>
      <w:rFonts w:ascii="Cambria" w:eastAsia="Calibri" w:hAnsi="Cambria" w:cs="Times New Roman"/>
      <w:color w:val="943634"/>
      <w:sz w:val="21"/>
      <w:szCs w:val="21"/>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qFormat/>
    <w:rsid w:val="003F1B0F"/>
    <w:pPr>
      <w:numPr>
        <w:numId w:val="26"/>
      </w:numPr>
      <w:spacing w:before="120"/>
    </w:pPr>
  </w:style>
  <w:style w:type="paragraph" w:styleId="ListBullet2">
    <w:name w:val="List Bullet 2"/>
    <w:basedOn w:val="Normal"/>
    <w:uiPriority w:val="99"/>
    <w:qFormat/>
    <w:rsid w:val="003F1B0F"/>
    <w:pPr>
      <w:numPr>
        <w:ilvl w:val="1"/>
        <w:numId w:val="26"/>
      </w:numPr>
      <w:spacing w:before="120"/>
    </w:pPr>
  </w:style>
  <w:style w:type="paragraph" w:styleId="ListBullet3">
    <w:name w:val="List Bullet 3"/>
    <w:basedOn w:val="Normal"/>
    <w:uiPriority w:val="99"/>
    <w:qFormat/>
    <w:rsid w:val="003F1B0F"/>
    <w:pPr>
      <w:numPr>
        <w:ilvl w:val="2"/>
        <w:numId w:val="26"/>
      </w:numPr>
      <w:spacing w:before="120"/>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pPr>
      <w:spacing w:after="0" w:line="240" w:lineRule="auto"/>
    </w:pPr>
    <w:rPr>
      <w:rFonts w:ascii="Cambria" w:eastAsia="Times New Roman" w:hAnsi="Cambria" w:cs="Times New Roman"/>
      <w:color w:val="000000"/>
      <w:sz w:val="21"/>
      <w:szCs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F3148D"/>
    <w:rPr>
      <w:rFonts w:ascii="Arial" w:hAnsi="Arial"/>
      <w:b/>
      <w:sz w:val="32"/>
    </w:rPr>
  </w:style>
  <w:style w:type="paragraph" w:customStyle="1" w:styleId="Notes">
    <w:name w:val="Notes"/>
    <w:basedOn w:val="Normal"/>
    <w:qFormat/>
    <w:locked/>
    <w:rsid w:val="00F3148D"/>
    <w:rPr>
      <w:rFonts w:ascii="Arial" w:hAnsi="Arial"/>
      <w:sz w:val="16"/>
    </w:rPr>
  </w:style>
  <w:style w:type="paragraph" w:customStyle="1" w:styleId="Numberbullet0">
    <w:name w:val="Number bullet"/>
    <w:basedOn w:val="ListBullet"/>
    <w:qFormat/>
    <w:rsid w:val="00F3148D"/>
    <w:pPr>
      <w:numPr>
        <w:numId w:val="11"/>
      </w:numPr>
    </w:pPr>
  </w:style>
  <w:style w:type="paragraph" w:customStyle="1" w:styleId="Numberbullet2">
    <w:name w:val="Number bullet 2"/>
    <w:basedOn w:val="ListBullet2"/>
    <w:qFormat/>
    <w:rsid w:val="00F3148D"/>
    <w:pPr>
      <w:numPr>
        <w:numId w:val="11"/>
      </w:numPr>
    </w:pPr>
  </w:style>
  <w:style w:type="paragraph" w:customStyle="1" w:styleId="Numberbullet3">
    <w:name w:val="Number bullet 3"/>
    <w:basedOn w:val="ListBullet3"/>
    <w:qFormat/>
    <w:rsid w:val="00F3148D"/>
    <w:pPr>
      <w:numPr>
        <w:numId w:val="11"/>
      </w:numPr>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3148D"/>
    <w:pPr>
      <w:spacing w:before="40" w:line="180" w:lineRule="atLeast"/>
      <w:ind w:hanging="170"/>
    </w:pPr>
    <w:rPr>
      <w:sz w:val="19"/>
    </w:rPr>
  </w:style>
  <w:style w:type="paragraph" w:styleId="Subtitle">
    <w:name w:val="Subtitle"/>
    <w:basedOn w:val="Normal"/>
    <w:next w:val="Normal"/>
    <w:link w:val="SubtitleChar"/>
    <w:uiPriority w:val="11"/>
    <w:qFormat/>
    <w:rsid w:val="008A5E0B"/>
    <w:pPr>
      <w:numPr>
        <w:ilvl w:val="1"/>
      </w:numPr>
      <w:spacing w:after="360"/>
      <w:ind w:left="170"/>
    </w:pPr>
    <w:rPr>
      <w:rFonts w:ascii="Arial" w:hAnsi="Arial"/>
      <w:bCs/>
      <w:iCs/>
      <w:sz w:val="40"/>
    </w:rPr>
  </w:style>
  <w:style w:type="character" w:customStyle="1" w:styleId="SubtitleChar">
    <w:name w:val="Subtitle Char"/>
    <w:basedOn w:val="DefaultParagraphFont"/>
    <w:link w:val="Subtitle"/>
    <w:uiPriority w:val="11"/>
    <w:rsid w:val="00F3148D"/>
    <w:rPr>
      <w:rFonts w:ascii="Arial" w:eastAsia="Times New Roman" w:hAnsi="Arial" w:cs="Times New Roman"/>
      <w:bCs/>
      <w:iCs/>
      <w:sz w:val="40"/>
      <w:szCs w:val="24"/>
    </w:rPr>
  </w:style>
  <w:style w:type="paragraph" w:customStyle="1" w:styleId="TableCaption">
    <w:name w:val="Table Caption"/>
    <w:basedOn w:val="FigureCaption"/>
    <w:qFormat/>
    <w:rsid w:val="00F3148D"/>
    <w:pPr>
      <w:spacing w:after="240"/>
    </w:pPr>
    <w:rPr>
      <w:sz w:val="17"/>
    </w:rPr>
  </w:style>
  <w:style w:type="table" w:customStyle="1" w:styleId="TableTGAblue">
    <w:name w:val="Table TGA blue"/>
    <w:basedOn w:val="TableNormal"/>
    <w:uiPriority w:val="99"/>
    <w:qFormat/>
    <w:rsid w:val="004A38EE"/>
    <w:pPr>
      <w:spacing w:after="0" w:line="240" w:lineRule="auto"/>
    </w:pPr>
    <w:rPr>
      <w:rFonts w:ascii="Cambria" w:hAnsi="Cambria" w:cs="Times New Roman"/>
      <w:szCs w:val="21"/>
      <w:lang w:eastAsia="en-AU"/>
    </w:rPr>
    <w:tblPr>
      <w:tblInd w:w="0" w:type="dxa"/>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pPr>
      <w:rPr>
        <w:rFonts w:ascii="Cambria" w:hAnsi="Cambria"/>
        <w:b/>
        <w:color w:val="FFFFFF"/>
        <w:sz w:val="22"/>
      </w:rPr>
      <w:tbl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C5EFA"/>
    <w:pPr>
      <w:spacing w:before="60" w:after="0" w:line="240" w:lineRule="auto"/>
    </w:pPr>
    <w:rPr>
      <w:rFonts w:ascii="Cambria" w:hAnsi="Cambria" w:cs="Times New Roman"/>
      <w:color w:val="000000"/>
      <w:szCs w:val="21"/>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qFormat/>
    <w:rsid w:val="00F3148D"/>
    <w:rPr>
      <w:b/>
      <w:sz w:val="20"/>
    </w:rPr>
  </w:style>
  <w:style w:type="paragraph" w:customStyle="1" w:styleId="TGASignoff">
    <w:name w:val="TGA Signoff"/>
    <w:basedOn w:val="Normal"/>
    <w:qFormat/>
    <w:rsid w:val="00F3148D"/>
    <w:pPr>
      <w:jc w:val="center"/>
    </w:pPr>
    <w:rPr>
      <w:rFonts w:ascii="Arial" w:hAnsi="Arial"/>
      <w:b/>
      <w:sz w:val="28"/>
    </w:rPr>
  </w:style>
  <w:style w:type="paragraph" w:styleId="Title">
    <w:name w:val="Title"/>
    <w:next w:val="Normal"/>
    <w:link w:val="TitleChar"/>
    <w:qFormat/>
    <w:rsid w:val="00F3148D"/>
    <w:pPr>
      <w:spacing w:after="480" w:line="240" w:lineRule="auto"/>
      <w:contextualSpacing/>
    </w:pPr>
    <w:rPr>
      <w:rFonts w:ascii="Arial" w:eastAsia="Times New Roman" w:hAnsi="Arial" w:cs="Times New Roman"/>
      <w:spacing w:val="5"/>
      <w:kern w:val="28"/>
      <w:sz w:val="52"/>
      <w:szCs w:val="52"/>
    </w:rPr>
  </w:style>
  <w:style w:type="character" w:customStyle="1" w:styleId="TitleChar">
    <w:name w:val="Title Char"/>
    <w:basedOn w:val="DefaultParagraphFont"/>
    <w:link w:val="Title"/>
    <w:rsid w:val="00F3148D"/>
    <w:rPr>
      <w:rFonts w:ascii="Arial" w:eastAsia="Times New Roman" w:hAnsi="Arial" w:cs="Times New Roman"/>
      <w:spacing w:val="5"/>
      <w:kern w:val="28"/>
      <w:sz w:val="52"/>
      <w:szCs w:val="52"/>
    </w:rPr>
  </w:style>
  <w:style w:type="paragraph" w:styleId="TOC1">
    <w:name w:val="toc 1"/>
    <w:basedOn w:val="Normal"/>
    <w:next w:val="Normal"/>
    <w:uiPriority w:val="39"/>
    <w:rsid w:val="00F3148D"/>
    <w:pPr>
      <w:tabs>
        <w:tab w:val="right" w:pos="8505"/>
      </w:tabs>
      <w:spacing w:after="200"/>
    </w:pPr>
    <w:rPr>
      <w:rFonts w:ascii="Arial" w:hAnsi="Arial"/>
      <w:b/>
      <w:sz w:val="32"/>
    </w:rPr>
  </w:style>
  <w:style w:type="paragraph" w:styleId="TOC2">
    <w:name w:val="toc 2"/>
    <w:basedOn w:val="Normal"/>
    <w:next w:val="Normal"/>
    <w:uiPriority w:val="39"/>
    <w:rsid w:val="00F3148D"/>
    <w:pPr>
      <w:tabs>
        <w:tab w:val="right" w:leader="underscore" w:pos="8505"/>
      </w:tabs>
      <w:spacing w:after="100"/>
      <w:ind w:left="624"/>
    </w:pPr>
    <w:rPr>
      <w:b/>
      <w:sz w:val="25"/>
    </w:rPr>
  </w:style>
  <w:style w:type="paragraph" w:styleId="TOC3">
    <w:name w:val="toc 3"/>
    <w:basedOn w:val="Normal"/>
    <w:next w:val="Normal"/>
    <w:uiPriority w:val="39"/>
    <w:rsid w:val="00F3148D"/>
    <w:pPr>
      <w:tabs>
        <w:tab w:val="right" w:leader="underscore" w:pos="8505"/>
      </w:tabs>
      <w:spacing w:after="100"/>
      <w:ind w:left="1021"/>
    </w:pPr>
  </w:style>
  <w:style w:type="paragraph" w:styleId="TOCHeading">
    <w:name w:val="TOC Heading"/>
    <w:basedOn w:val="Heading1"/>
    <w:next w:val="Normal"/>
    <w:uiPriority w:val="39"/>
    <w:semiHidden/>
    <w:unhideWhenUsed/>
    <w:qFormat/>
    <w:rsid w:val="00F3148D"/>
    <w:pPr>
      <w:spacing w:before="480" w:after="0" w:line="276" w:lineRule="auto"/>
      <w:outlineLvl w:val="9"/>
    </w:pPr>
    <w:rPr>
      <w:rFonts w:cstheme="minorBidi"/>
      <w:bCs w:val="0"/>
      <w:color w:val="002035"/>
      <w:sz w:val="28"/>
      <w:lang w:val="en-US"/>
    </w:rPr>
  </w:style>
  <w:style w:type="paragraph" w:customStyle="1" w:styleId="Subject">
    <w:name w:val="Subject"/>
    <w:basedOn w:val="Normal"/>
    <w:qFormat/>
    <w:rsid w:val="00D153B1"/>
    <w:rPr>
      <w:b/>
    </w:rPr>
  </w:style>
  <w:style w:type="table" w:styleId="TableGrid">
    <w:name w:val="Table Grid"/>
    <w:basedOn w:val="TableNormal"/>
    <w:uiPriority w:val="59"/>
    <w:rsid w:val="004A38EE"/>
    <w:pPr>
      <w:spacing w:after="0" w:line="240" w:lineRule="auto"/>
    </w:pPr>
    <w:tblPr>
      <w:tblInd w:w="0" w:type="dxa"/>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CellMar>
        <w:top w:w="0" w:type="dxa"/>
        <w:left w:w="108" w:type="dxa"/>
        <w:bottom w:w="0" w:type="dxa"/>
        <w:right w:w="108" w:type="dxa"/>
      </w:tblCellMar>
    </w:tblPr>
  </w:style>
  <w:style w:type="paragraph" w:customStyle="1" w:styleId="Footnote">
    <w:name w:val="Footnote"/>
    <w:qFormat/>
    <w:rsid w:val="0014503C"/>
    <w:pPr>
      <w:spacing w:after="0" w:line="240" w:lineRule="auto"/>
    </w:pPr>
    <w:rPr>
      <w:rFonts w:ascii="Cambria" w:hAnsi="Cambria" w:cs="Times New Roman"/>
      <w:sz w:val="20"/>
      <w:szCs w:val="20"/>
    </w:rPr>
  </w:style>
  <w:style w:type="paragraph" w:styleId="FootnoteText">
    <w:name w:val="footnote text"/>
    <w:basedOn w:val="Normal"/>
    <w:link w:val="FootnoteTextChar"/>
    <w:uiPriority w:val="99"/>
    <w:semiHidden/>
    <w:unhideWhenUsed/>
    <w:rsid w:val="0014503C"/>
    <w:rPr>
      <w:sz w:val="20"/>
      <w:szCs w:val="20"/>
    </w:rPr>
  </w:style>
  <w:style w:type="character" w:customStyle="1" w:styleId="FootnoteTextChar">
    <w:name w:val="Footnote Text Char"/>
    <w:basedOn w:val="DefaultParagraphFont"/>
    <w:link w:val="FootnoteText"/>
    <w:uiPriority w:val="99"/>
    <w:semiHidden/>
    <w:rsid w:val="0014503C"/>
    <w:rPr>
      <w:rFonts w:ascii="Cambria" w:hAnsi="Cambria" w:cs="Times New Roman"/>
      <w:sz w:val="20"/>
      <w:szCs w:val="20"/>
    </w:rPr>
  </w:style>
  <w:style w:type="paragraph" w:styleId="ListParagraph">
    <w:name w:val="List Paragraph"/>
    <w:basedOn w:val="Normal"/>
    <w:uiPriority w:val="34"/>
    <w:qFormat/>
    <w:locked/>
    <w:rsid w:val="00824BC2"/>
    <w:pPr>
      <w:ind w:left="720"/>
      <w:contextualSpacing/>
    </w:pPr>
  </w:style>
  <w:style w:type="character" w:styleId="Strong">
    <w:name w:val="Strong"/>
    <w:basedOn w:val="DefaultParagraphFont"/>
    <w:uiPriority w:val="22"/>
    <w:qFormat/>
    <w:rsid w:val="007F3BCD"/>
    <w:rPr>
      <w:b/>
      <w:bCs/>
    </w:rPr>
  </w:style>
  <w:style w:type="character" w:styleId="CommentReference">
    <w:name w:val="annotation reference"/>
    <w:basedOn w:val="DefaultParagraphFont"/>
    <w:uiPriority w:val="99"/>
    <w:semiHidden/>
    <w:unhideWhenUsed/>
    <w:rsid w:val="00CD1DBA"/>
    <w:rPr>
      <w:sz w:val="16"/>
      <w:szCs w:val="16"/>
    </w:rPr>
  </w:style>
  <w:style w:type="paragraph" w:styleId="CommentText">
    <w:name w:val="annotation text"/>
    <w:basedOn w:val="Normal"/>
    <w:link w:val="CommentTextChar"/>
    <w:uiPriority w:val="99"/>
    <w:semiHidden/>
    <w:unhideWhenUsed/>
    <w:rsid w:val="00CD1DBA"/>
    <w:rPr>
      <w:sz w:val="20"/>
      <w:szCs w:val="20"/>
    </w:rPr>
  </w:style>
  <w:style w:type="character" w:customStyle="1" w:styleId="CommentTextChar">
    <w:name w:val="Comment Text Char"/>
    <w:basedOn w:val="DefaultParagraphFont"/>
    <w:link w:val="CommentText"/>
    <w:uiPriority w:val="99"/>
    <w:semiHidden/>
    <w:rsid w:val="00CD1DB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1DBA"/>
    <w:rPr>
      <w:b/>
      <w:bCs/>
    </w:rPr>
  </w:style>
  <w:style w:type="character" w:customStyle="1" w:styleId="CommentSubjectChar">
    <w:name w:val="Comment Subject Char"/>
    <w:basedOn w:val="CommentTextChar"/>
    <w:link w:val="CommentSubject"/>
    <w:uiPriority w:val="99"/>
    <w:semiHidden/>
    <w:rsid w:val="00CD1DBA"/>
    <w:rPr>
      <w:b/>
      <w:bCs/>
    </w:rPr>
  </w:style>
</w:styles>
</file>

<file path=word/webSettings.xml><?xml version="1.0" encoding="utf-8"?>
<w:webSettings xmlns:r="http://schemas.openxmlformats.org/officeDocument/2006/relationships" xmlns:w="http://schemas.openxmlformats.org/wordprocessingml/2006/main">
  <w:divs>
    <w:div w:id="286086156">
      <w:bodyDiv w:val="1"/>
      <w:marLeft w:val="0"/>
      <w:marRight w:val="0"/>
      <w:marTop w:val="0"/>
      <w:marBottom w:val="0"/>
      <w:divBdr>
        <w:top w:val="none" w:sz="0" w:space="0" w:color="auto"/>
        <w:left w:val="none" w:sz="0" w:space="0" w:color="auto"/>
        <w:bottom w:val="none" w:sz="0" w:space="0" w:color="auto"/>
        <w:right w:val="none" w:sz="0" w:space="0" w:color="auto"/>
      </w:divBdr>
      <w:divsChild>
        <w:div w:id="120347041">
          <w:marLeft w:val="0"/>
          <w:marRight w:val="0"/>
          <w:marTop w:val="0"/>
          <w:marBottom w:val="0"/>
          <w:divBdr>
            <w:top w:val="none" w:sz="0" w:space="0" w:color="auto"/>
            <w:left w:val="none" w:sz="0" w:space="0" w:color="auto"/>
            <w:bottom w:val="none" w:sz="0" w:space="0" w:color="auto"/>
            <w:right w:val="none" w:sz="0" w:space="0" w:color="auto"/>
          </w:divBdr>
          <w:divsChild>
            <w:div w:id="11113894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25282146">
      <w:bodyDiv w:val="1"/>
      <w:marLeft w:val="0"/>
      <w:marRight w:val="0"/>
      <w:marTop w:val="0"/>
      <w:marBottom w:val="0"/>
      <w:divBdr>
        <w:top w:val="none" w:sz="0" w:space="0" w:color="auto"/>
        <w:left w:val="none" w:sz="0" w:space="0" w:color="auto"/>
        <w:bottom w:val="none" w:sz="0" w:space="0" w:color="auto"/>
        <w:right w:val="none" w:sz="0" w:space="0" w:color="auto"/>
      </w:divBdr>
      <w:divsChild>
        <w:div w:id="581372669">
          <w:marLeft w:val="0"/>
          <w:marRight w:val="0"/>
          <w:marTop w:val="0"/>
          <w:marBottom w:val="0"/>
          <w:divBdr>
            <w:top w:val="none" w:sz="0" w:space="0" w:color="auto"/>
            <w:left w:val="none" w:sz="0" w:space="0" w:color="auto"/>
            <w:bottom w:val="none" w:sz="0" w:space="0" w:color="auto"/>
            <w:right w:val="none" w:sz="0" w:space="0" w:color="auto"/>
          </w:divBdr>
          <w:divsChild>
            <w:div w:id="24080001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882141">
      <w:bodyDiv w:val="1"/>
      <w:marLeft w:val="0"/>
      <w:marRight w:val="0"/>
      <w:marTop w:val="0"/>
      <w:marBottom w:val="0"/>
      <w:divBdr>
        <w:top w:val="none" w:sz="0" w:space="0" w:color="auto"/>
        <w:left w:val="none" w:sz="0" w:space="0" w:color="auto"/>
        <w:bottom w:val="none" w:sz="0" w:space="0" w:color="auto"/>
        <w:right w:val="none" w:sz="0" w:space="0" w:color="auto"/>
      </w:divBdr>
    </w:div>
    <w:div w:id="15484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g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GA">
  <a:themeElements>
    <a:clrScheme name="TGA colours">
      <a:dk1>
        <a:srgbClr val="002C47"/>
      </a:dk1>
      <a:lt1>
        <a:srgbClr val="B3C960"/>
      </a:lt1>
      <a:dk2>
        <a:srgbClr val="4D2779"/>
      </a:dk2>
      <a:lt2>
        <a:srgbClr val="006DA7"/>
      </a:lt2>
      <a:accent1>
        <a:srgbClr val="25451C"/>
      </a:accent1>
      <a:accent2>
        <a:srgbClr val="50555C"/>
      </a:accent2>
      <a:accent3>
        <a:srgbClr val="002C47"/>
      </a:accent3>
      <a:accent4>
        <a:srgbClr val="B3C960"/>
      </a:accent4>
      <a:accent5>
        <a:srgbClr val="006DA7"/>
      </a:accent5>
      <a:accent6>
        <a:srgbClr val="006664"/>
      </a:accent6>
      <a:hlink>
        <a:srgbClr val="4D2779"/>
      </a:hlink>
      <a:folHlink>
        <a:srgbClr val="25451C"/>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4505-C62F-46EE-9208-EE766FD7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7840</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Dendrinos, Gerry</dc:creator>
  <cp:lastModifiedBy>Carter, Bless</cp:lastModifiedBy>
  <cp:revision>2</cp:revision>
  <cp:lastPrinted>2013-10-25T01:04:00Z</cp:lastPrinted>
  <dcterms:created xsi:type="dcterms:W3CDTF">2013-11-06T03:25:00Z</dcterms:created>
  <dcterms:modified xsi:type="dcterms:W3CDTF">2013-11-06T03:25:00Z</dcterms:modified>
</cp:coreProperties>
</file>