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52" w:rsidRPr="00821E2D" w:rsidRDefault="00E35552" w:rsidP="00E35552">
      <w:pPr>
        <w:spacing w:before="0"/>
        <w:ind w:right="91"/>
        <w:jc w:val="center"/>
        <w:rPr>
          <w:szCs w:val="24"/>
        </w:rPr>
      </w:pPr>
      <w:r w:rsidRPr="00821E2D">
        <w:rPr>
          <w:b/>
          <w:szCs w:val="24"/>
          <w:u w:val="single"/>
        </w:rPr>
        <w:t xml:space="preserve">EXPLANATORY </w:t>
      </w:r>
      <w:r w:rsidR="00225B2E">
        <w:rPr>
          <w:b/>
          <w:u w:val="single"/>
        </w:rPr>
        <w:t>STATEMENT</w:t>
      </w:r>
    </w:p>
    <w:p w:rsidR="00E35552" w:rsidRDefault="00E35552" w:rsidP="00E35552">
      <w:pPr>
        <w:spacing w:before="0"/>
        <w:ind w:right="91"/>
        <w:jc w:val="center"/>
        <w:rPr>
          <w:szCs w:val="24"/>
        </w:rPr>
      </w:pPr>
    </w:p>
    <w:p w:rsidR="00976029" w:rsidRPr="00976029" w:rsidRDefault="00976029" w:rsidP="00E35552">
      <w:pPr>
        <w:spacing w:before="0"/>
        <w:ind w:right="91"/>
        <w:jc w:val="center"/>
        <w:rPr>
          <w:b/>
          <w:szCs w:val="24"/>
          <w:u w:val="single"/>
        </w:rPr>
      </w:pPr>
      <w:r>
        <w:rPr>
          <w:b/>
          <w:szCs w:val="24"/>
          <w:u w:val="single"/>
        </w:rPr>
        <w:t>Select Legislative Instrument No. 237, 2013</w:t>
      </w:r>
    </w:p>
    <w:p w:rsidR="00E35552" w:rsidRPr="00821E2D" w:rsidRDefault="00E35552" w:rsidP="00E35552">
      <w:pPr>
        <w:spacing w:before="0"/>
        <w:ind w:right="91"/>
        <w:rPr>
          <w:szCs w:val="24"/>
        </w:rPr>
      </w:pPr>
    </w:p>
    <w:p w:rsidR="00E35552" w:rsidRPr="00821E2D" w:rsidRDefault="00E35552" w:rsidP="00E35552">
      <w:pPr>
        <w:spacing w:before="0"/>
        <w:ind w:left="1440" w:right="91" w:hanging="1440"/>
        <w:rPr>
          <w:i/>
          <w:szCs w:val="24"/>
        </w:rPr>
      </w:pPr>
      <w:r w:rsidRPr="00821E2D">
        <w:rPr>
          <w:szCs w:val="24"/>
        </w:rPr>
        <w:t>Subject -</w:t>
      </w:r>
      <w:r w:rsidRPr="00821E2D">
        <w:rPr>
          <w:szCs w:val="24"/>
        </w:rPr>
        <w:tab/>
      </w:r>
      <w:r w:rsidRPr="00821E2D">
        <w:rPr>
          <w:i/>
          <w:szCs w:val="24"/>
        </w:rPr>
        <w:t xml:space="preserve">International Organisations (Privileges and Immunities) Act </w:t>
      </w:r>
      <w:r w:rsidR="00D00747">
        <w:rPr>
          <w:i/>
          <w:szCs w:val="24"/>
        </w:rPr>
        <w:t>1963</w:t>
      </w:r>
    </w:p>
    <w:p w:rsidR="00E35552" w:rsidRPr="00821E2D" w:rsidRDefault="00E35552" w:rsidP="00E35552">
      <w:pPr>
        <w:spacing w:before="0"/>
        <w:ind w:right="91"/>
        <w:rPr>
          <w:szCs w:val="24"/>
        </w:rPr>
      </w:pPr>
    </w:p>
    <w:p w:rsidR="00E35552" w:rsidRPr="00821E2D" w:rsidRDefault="00E35552" w:rsidP="00E35552">
      <w:pPr>
        <w:spacing w:before="0"/>
        <w:ind w:left="1440" w:right="91"/>
        <w:rPr>
          <w:i/>
          <w:szCs w:val="24"/>
        </w:rPr>
      </w:pPr>
      <w:bookmarkStart w:id="0" w:name="_GoBack"/>
      <w:r w:rsidRPr="00821E2D">
        <w:rPr>
          <w:i/>
          <w:szCs w:val="24"/>
        </w:rPr>
        <w:t>International Organisations (Privileges and Immunities)</w:t>
      </w:r>
      <w:r w:rsidR="005F5F7D" w:rsidRPr="00821E2D">
        <w:rPr>
          <w:i/>
          <w:szCs w:val="24"/>
        </w:rPr>
        <w:t xml:space="preserve"> (International Committee of the Red Cross)</w:t>
      </w:r>
      <w:r w:rsidRPr="00821E2D">
        <w:rPr>
          <w:i/>
          <w:szCs w:val="24"/>
        </w:rPr>
        <w:t xml:space="preserve"> Regulation 2013</w:t>
      </w:r>
    </w:p>
    <w:bookmarkEnd w:id="0"/>
    <w:p w:rsidR="00E35552" w:rsidRPr="00821E2D" w:rsidRDefault="00E35552" w:rsidP="00E35552">
      <w:pPr>
        <w:spacing w:before="0"/>
        <w:ind w:right="91"/>
        <w:rPr>
          <w:szCs w:val="24"/>
        </w:rPr>
      </w:pPr>
    </w:p>
    <w:p w:rsidR="00E35552" w:rsidRPr="00821E2D" w:rsidRDefault="00E35552" w:rsidP="00E35552">
      <w:pPr>
        <w:spacing w:before="0"/>
        <w:ind w:right="91"/>
        <w:rPr>
          <w:szCs w:val="24"/>
        </w:rPr>
      </w:pPr>
      <w:r w:rsidRPr="00821E2D">
        <w:rPr>
          <w:szCs w:val="24"/>
        </w:rPr>
        <w:t xml:space="preserve">The </w:t>
      </w:r>
      <w:r w:rsidR="00D4399B" w:rsidRPr="00821E2D">
        <w:rPr>
          <w:i/>
          <w:szCs w:val="24"/>
        </w:rPr>
        <w:t>International Organisations (Privileges and Immunities) Amendment Act 2013</w:t>
      </w:r>
      <w:r w:rsidR="00225B2E">
        <w:rPr>
          <w:szCs w:val="24"/>
        </w:rPr>
        <w:t xml:space="preserve"> (the Amendment Act) amended</w:t>
      </w:r>
      <w:r w:rsidR="00D4399B" w:rsidRPr="00821E2D">
        <w:rPr>
          <w:szCs w:val="24"/>
        </w:rPr>
        <w:t xml:space="preserve"> the </w:t>
      </w:r>
      <w:r w:rsidR="00D4399B" w:rsidRPr="00821E2D">
        <w:rPr>
          <w:i/>
          <w:szCs w:val="24"/>
        </w:rPr>
        <w:t>International Organisations (Privileges and Immunities) Act 1963</w:t>
      </w:r>
      <w:r w:rsidR="00D4399B" w:rsidRPr="00821E2D">
        <w:rPr>
          <w:szCs w:val="24"/>
        </w:rPr>
        <w:t xml:space="preserve"> (the Act) to provide a legislative basis for the enactment of Regulations conferring privileges and immunities on</w:t>
      </w:r>
      <w:r w:rsidR="00FA1EB6">
        <w:rPr>
          <w:szCs w:val="24"/>
        </w:rPr>
        <w:t xml:space="preserve"> the International Committee of</w:t>
      </w:r>
      <w:r w:rsidR="00D4399B" w:rsidRPr="00821E2D">
        <w:rPr>
          <w:szCs w:val="24"/>
        </w:rPr>
        <w:t xml:space="preserve"> the Red Cross (</w:t>
      </w:r>
      <w:proofErr w:type="spellStart"/>
      <w:r w:rsidR="00D4399B" w:rsidRPr="00821E2D">
        <w:rPr>
          <w:szCs w:val="24"/>
        </w:rPr>
        <w:t>ICRC</w:t>
      </w:r>
      <w:proofErr w:type="spellEnd"/>
      <w:r w:rsidR="00D4399B" w:rsidRPr="00821E2D">
        <w:rPr>
          <w:szCs w:val="24"/>
        </w:rPr>
        <w:t>) and the International Criminal Court.</w:t>
      </w:r>
    </w:p>
    <w:p w:rsidR="00E35552" w:rsidRPr="00821E2D" w:rsidRDefault="00E35552" w:rsidP="00E35552">
      <w:pPr>
        <w:spacing w:before="0"/>
        <w:ind w:right="91"/>
        <w:rPr>
          <w:szCs w:val="24"/>
        </w:rPr>
      </w:pPr>
    </w:p>
    <w:p w:rsidR="00E35552" w:rsidRPr="00821E2D" w:rsidRDefault="00E35552" w:rsidP="00E35552">
      <w:pPr>
        <w:spacing w:before="0"/>
        <w:ind w:right="91"/>
        <w:rPr>
          <w:szCs w:val="24"/>
        </w:rPr>
      </w:pPr>
      <w:r w:rsidRPr="00821E2D">
        <w:rPr>
          <w:szCs w:val="24"/>
        </w:rPr>
        <w:t xml:space="preserve">Section </w:t>
      </w:r>
      <w:r w:rsidR="002323A6" w:rsidRPr="00821E2D">
        <w:rPr>
          <w:szCs w:val="24"/>
        </w:rPr>
        <w:t>13(1)</w:t>
      </w:r>
      <w:r w:rsidRPr="00821E2D">
        <w:rPr>
          <w:szCs w:val="24"/>
        </w:rPr>
        <w:t xml:space="preserve"> of the Act provides that the Governor</w:t>
      </w:r>
      <w:r w:rsidRPr="00821E2D">
        <w:rPr>
          <w:szCs w:val="24"/>
        </w:rPr>
        <w:noBreakHyphen/>
        <w:t>General may make regulations, not inconsistent with the Act, prescribing matters required or permitted by the Act to be prescribed, or necessary or convenient to be prescribed for carrying out or giving effect to the Act.</w:t>
      </w:r>
    </w:p>
    <w:p w:rsidR="00E35552" w:rsidRPr="00821E2D" w:rsidRDefault="00E35552" w:rsidP="00E35552">
      <w:pPr>
        <w:spacing w:before="0"/>
        <w:ind w:right="91"/>
        <w:rPr>
          <w:szCs w:val="24"/>
        </w:rPr>
      </w:pPr>
    </w:p>
    <w:p w:rsidR="00747F83" w:rsidRPr="00821E2D" w:rsidRDefault="00747F83" w:rsidP="00E35552">
      <w:pPr>
        <w:spacing w:before="0"/>
        <w:ind w:right="91"/>
        <w:rPr>
          <w:szCs w:val="24"/>
        </w:rPr>
      </w:pPr>
      <w:r w:rsidRPr="00821E2D">
        <w:rPr>
          <w:szCs w:val="24"/>
        </w:rPr>
        <w:t xml:space="preserve">Section 9D(1) of the Amendment Act provides that regulations may confer upon the </w:t>
      </w:r>
      <w:proofErr w:type="spellStart"/>
      <w:r w:rsidRPr="00821E2D">
        <w:rPr>
          <w:szCs w:val="24"/>
        </w:rPr>
        <w:t>ICRC</w:t>
      </w:r>
      <w:proofErr w:type="spellEnd"/>
      <w:r w:rsidRPr="00821E2D">
        <w:rPr>
          <w:szCs w:val="24"/>
        </w:rPr>
        <w:t xml:space="preserve"> and persons </w:t>
      </w:r>
      <w:r w:rsidR="00D00747">
        <w:rPr>
          <w:szCs w:val="24"/>
        </w:rPr>
        <w:t xml:space="preserve">referred to in the </w:t>
      </w:r>
      <w:r w:rsidR="00D00747" w:rsidRPr="00D00747">
        <w:rPr>
          <w:i/>
          <w:szCs w:val="24"/>
        </w:rPr>
        <w:t>Arrangement b</w:t>
      </w:r>
      <w:r w:rsidRPr="00D00747">
        <w:rPr>
          <w:i/>
          <w:szCs w:val="24"/>
        </w:rPr>
        <w:t xml:space="preserve">etween </w:t>
      </w:r>
      <w:r w:rsidR="00D00747" w:rsidRPr="00D00747">
        <w:rPr>
          <w:i/>
          <w:szCs w:val="24"/>
        </w:rPr>
        <w:t>t</w:t>
      </w:r>
      <w:r w:rsidRPr="00D00747">
        <w:rPr>
          <w:i/>
          <w:szCs w:val="24"/>
        </w:rPr>
        <w:t xml:space="preserve">he Government of Australia and </w:t>
      </w:r>
      <w:r w:rsidR="00D00747" w:rsidRPr="00D00747">
        <w:rPr>
          <w:i/>
          <w:szCs w:val="24"/>
        </w:rPr>
        <w:t>t</w:t>
      </w:r>
      <w:r w:rsidRPr="00D00747">
        <w:rPr>
          <w:i/>
          <w:szCs w:val="24"/>
        </w:rPr>
        <w:t>he Internatio</w:t>
      </w:r>
      <w:r w:rsidR="00D00747">
        <w:rPr>
          <w:i/>
          <w:szCs w:val="24"/>
        </w:rPr>
        <w:t>nal Committee of the Red Cross o</w:t>
      </w:r>
      <w:r w:rsidRPr="00D00747">
        <w:rPr>
          <w:i/>
          <w:szCs w:val="24"/>
        </w:rPr>
        <w:t>n a Regional Headquarters in Australia</w:t>
      </w:r>
      <w:r w:rsidRPr="00821E2D">
        <w:rPr>
          <w:szCs w:val="24"/>
        </w:rPr>
        <w:t xml:space="preserve">, done at Canberra on 24 November 2005 (the </w:t>
      </w:r>
      <w:proofErr w:type="spellStart"/>
      <w:r w:rsidRPr="00821E2D">
        <w:rPr>
          <w:szCs w:val="24"/>
        </w:rPr>
        <w:t>ICRC</w:t>
      </w:r>
      <w:proofErr w:type="spellEnd"/>
      <w:r w:rsidRPr="00821E2D">
        <w:rPr>
          <w:szCs w:val="24"/>
        </w:rPr>
        <w:t xml:space="preserve"> Arrangement) such privileges and immunities as are required to give effect to that Arrangement.</w:t>
      </w:r>
    </w:p>
    <w:p w:rsidR="00D00747" w:rsidRPr="00821E2D" w:rsidRDefault="00D00747" w:rsidP="00E35552">
      <w:pPr>
        <w:spacing w:before="0"/>
        <w:ind w:right="91"/>
        <w:rPr>
          <w:szCs w:val="24"/>
        </w:rPr>
      </w:pPr>
    </w:p>
    <w:p w:rsidR="00747F83" w:rsidRPr="00821E2D" w:rsidRDefault="00747F83" w:rsidP="00E35552">
      <w:pPr>
        <w:spacing w:before="0"/>
        <w:ind w:right="91"/>
        <w:rPr>
          <w:szCs w:val="24"/>
        </w:rPr>
      </w:pPr>
      <w:r w:rsidRPr="00821E2D">
        <w:rPr>
          <w:szCs w:val="24"/>
        </w:rPr>
        <w:t xml:space="preserve">Section 9D(2) of the Amendment Act provides that regulations may confer upon the </w:t>
      </w:r>
      <w:proofErr w:type="spellStart"/>
      <w:r w:rsidRPr="00821E2D">
        <w:rPr>
          <w:szCs w:val="24"/>
        </w:rPr>
        <w:t>ICRC</w:t>
      </w:r>
      <w:proofErr w:type="spellEnd"/>
      <w:r w:rsidRPr="00821E2D">
        <w:rPr>
          <w:szCs w:val="24"/>
        </w:rPr>
        <w:t xml:space="preserve"> </w:t>
      </w:r>
      <w:r w:rsidR="00D00747">
        <w:rPr>
          <w:szCs w:val="24"/>
        </w:rPr>
        <w:t>in Australia legal status</w:t>
      </w:r>
      <w:r w:rsidRPr="00821E2D">
        <w:rPr>
          <w:szCs w:val="24"/>
        </w:rPr>
        <w:t xml:space="preserve"> and such legal capacities as are necessary for the exercise of its powers and the performance of its functions.</w:t>
      </w:r>
    </w:p>
    <w:p w:rsidR="00747F83" w:rsidRPr="00821E2D" w:rsidRDefault="00747F83" w:rsidP="00E35552">
      <w:pPr>
        <w:spacing w:before="0"/>
        <w:ind w:right="91"/>
        <w:rPr>
          <w:szCs w:val="24"/>
        </w:rPr>
      </w:pPr>
    </w:p>
    <w:p w:rsidR="00747F83" w:rsidRPr="00821E2D" w:rsidRDefault="00E35552" w:rsidP="00747F83">
      <w:pPr>
        <w:spacing w:before="0"/>
        <w:ind w:right="91"/>
        <w:rPr>
          <w:szCs w:val="24"/>
        </w:rPr>
      </w:pPr>
      <w:r w:rsidRPr="00821E2D">
        <w:rPr>
          <w:szCs w:val="24"/>
        </w:rPr>
        <w:t>The</w:t>
      </w:r>
      <w:r w:rsidR="0035736E">
        <w:rPr>
          <w:szCs w:val="24"/>
        </w:rPr>
        <w:t xml:space="preserve"> effect</w:t>
      </w:r>
      <w:r w:rsidR="00747F83" w:rsidRPr="00821E2D">
        <w:rPr>
          <w:szCs w:val="24"/>
        </w:rPr>
        <w:t xml:space="preserve"> of the </w:t>
      </w:r>
      <w:r w:rsidRPr="00821E2D">
        <w:rPr>
          <w:szCs w:val="24"/>
        </w:rPr>
        <w:t xml:space="preserve">Regulation is to </w:t>
      </w:r>
      <w:r w:rsidR="00747F83" w:rsidRPr="00821E2D">
        <w:rPr>
          <w:szCs w:val="24"/>
        </w:rPr>
        <w:t xml:space="preserve">confer such privileges and immunities on the </w:t>
      </w:r>
      <w:proofErr w:type="spellStart"/>
      <w:r w:rsidR="00747F83" w:rsidRPr="00821E2D">
        <w:rPr>
          <w:szCs w:val="24"/>
        </w:rPr>
        <w:t>ICRC</w:t>
      </w:r>
      <w:proofErr w:type="spellEnd"/>
      <w:r w:rsidR="00747F83" w:rsidRPr="00821E2D">
        <w:rPr>
          <w:szCs w:val="24"/>
        </w:rPr>
        <w:t xml:space="preserve"> as are required to give effect to the </w:t>
      </w:r>
      <w:proofErr w:type="spellStart"/>
      <w:r w:rsidR="00747F83" w:rsidRPr="00821E2D">
        <w:rPr>
          <w:szCs w:val="24"/>
        </w:rPr>
        <w:t>ICRC</w:t>
      </w:r>
      <w:proofErr w:type="spellEnd"/>
      <w:r w:rsidR="00747F83" w:rsidRPr="00821E2D">
        <w:rPr>
          <w:szCs w:val="24"/>
        </w:rPr>
        <w:t xml:space="preserve"> Arrangement and to confer upon the </w:t>
      </w:r>
      <w:proofErr w:type="spellStart"/>
      <w:r w:rsidR="00747F83" w:rsidRPr="00821E2D">
        <w:rPr>
          <w:szCs w:val="24"/>
        </w:rPr>
        <w:t>ICRC</w:t>
      </w:r>
      <w:proofErr w:type="spellEnd"/>
      <w:r w:rsidR="00747F83" w:rsidRPr="00821E2D">
        <w:rPr>
          <w:szCs w:val="24"/>
        </w:rPr>
        <w:t xml:space="preserve"> </w:t>
      </w:r>
      <w:r w:rsidR="00D00747">
        <w:rPr>
          <w:szCs w:val="24"/>
        </w:rPr>
        <w:t>in Australia legal status</w:t>
      </w:r>
      <w:r w:rsidR="00747F83" w:rsidRPr="00821E2D">
        <w:rPr>
          <w:szCs w:val="24"/>
        </w:rPr>
        <w:t xml:space="preserve"> and such legal capacities as are necessary for the exercise of its powers and the performance of its functions.</w:t>
      </w:r>
    </w:p>
    <w:p w:rsidR="00747F83" w:rsidRPr="00821E2D" w:rsidRDefault="00747F83" w:rsidP="00747F83">
      <w:pPr>
        <w:spacing w:before="0"/>
        <w:ind w:right="91"/>
        <w:rPr>
          <w:szCs w:val="24"/>
        </w:rPr>
      </w:pPr>
    </w:p>
    <w:p w:rsidR="00E35552" w:rsidRPr="00821E2D" w:rsidRDefault="00E35552" w:rsidP="00E35552">
      <w:pPr>
        <w:spacing w:before="0"/>
        <w:ind w:right="91"/>
        <w:rPr>
          <w:szCs w:val="24"/>
        </w:rPr>
      </w:pPr>
      <w:r w:rsidRPr="00821E2D">
        <w:rPr>
          <w:szCs w:val="24"/>
        </w:rPr>
        <w:t xml:space="preserve">The </w:t>
      </w:r>
      <w:r w:rsidR="00225B2E">
        <w:rPr>
          <w:szCs w:val="24"/>
        </w:rPr>
        <w:t xml:space="preserve">Regulation </w:t>
      </w:r>
      <w:r w:rsidR="00C7651D" w:rsidRPr="00821E2D">
        <w:rPr>
          <w:szCs w:val="24"/>
        </w:rPr>
        <w:t>provide</w:t>
      </w:r>
      <w:r w:rsidR="00225B2E">
        <w:rPr>
          <w:szCs w:val="24"/>
        </w:rPr>
        <w:t>s</w:t>
      </w:r>
      <w:r w:rsidRPr="00821E2D">
        <w:rPr>
          <w:szCs w:val="24"/>
        </w:rPr>
        <w:t xml:space="preserve"> that:</w:t>
      </w:r>
    </w:p>
    <w:p w:rsidR="00E35552" w:rsidRPr="00821E2D" w:rsidRDefault="00747F83" w:rsidP="00DF252E">
      <w:pPr>
        <w:pStyle w:val="HB-dotpoint"/>
        <w:tabs>
          <w:tab w:val="clear" w:pos="720"/>
          <w:tab w:val="num" w:pos="5760"/>
          <w:tab w:val="left" w:pos="6804"/>
        </w:tabs>
        <w:spacing w:before="120"/>
        <w:ind w:left="568" w:hanging="284"/>
        <w:rPr>
          <w:szCs w:val="24"/>
        </w:rPr>
      </w:pPr>
      <w:r w:rsidRPr="00821E2D">
        <w:rPr>
          <w:szCs w:val="24"/>
        </w:rPr>
        <w:t xml:space="preserve">the </w:t>
      </w:r>
      <w:proofErr w:type="spellStart"/>
      <w:r w:rsidRPr="00821E2D">
        <w:rPr>
          <w:szCs w:val="24"/>
        </w:rPr>
        <w:t>ICRC’s</w:t>
      </w:r>
      <w:proofErr w:type="spellEnd"/>
      <w:r w:rsidRPr="00821E2D">
        <w:rPr>
          <w:szCs w:val="24"/>
        </w:rPr>
        <w:t xml:space="preserve"> premises, archives and documents are inviolable</w:t>
      </w:r>
      <w:r w:rsidR="00E35552" w:rsidRPr="00821E2D">
        <w:rPr>
          <w:szCs w:val="24"/>
        </w:rPr>
        <w:t>;</w:t>
      </w:r>
    </w:p>
    <w:p w:rsidR="00E35552" w:rsidRPr="00821E2D" w:rsidRDefault="00251D73" w:rsidP="00C13FF5">
      <w:pPr>
        <w:pStyle w:val="HB-dotpoint"/>
        <w:tabs>
          <w:tab w:val="clear" w:pos="720"/>
          <w:tab w:val="num" w:pos="5760"/>
          <w:tab w:val="left" w:pos="6804"/>
        </w:tabs>
        <w:spacing w:before="0"/>
        <w:ind w:left="568" w:hanging="284"/>
        <w:rPr>
          <w:szCs w:val="24"/>
        </w:rPr>
      </w:pPr>
      <w:r w:rsidRPr="00821E2D">
        <w:rPr>
          <w:szCs w:val="24"/>
        </w:rPr>
        <w:t xml:space="preserve">the </w:t>
      </w:r>
      <w:proofErr w:type="spellStart"/>
      <w:r w:rsidRPr="00821E2D">
        <w:rPr>
          <w:szCs w:val="24"/>
        </w:rPr>
        <w:t>ICRC</w:t>
      </w:r>
      <w:proofErr w:type="spellEnd"/>
      <w:r w:rsidRPr="00821E2D">
        <w:rPr>
          <w:szCs w:val="24"/>
        </w:rPr>
        <w:t xml:space="preserve"> and its property and assets have immunity from any kind of legal process</w:t>
      </w:r>
      <w:r w:rsidR="00D00747">
        <w:rPr>
          <w:szCs w:val="24"/>
        </w:rPr>
        <w:t>, such as actions for breach of contract</w:t>
      </w:r>
      <w:r w:rsidRPr="00821E2D">
        <w:rPr>
          <w:szCs w:val="24"/>
        </w:rPr>
        <w:t>, other than certain specified suits or legal processes</w:t>
      </w:r>
      <w:r w:rsidR="00E35552" w:rsidRPr="00821E2D">
        <w:rPr>
          <w:szCs w:val="24"/>
        </w:rPr>
        <w:t>;</w:t>
      </w:r>
    </w:p>
    <w:p w:rsidR="00E35552" w:rsidRPr="00821E2D" w:rsidRDefault="00E35552" w:rsidP="00C13FF5">
      <w:pPr>
        <w:pStyle w:val="HB-dotpoint"/>
        <w:tabs>
          <w:tab w:val="clear" w:pos="720"/>
          <w:tab w:val="num" w:pos="5040"/>
          <w:tab w:val="left" w:pos="6804"/>
        </w:tabs>
        <w:spacing w:before="0"/>
        <w:ind w:left="568" w:hanging="284"/>
        <w:rPr>
          <w:szCs w:val="24"/>
        </w:rPr>
      </w:pPr>
      <w:r w:rsidRPr="00821E2D">
        <w:rPr>
          <w:szCs w:val="24"/>
        </w:rPr>
        <w:t xml:space="preserve">the </w:t>
      </w:r>
      <w:r w:rsidR="00251D73" w:rsidRPr="00821E2D">
        <w:rPr>
          <w:szCs w:val="24"/>
        </w:rPr>
        <w:t xml:space="preserve">property and assets of the </w:t>
      </w:r>
      <w:proofErr w:type="spellStart"/>
      <w:r w:rsidR="00251D73" w:rsidRPr="00821E2D">
        <w:rPr>
          <w:szCs w:val="24"/>
        </w:rPr>
        <w:t>ICRC</w:t>
      </w:r>
      <w:proofErr w:type="spellEnd"/>
      <w:r w:rsidR="00251D73" w:rsidRPr="00821E2D">
        <w:rPr>
          <w:szCs w:val="24"/>
        </w:rPr>
        <w:t xml:space="preserve"> have immunity from </w:t>
      </w:r>
      <w:r w:rsidR="00163C35" w:rsidRPr="00163C35">
        <w:rPr>
          <w:szCs w:val="24"/>
        </w:rPr>
        <w:t>search, seizure, requisition, confiscation, expropriation and any other form of interference</w:t>
      </w:r>
      <w:r w:rsidR="00251D73" w:rsidRPr="00821E2D">
        <w:rPr>
          <w:szCs w:val="24"/>
        </w:rPr>
        <w:t xml:space="preserve">; </w:t>
      </w:r>
    </w:p>
    <w:p w:rsidR="00E35552" w:rsidRPr="00821E2D" w:rsidRDefault="00251D73" w:rsidP="00C13FF5">
      <w:pPr>
        <w:pStyle w:val="HB-dotpoint"/>
        <w:tabs>
          <w:tab w:val="clear" w:pos="720"/>
          <w:tab w:val="num" w:pos="5040"/>
          <w:tab w:val="left" w:pos="6804"/>
        </w:tabs>
        <w:spacing w:before="0"/>
        <w:ind w:left="568" w:hanging="284"/>
        <w:rPr>
          <w:szCs w:val="24"/>
        </w:rPr>
      </w:pPr>
      <w:r w:rsidRPr="00821E2D">
        <w:rPr>
          <w:szCs w:val="24"/>
        </w:rPr>
        <w:t xml:space="preserve">the </w:t>
      </w:r>
      <w:proofErr w:type="spellStart"/>
      <w:r w:rsidRPr="00821E2D">
        <w:rPr>
          <w:szCs w:val="24"/>
        </w:rPr>
        <w:t>ICRC</w:t>
      </w:r>
      <w:proofErr w:type="spellEnd"/>
      <w:r w:rsidRPr="00821E2D">
        <w:rPr>
          <w:szCs w:val="24"/>
        </w:rPr>
        <w:t xml:space="preserve"> is exempt from customs duties and indirect tax</w:t>
      </w:r>
      <w:r w:rsidR="00524B29">
        <w:rPr>
          <w:szCs w:val="24"/>
        </w:rPr>
        <w:t xml:space="preserve"> on imports and exports of certain articles</w:t>
      </w:r>
      <w:r w:rsidR="00D00747">
        <w:rPr>
          <w:szCs w:val="24"/>
        </w:rPr>
        <w:t xml:space="preserve">, such as </w:t>
      </w:r>
      <w:proofErr w:type="spellStart"/>
      <w:r w:rsidR="00D00747" w:rsidRPr="00D00747">
        <w:rPr>
          <w:szCs w:val="24"/>
        </w:rPr>
        <w:t>ICRC</w:t>
      </w:r>
      <w:proofErr w:type="spellEnd"/>
      <w:r w:rsidR="00D00747" w:rsidRPr="00D00747">
        <w:rPr>
          <w:szCs w:val="24"/>
        </w:rPr>
        <w:t xml:space="preserve"> publications and audio-visual materials and articles intended for </w:t>
      </w:r>
      <w:proofErr w:type="spellStart"/>
      <w:r w:rsidR="00D00747" w:rsidRPr="00D00747">
        <w:rPr>
          <w:szCs w:val="24"/>
        </w:rPr>
        <w:t>ICRC</w:t>
      </w:r>
      <w:proofErr w:type="spellEnd"/>
      <w:r w:rsidR="00D00747" w:rsidRPr="00D00747">
        <w:rPr>
          <w:szCs w:val="24"/>
        </w:rPr>
        <w:t xml:space="preserve"> assistance programmes within Australia or another country</w:t>
      </w:r>
      <w:r w:rsidR="00C7651D" w:rsidRPr="00821E2D">
        <w:rPr>
          <w:szCs w:val="24"/>
        </w:rPr>
        <w:t>;</w:t>
      </w:r>
    </w:p>
    <w:p w:rsidR="004324F8" w:rsidRPr="00821E2D" w:rsidRDefault="004324F8" w:rsidP="00C13FF5">
      <w:pPr>
        <w:pStyle w:val="HB-dotpoint"/>
        <w:tabs>
          <w:tab w:val="clear" w:pos="720"/>
          <w:tab w:val="num" w:pos="4320"/>
          <w:tab w:val="left" w:pos="6804"/>
        </w:tabs>
        <w:spacing w:before="0"/>
        <w:ind w:left="568" w:hanging="284"/>
        <w:rPr>
          <w:szCs w:val="24"/>
        </w:rPr>
      </w:pPr>
      <w:r w:rsidRPr="00821E2D">
        <w:rPr>
          <w:szCs w:val="24"/>
        </w:rPr>
        <w:t xml:space="preserve">the </w:t>
      </w:r>
      <w:proofErr w:type="spellStart"/>
      <w:r w:rsidRPr="00821E2D">
        <w:rPr>
          <w:szCs w:val="24"/>
        </w:rPr>
        <w:t>ICRC</w:t>
      </w:r>
      <w:proofErr w:type="spellEnd"/>
      <w:r w:rsidRPr="00821E2D">
        <w:rPr>
          <w:szCs w:val="24"/>
        </w:rPr>
        <w:t xml:space="preserve"> is entitled</w:t>
      </w:r>
      <w:r w:rsidR="00524B29">
        <w:rPr>
          <w:szCs w:val="24"/>
        </w:rPr>
        <w:t xml:space="preserve"> to refund of indirect tax paid</w:t>
      </w:r>
      <w:r w:rsidRPr="00821E2D">
        <w:rPr>
          <w:szCs w:val="24"/>
        </w:rPr>
        <w:t xml:space="preserve"> in relation to official </w:t>
      </w:r>
      <w:r w:rsidR="00524B29">
        <w:rPr>
          <w:szCs w:val="24"/>
        </w:rPr>
        <w:t>mail and tele</w:t>
      </w:r>
      <w:r w:rsidRPr="00821E2D">
        <w:rPr>
          <w:szCs w:val="24"/>
        </w:rPr>
        <w:t xml:space="preserve">communications </w:t>
      </w:r>
      <w:r w:rsidR="00524B29">
        <w:rPr>
          <w:szCs w:val="24"/>
        </w:rPr>
        <w:t>services</w:t>
      </w:r>
      <w:r w:rsidRPr="00821E2D">
        <w:rPr>
          <w:szCs w:val="24"/>
        </w:rPr>
        <w:t xml:space="preserve"> under specified conditions</w:t>
      </w:r>
      <w:r w:rsidR="00666CBB">
        <w:rPr>
          <w:szCs w:val="24"/>
        </w:rPr>
        <w:t>, including that the claim for payment is in the approved form</w:t>
      </w:r>
      <w:r w:rsidRPr="00821E2D">
        <w:rPr>
          <w:szCs w:val="24"/>
        </w:rPr>
        <w:t>;</w:t>
      </w:r>
    </w:p>
    <w:p w:rsidR="00C7651D" w:rsidRPr="00821E2D" w:rsidRDefault="00C7651D" w:rsidP="00C13FF5">
      <w:pPr>
        <w:pStyle w:val="HB-dotpoint"/>
        <w:tabs>
          <w:tab w:val="clear" w:pos="720"/>
          <w:tab w:val="num" w:pos="5040"/>
          <w:tab w:val="left" w:pos="6804"/>
        </w:tabs>
        <w:spacing w:before="0"/>
        <w:ind w:left="568" w:hanging="284"/>
        <w:rPr>
          <w:szCs w:val="24"/>
        </w:rPr>
      </w:pPr>
      <w:r w:rsidRPr="00821E2D">
        <w:rPr>
          <w:szCs w:val="24"/>
        </w:rPr>
        <w:lastRenderedPageBreak/>
        <w:t xml:space="preserve">the </w:t>
      </w:r>
      <w:proofErr w:type="spellStart"/>
      <w:r w:rsidRPr="00821E2D">
        <w:rPr>
          <w:szCs w:val="24"/>
        </w:rPr>
        <w:t>ICRC</w:t>
      </w:r>
      <w:proofErr w:type="spellEnd"/>
      <w:r w:rsidRPr="00821E2D">
        <w:rPr>
          <w:szCs w:val="24"/>
        </w:rPr>
        <w:t xml:space="preserve"> has certain privileges and immunities with respect to its official communications and correspondence</w:t>
      </w:r>
      <w:r w:rsidR="00666CBB">
        <w:rPr>
          <w:szCs w:val="24"/>
        </w:rPr>
        <w:t>, including that the confidentiality of official communications and correspondence must be respected and official communications and correspondence must not be censored</w:t>
      </w:r>
      <w:r w:rsidRPr="00821E2D">
        <w:rPr>
          <w:szCs w:val="24"/>
        </w:rPr>
        <w:t>;</w:t>
      </w:r>
    </w:p>
    <w:p w:rsidR="00C7651D" w:rsidRPr="00821E2D" w:rsidRDefault="00524B29" w:rsidP="00C13FF5">
      <w:pPr>
        <w:pStyle w:val="HB-dotpoint"/>
        <w:tabs>
          <w:tab w:val="clear" w:pos="720"/>
          <w:tab w:val="num" w:pos="5760"/>
          <w:tab w:val="left" w:pos="6804"/>
        </w:tabs>
        <w:spacing w:before="0"/>
        <w:ind w:left="568" w:hanging="284"/>
        <w:rPr>
          <w:szCs w:val="24"/>
        </w:rPr>
      </w:pPr>
      <w:r>
        <w:rPr>
          <w:szCs w:val="24"/>
        </w:rPr>
        <w:t>d</w:t>
      </w:r>
      <w:r w:rsidR="00C7651D" w:rsidRPr="00821E2D">
        <w:rPr>
          <w:szCs w:val="24"/>
        </w:rPr>
        <w:t>elegate</w:t>
      </w:r>
      <w:r>
        <w:rPr>
          <w:szCs w:val="24"/>
        </w:rPr>
        <w:t>s</w:t>
      </w:r>
      <w:r w:rsidR="00C7651D" w:rsidRPr="00821E2D">
        <w:rPr>
          <w:szCs w:val="24"/>
        </w:rPr>
        <w:t xml:space="preserve"> of the </w:t>
      </w:r>
      <w:proofErr w:type="spellStart"/>
      <w:r w:rsidR="00C7651D" w:rsidRPr="00821E2D">
        <w:rPr>
          <w:szCs w:val="24"/>
        </w:rPr>
        <w:t>ICRC</w:t>
      </w:r>
      <w:proofErr w:type="spellEnd"/>
      <w:r w:rsidR="00C7651D" w:rsidRPr="00821E2D">
        <w:rPr>
          <w:szCs w:val="24"/>
        </w:rPr>
        <w:t xml:space="preserve"> </w:t>
      </w:r>
      <w:r w:rsidR="00D7021C" w:rsidRPr="00821E2D">
        <w:rPr>
          <w:szCs w:val="24"/>
        </w:rPr>
        <w:t xml:space="preserve">in Australia and representatives of the </w:t>
      </w:r>
      <w:proofErr w:type="spellStart"/>
      <w:r w:rsidR="00D7021C" w:rsidRPr="00821E2D">
        <w:rPr>
          <w:szCs w:val="24"/>
        </w:rPr>
        <w:t>ICRC</w:t>
      </w:r>
      <w:proofErr w:type="spellEnd"/>
      <w:r w:rsidR="00D7021C" w:rsidRPr="00821E2D">
        <w:rPr>
          <w:szCs w:val="24"/>
        </w:rPr>
        <w:t xml:space="preserve"> on temporary mission in Australia </w:t>
      </w:r>
      <w:r w:rsidR="00C7651D" w:rsidRPr="00821E2D">
        <w:rPr>
          <w:szCs w:val="24"/>
        </w:rPr>
        <w:t>ha</w:t>
      </w:r>
      <w:r w:rsidR="00D7021C" w:rsidRPr="00821E2D">
        <w:rPr>
          <w:szCs w:val="24"/>
        </w:rPr>
        <w:t>ve</w:t>
      </w:r>
      <w:r w:rsidR="00C7651D" w:rsidRPr="00821E2D">
        <w:rPr>
          <w:szCs w:val="24"/>
        </w:rPr>
        <w:t xml:space="preserve"> immunity from suit and other legal process (including being called as a witness)</w:t>
      </w:r>
      <w:r w:rsidR="009D5CDD" w:rsidRPr="00821E2D">
        <w:rPr>
          <w:szCs w:val="24"/>
        </w:rPr>
        <w:t>,</w:t>
      </w:r>
      <w:r w:rsidR="00D7021C" w:rsidRPr="00821E2D">
        <w:rPr>
          <w:szCs w:val="24"/>
        </w:rPr>
        <w:t xml:space="preserve"> certain repatriation facilities in a time of international crisis</w:t>
      </w:r>
      <w:r w:rsidR="009D5CDD" w:rsidRPr="00821E2D">
        <w:rPr>
          <w:szCs w:val="24"/>
        </w:rPr>
        <w:t xml:space="preserve"> and</w:t>
      </w:r>
      <w:r w:rsidR="00D7021C" w:rsidRPr="00821E2D">
        <w:rPr>
          <w:szCs w:val="24"/>
        </w:rPr>
        <w:t xml:space="preserve"> </w:t>
      </w:r>
      <w:r w:rsidR="0010022A">
        <w:rPr>
          <w:szCs w:val="24"/>
        </w:rPr>
        <w:t>certain privileges in relation to exchange facilities</w:t>
      </w:r>
      <w:r w:rsidR="00D7021C" w:rsidRPr="00821E2D">
        <w:rPr>
          <w:szCs w:val="24"/>
        </w:rPr>
        <w:t>;</w:t>
      </w:r>
    </w:p>
    <w:p w:rsidR="00D7021C" w:rsidRPr="00821E2D" w:rsidRDefault="00524B29" w:rsidP="00C13FF5">
      <w:pPr>
        <w:pStyle w:val="HB-dotpoint"/>
        <w:tabs>
          <w:tab w:val="clear" w:pos="720"/>
          <w:tab w:val="num" w:pos="5760"/>
          <w:tab w:val="left" w:pos="6804"/>
        </w:tabs>
        <w:spacing w:before="0"/>
        <w:ind w:left="568" w:hanging="284"/>
        <w:rPr>
          <w:szCs w:val="24"/>
        </w:rPr>
      </w:pPr>
      <w:r>
        <w:rPr>
          <w:szCs w:val="24"/>
        </w:rPr>
        <w:t>d</w:t>
      </w:r>
      <w:r w:rsidR="00D7021C" w:rsidRPr="00821E2D">
        <w:rPr>
          <w:szCs w:val="24"/>
        </w:rPr>
        <w:t>elegate</w:t>
      </w:r>
      <w:r>
        <w:rPr>
          <w:szCs w:val="24"/>
        </w:rPr>
        <w:t>s</w:t>
      </w:r>
      <w:r w:rsidR="00D7021C" w:rsidRPr="00821E2D">
        <w:rPr>
          <w:szCs w:val="24"/>
        </w:rPr>
        <w:t xml:space="preserve"> of the </w:t>
      </w:r>
      <w:proofErr w:type="spellStart"/>
      <w:r w:rsidR="00D7021C" w:rsidRPr="00821E2D">
        <w:rPr>
          <w:szCs w:val="24"/>
        </w:rPr>
        <w:t>ICRC</w:t>
      </w:r>
      <w:proofErr w:type="spellEnd"/>
      <w:r w:rsidR="00D7021C" w:rsidRPr="00821E2D">
        <w:rPr>
          <w:szCs w:val="24"/>
        </w:rPr>
        <w:t xml:space="preserve"> in Australia, representatives of the </w:t>
      </w:r>
      <w:proofErr w:type="spellStart"/>
      <w:r w:rsidR="00D7021C" w:rsidRPr="00821E2D">
        <w:rPr>
          <w:szCs w:val="24"/>
        </w:rPr>
        <w:t>ICRC</w:t>
      </w:r>
      <w:proofErr w:type="spellEnd"/>
      <w:r w:rsidR="00D7021C" w:rsidRPr="00821E2D">
        <w:rPr>
          <w:szCs w:val="24"/>
        </w:rPr>
        <w:t xml:space="preserve"> on temporary mission in Australia, and members of their families, have immunity from </w:t>
      </w:r>
      <w:r>
        <w:rPr>
          <w:szCs w:val="24"/>
        </w:rPr>
        <w:t xml:space="preserve">any </w:t>
      </w:r>
      <w:r w:rsidR="00D7021C" w:rsidRPr="00821E2D">
        <w:rPr>
          <w:szCs w:val="24"/>
        </w:rPr>
        <w:t xml:space="preserve">national service obligations if they are not Australian citizens or permanent residents of Australia and have </w:t>
      </w:r>
      <w:r w:rsidR="009D5CDD" w:rsidRPr="00821E2D">
        <w:rPr>
          <w:szCs w:val="24"/>
        </w:rPr>
        <w:t xml:space="preserve">certain </w:t>
      </w:r>
      <w:r w:rsidR="00D7021C" w:rsidRPr="00821E2D">
        <w:rPr>
          <w:szCs w:val="24"/>
        </w:rPr>
        <w:t>entitlement</w:t>
      </w:r>
      <w:r w:rsidR="009D5CDD" w:rsidRPr="00821E2D">
        <w:rPr>
          <w:szCs w:val="24"/>
        </w:rPr>
        <w:t>s</w:t>
      </w:r>
      <w:r w:rsidR="00D7021C" w:rsidRPr="00821E2D">
        <w:rPr>
          <w:szCs w:val="24"/>
        </w:rPr>
        <w:t xml:space="preserve"> to deferment of national service if they are Australian citizens or permanent residents of Australia</w:t>
      </w:r>
      <w:r w:rsidR="009D5CDD" w:rsidRPr="00821E2D">
        <w:rPr>
          <w:szCs w:val="24"/>
        </w:rPr>
        <w:t>;</w:t>
      </w:r>
    </w:p>
    <w:p w:rsidR="009D5CDD" w:rsidRPr="00821E2D" w:rsidRDefault="00524B29" w:rsidP="00C13FF5">
      <w:pPr>
        <w:pStyle w:val="HB-dotpoint"/>
        <w:tabs>
          <w:tab w:val="clear" w:pos="720"/>
          <w:tab w:val="num" w:pos="5040"/>
          <w:tab w:val="left" w:pos="6804"/>
        </w:tabs>
        <w:spacing w:before="0"/>
        <w:ind w:left="568" w:hanging="284"/>
        <w:rPr>
          <w:szCs w:val="24"/>
        </w:rPr>
      </w:pPr>
      <w:r>
        <w:rPr>
          <w:szCs w:val="24"/>
        </w:rPr>
        <w:t>d</w:t>
      </w:r>
      <w:r w:rsidRPr="00821E2D">
        <w:rPr>
          <w:szCs w:val="24"/>
        </w:rPr>
        <w:t>elegate</w:t>
      </w:r>
      <w:r>
        <w:rPr>
          <w:szCs w:val="24"/>
        </w:rPr>
        <w:t>s</w:t>
      </w:r>
      <w:r w:rsidRPr="00821E2D">
        <w:rPr>
          <w:szCs w:val="24"/>
        </w:rPr>
        <w:t xml:space="preserve"> </w:t>
      </w:r>
      <w:r>
        <w:rPr>
          <w:szCs w:val="24"/>
        </w:rPr>
        <w:t xml:space="preserve">of the </w:t>
      </w:r>
      <w:proofErr w:type="spellStart"/>
      <w:r>
        <w:rPr>
          <w:szCs w:val="24"/>
        </w:rPr>
        <w:t>ICRC</w:t>
      </w:r>
      <w:proofErr w:type="spellEnd"/>
      <w:r>
        <w:rPr>
          <w:szCs w:val="24"/>
        </w:rPr>
        <w:t xml:space="preserve"> in Australia have</w:t>
      </w:r>
      <w:r w:rsidR="009D5CDD" w:rsidRPr="00821E2D">
        <w:rPr>
          <w:szCs w:val="24"/>
        </w:rPr>
        <w:t xml:space="preserve"> certain rights to import and export personal effects duty free and, unless an Australian citizen or permanent resident of Australia employed by the </w:t>
      </w:r>
      <w:proofErr w:type="spellStart"/>
      <w:r w:rsidR="009D5CDD" w:rsidRPr="00821E2D">
        <w:rPr>
          <w:szCs w:val="24"/>
        </w:rPr>
        <w:t>ICRC</w:t>
      </w:r>
      <w:proofErr w:type="spellEnd"/>
      <w:r w:rsidR="009D5CDD" w:rsidRPr="00821E2D">
        <w:rPr>
          <w:szCs w:val="24"/>
        </w:rPr>
        <w:t xml:space="preserve"> in Australia, immunity from taxation on salaries, fees and allowances received from the </w:t>
      </w:r>
      <w:proofErr w:type="spellStart"/>
      <w:r w:rsidR="009D5CDD" w:rsidRPr="00821E2D">
        <w:rPr>
          <w:szCs w:val="24"/>
        </w:rPr>
        <w:t>ICRC</w:t>
      </w:r>
      <w:proofErr w:type="spellEnd"/>
      <w:r w:rsidR="009D5CDD" w:rsidRPr="00821E2D">
        <w:rPr>
          <w:szCs w:val="24"/>
        </w:rPr>
        <w:t>;</w:t>
      </w:r>
    </w:p>
    <w:p w:rsidR="004324F8" w:rsidRPr="00821E2D" w:rsidRDefault="004324F8" w:rsidP="00C13FF5">
      <w:pPr>
        <w:pStyle w:val="HB-dotpoint"/>
        <w:tabs>
          <w:tab w:val="clear" w:pos="720"/>
          <w:tab w:val="num" w:pos="4320"/>
          <w:tab w:val="left" w:pos="6804"/>
        </w:tabs>
        <w:spacing w:before="0"/>
        <w:ind w:left="568" w:hanging="284"/>
        <w:rPr>
          <w:szCs w:val="24"/>
        </w:rPr>
      </w:pPr>
      <w:r w:rsidRPr="00821E2D">
        <w:rPr>
          <w:szCs w:val="24"/>
        </w:rPr>
        <w:t xml:space="preserve">the privileges and immunities conferred </w:t>
      </w:r>
      <w:r w:rsidR="00C13FF5">
        <w:rPr>
          <w:szCs w:val="24"/>
        </w:rPr>
        <w:t>in the R</w:t>
      </w:r>
      <w:r w:rsidR="00F264BE" w:rsidRPr="00821E2D">
        <w:rPr>
          <w:szCs w:val="24"/>
        </w:rPr>
        <w:t>egulation</w:t>
      </w:r>
      <w:r w:rsidRPr="00821E2D">
        <w:rPr>
          <w:szCs w:val="24"/>
        </w:rPr>
        <w:t xml:space="preserve"> are conferred in the interest of the </w:t>
      </w:r>
      <w:proofErr w:type="spellStart"/>
      <w:r w:rsidRPr="00821E2D">
        <w:rPr>
          <w:szCs w:val="24"/>
        </w:rPr>
        <w:t>ICRC</w:t>
      </w:r>
      <w:proofErr w:type="spellEnd"/>
      <w:r w:rsidRPr="00821E2D">
        <w:rPr>
          <w:szCs w:val="24"/>
        </w:rPr>
        <w:t xml:space="preserve">, and not for the personal benefit of individuals, and may be waived by the </w:t>
      </w:r>
      <w:proofErr w:type="spellStart"/>
      <w:r w:rsidRPr="00821E2D">
        <w:rPr>
          <w:szCs w:val="24"/>
        </w:rPr>
        <w:t>ICRC</w:t>
      </w:r>
      <w:proofErr w:type="spellEnd"/>
      <w:r w:rsidRPr="00821E2D">
        <w:rPr>
          <w:szCs w:val="24"/>
        </w:rPr>
        <w:t>;</w:t>
      </w:r>
    </w:p>
    <w:p w:rsidR="004324F8" w:rsidRDefault="004324F8" w:rsidP="00C13FF5">
      <w:pPr>
        <w:pStyle w:val="HB-dotpoint"/>
        <w:tabs>
          <w:tab w:val="clear" w:pos="720"/>
          <w:tab w:val="num" w:pos="3600"/>
          <w:tab w:val="left" w:pos="6804"/>
        </w:tabs>
        <w:spacing w:before="0"/>
        <w:ind w:left="568" w:hanging="284"/>
        <w:rPr>
          <w:szCs w:val="24"/>
        </w:rPr>
      </w:pPr>
      <w:r w:rsidRPr="00821E2D">
        <w:rPr>
          <w:szCs w:val="24"/>
        </w:rPr>
        <w:t xml:space="preserve">the </w:t>
      </w:r>
      <w:proofErr w:type="spellStart"/>
      <w:r w:rsidRPr="00821E2D">
        <w:rPr>
          <w:szCs w:val="24"/>
        </w:rPr>
        <w:t>ICRC</w:t>
      </w:r>
      <w:proofErr w:type="spellEnd"/>
      <w:r w:rsidR="00F264BE" w:rsidRPr="00821E2D">
        <w:rPr>
          <w:szCs w:val="24"/>
        </w:rPr>
        <w:t xml:space="preserve"> must cooperate in the prevention of abuse of the privileges a</w:t>
      </w:r>
      <w:r w:rsidR="00C13FF5">
        <w:rPr>
          <w:szCs w:val="24"/>
        </w:rPr>
        <w:t>nd immunities mentioned in the R</w:t>
      </w:r>
      <w:r w:rsidR="00F264BE" w:rsidRPr="00821E2D">
        <w:rPr>
          <w:szCs w:val="24"/>
        </w:rPr>
        <w:t xml:space="preserve">egulation, respect Australian law, inform Australian authorities of the details of its personnel working in Australia and their arrivals </w:t>
      </w:r>
      <w:r w:rsidR="00EE7E92">
        <w:rPr>
          <w:szCs w:val="24"/>
        </w:rPr>
        <w:t>and departures, and ensure its d</w:t>
      </w:r>
      <w:r w:rsidR="00F264BE" w:rsidRPr="00821E2D">
        <w:rPr>
          <w:szCs w:val="24"/>
        </w:rPr>
        <w:t>elegate</w:t>
      </w:r>
      <w:r w:rsidR="00EE7E92">
        <w:rPr>
          <w:szCs w:val="24"/>
        </w:rPr>
        <w:t>s</w:t>
      </w:r>
      <w:r w:rsidR="00F264BE" w:rsidRPr="00821E2D">
        <w:rPr>
          <w:szCs w:val="24"/>
        </w:rPr>
        <w:t xml:space="preserve"> and representatives in Australia hold appropriate travel documentation;</w:t>
      </w:r>
    </w:p>
    <w:p w:rsidR="00524B29" w:rsidRPr="00821E2D" w:rsidRDefault="00524B29" w:rsidP="00C13FF5">
      <w:pPr>
        <w:pStyle w:val="HB-dotpoint"/>
        <w:tabs>
          <w:tab w:val="clear" w:pos="720"/>
          <w:tab w:val="num" w:pos="2880"/>
          <w:tab w:val="left" w:pos="6804"/>
        </w:tabs>
        <w:spacing w:before="0"/>
        <w:ind w:left="568" w:hanging="284"/>
        <w:rPr>
          <w:szCs w:val="24"/>
        </w:rPr>
      </w:pPr>
      <w:r>
        <w:rPr>
          <w:szCs w:val="24"/>
        </w:rPr>
        <w:t xml:space="preserve">the confidentiality of </w:t>
      </w:r>
      <w:proofErr w:type="spellStart"/>
      <w:r>
        <w:rPr>
          <w:szCs w:val="24"/>
        </w:rPr>
        <w:t>ICRC</w:t>
      </w:r>
      <w:proofErr w:type="spellEnd"/>
      <w:r>
        <w:rPr>
          <w:szCs w:val="24"/>
        </w:rPr>
        <w:t xml:space="preserve"> reports, correspondence and other communications is to be respected; and</w:t>
      </w:r>
    </w:p>
    <w:p w:rsidR="00F264BE" w:rsidRPr="00821E2D" w:rsidRDefault="00F264BE" w:rsidP="00C13FF5">
      <w:pPr>
        <w:pStyle w:val="HB-dotpoint"/>
        <w:tabs>
          <w:tab w:val="clear" w:pos="720"/>
          <w:tab w:val="num" w:pos="2160"/>
          <w:tab w:val="left" w:pos="6804"/>
        </w:tabs>
        <w:spacing w:before="0"/>
        <w:ind w:left="568" w:hanging="284"/>
        <w:rPr>
          <w:szCs w:val="24"/>
        </w:rPr>
      </w:pPr>
      <w:r w:rsidRPr="00821E2D">
        <w:rPr>
          <w:szCs w:val="24"/>
        </w:rPr>
        <w:t xml:space="preserve">the </w:t>
      </w:r>
      <w:proofErr w:type="spellStart"/>
      <w:r w:rsidRPr="00821E2D">
        <w:rPr>
          <w:szCs w:val="24"/>
        </w:rPr>
        <w:t>ICRC</w:t>
      </w:r>
      <w:proofErr w:type="spellEnd"/>
      <w:r w:rsidRPr="00821E2D">
        <w:rPr>
          <w:szCs w:val="24"/>
        </w:rPr>
        <w:t xml:space="preserve"> has juridical personality and such legal capacities as are necessary for the exercise of its powers and performance of its functions.</w:t>
      </w:r>
    </w:p>
    <w:p w:rsidR="00E35552" w:rsidRPr="00821E2D" w:rsidRDefault="00E35552" w:rsidP="00E35552">
      <w:pPr>
        <w:tabs>
          <w:tab w:val="left" w:pos="6521"/>
        </w:tabs>
        <w:spacing w:before="0"/>
        <w:ind w:right="91"/>
        <w:rPr>
          <w:szCs w:val="24"/>
        </w:rPr>
      </w:pPr>
    </w:p>
    <w:p w:rsidR="00E35552" w:rsidRPr="00821E2D" w:rsidRDefault="00E35552" w:rsidP="00DF252E">
      <w:pPr>
        <w:tabs>
          <w:tab w:val="left" w:pos="6521"/>
        </w:tabs>
        <w:spacing w:before="0"/>
        <w:ind w:right="42"/>
        <w:rPr>
          <w:szCs w:val="24"/>
        </w:rPr>
      </w:pPr>
      <w:r w:rsidRPr="00821E2D">
        <w:rPr>
          <w:szCs w:val="24"/>
        </w:rPr>
        <w:t>The Act specifies no conditions that need</w:t>
      </w:r>
      <w:r w:rsidR="00225B2E">
        <w:rPr>
          <w:szCs w:val="24"/>
        </w:rPr>
        <w:t>ed</w:t>
      </w:r>
      <w:r w:rsidRPr="00821E2D">
        <w:rPr>
          <w:szCs w:val="24"/>
        </w:rPr>
        <w:t xml:space="preserve"> to be satisfied before the power to make the Regulation </w:t>
      </w:r>
      <w:r w:rsidR="00225B2E">
        <w:rPr>
          <w:szCs w:val="24"/>
        </w:rPr>
        <w:t>could</w:t>
      </w:r>
      <w:r w:rsidRPr="00821E2D">
        <w:rPr>
          <w:szCs w:val="24"/>
        </w:rPr>
        <w:t xml:space="preserve"> be exercised. </w:t>
      </w:r>
    </w:p>
    <w:p w:rsidR="00E35552" w:rsidRPr="00821E2D" w:rsidRDefault="00E35552" w:rsidP="00E35552">
      <w:pPr>
        <w:tabs>
          <w:tab w:val="left" w:pos="6521"/>
        </w:tabs>
        <w:spacing w:before="0"/>
        <w:ind w:right="91"/>
        <w:rPr>
          <w:szCs w:val="24"/>
        </w:rPr>
      </w:pPr>
    </w:p>
    <w:p w:rsidR="00E35552" w:rsidRPr="00821E2D" w:rsidRDefault="00976029" w:rsidP="00E35552">
      <w:pPr>
        <w:tabs>
          <w:tab w:val="left" w:pos="6521"/>
        </w:tabs>
        <w:spacing w:before="0"/>
        <w:ind w:right="91"/>
        <w:rPr>
          <w:szCs w:val="24"/>
        </w:rPr>
      </w:pPr>
      <w:r>
        <w:rPr>
          <w:szCs w:val="24"/>
        </w:rPr>
        <w:t xml:space="preserve">The </w:t>
      </w:r>
      <w:r w:rsidR="00E35552" w:rsidRPr="00821E2D">
        <w:rPr>
          <w:szCs w:val="24"/>
        </w:rPr>
        <w:t>Regulation</w:t>
      </w:r>
      <w:r w:rsidR="00225B2E">
        <w:rPr>
          <w:szCs w:val="24"/>
        </w:rPr>
        <w:t xml:space="preserve"> commenced on </w:t>
      </w:r>
      <w:r w:rsidR="00DA0FEA">
        <w:rPr>
          <w:szCs w:val="24"/>
        </w:rPr>
        <w:t>the day after registration</w:t>
      </w:r>
      <w:r w:rsidR="00225B2E">
        <w:rPr>
          <w:szCs w:val="24"/>
        </w:rPr>
        <w:t xml:space="preserve"> and</w:t>
      </w:r>
      <w:r w:rsidR="00E35552" w:rsidRPr="00821E2D">
        <w:rPr>
          <w:szCs w:val="24"/>
        </w:rPr>
        <w:t xml:space="preserve"> </w:t>
      </w:r>
      <w:r w:rsidR="00225B2E">
        <w:rPr>
          <w:szCs w:val="24"/>
        </w:rPr>
        <w:t>is</w:t>
      </w:r>
      <w:r w:rsidR="00E35552" w:rsidRPr="00821E2D">
        <w:rPr>
          <w:szCs w:val="24"/>
        </w:rPr>
        <w:t xml:space="preserve"> a legislative instrument for the purposes of the </w:t>
      </w:r>
      <w:r w:rsidR="00E35552" w:rsidRPr="00821E2D">
        <w:rPr>
          <w:i/>
          <w:szCs w:val="24"/>
        </w:rPr>
        <w:t>Legislative Instruments Act 2003</w:t>
      </w:r>
      <w:r w:rsidR="00E35552" w:rsidRPr="00821E2D">
        <w:rPr>
          <w:szCs w:val="24"/>
        </w:rPr>
        <w:t>.</w:t>
      </w:r>
    </w:p>
    <w:p w:rsidR="00E35552" w:rsidRPr="00821E2D" w:rsidRDefault="00E35552" w:rsidP="00E35552">
      <w:pPr>
        <w:tabs>
          <w:tab w:val="left" w:pos="6521"/>
        </w:tabs>
        <w:spacing w:before="0"/>
        <w:ind w:right="91"/>
        <w:rPr>
          <w:szCs w:val="24"/>
        </w:rPr>
      </w:pPr>
    </w:p>
    <w:p w:rsidR="00E35552" w:rsidRPr="00821E2D" w:rsidRDefault="00E35552">
      <w:pPr>
        <w:tabs>
          <w:tab w:val="left" w:pos="6521"/>
        </w:tabs>
        <w:spacing w:before="0"/>
        <w:ind w:right="91"/>
        <w:rPr>
          <w:szCs w:val="24"/>
        </w:rPr>
      </w:pPr>
    </w:p>
    <w:p w:rsidR="00F86925" w:rsidRDefault="00F86925" w:rsidP="00DF252E">
      <w:pPr>
        <w:tabs>
          <w:tab w:val="left" w:pos="3969"/>
          <w:tab w:val="left" w:pos="4536"/>
        </w:tabs>
        <w:spacing w:before="0"/>
        <w:ind w:right="91"/>
        <w:rPr>
          <w:i/>
          <w:szCs w:val="24"/>
        </w:rPr>
      </w:pPr>
      <w:r>
        <w:rPr>
          <w:szCs w:val="24"/>
        </w:rPr>
        <w:t xml:space="preserve">                                                         </w:t>
      </w:r>
      <w:r w:rsidR="00E35552" w:rsidRPr="00821E2D">
        <w:rPr>
          <w:szCs w:val="24"/>
          <w:u w:val="single"/>
        </w:rPr>
        <w:t>Authority:</w:t>
      </w:r>
      <w:r>
        <w:rPr>
          <w:szCs w:val="24"/>
        </w:rPr>
        <w:t xml:space="preserve"> </w:t>
      </w:r>
      <w:r w:rsidR="00E35552" w:rsidRPr="00821E2D">
        <w:rPr>
          <w:szCs w:val="24"/>
        </w:rPr>
        <w:t xml:space="preserve">Section </w:t>
      </w:r>
      <w:r w:rsidR="00F264BE" w:rsidRPr="00821E2D">
        <w:rPr>
          <w:szCs w:val="24"/>
        </w:rPr>
        <w:t>13(1)</w:t>
      </w:r>
      <w:r w:rsidR="00E35552" w:rsidRPr="00821E2D">
        <w:rPr>
          <w:szCs w:val="24"/>
        </w:rPr>
        <w:t xml:space="preserve"> </w:t>
      </w:r>
      <w:r w:rsidR="00F264BE" w:rsidRPr="00821E2D">
        <w:rPr>
          <w:szCs w:val="24"/>
        </w:rPr>
        <w:t>of the</w:t>
      </w:r>
      <w:r>
        <w:rPr>
          <w:i/>
          <w:szCs w:val="24"/>
        </w:rPr>
        <w:t xml:space="preserve"> </w:t>
      </w:r>
    </w:p>
    <w:p w:rsidR="00F86925" w:rsidRDefault="00F86925" w:rsidP="00DF252E">
      <w:pPr>
        <w:tabs>
          <w:tab w:val="left" w:pos="3969"/>
          <w:tab w:val="left" w:pos="4536"/>
        </w:tabs>
        <w:spacing w:before="0"/>
        <w:ind w:right="91"/>
        <w:rPr>
          <w:i/>
          <w:szCs w:val="24"/>
        </w:rPr>
      </w:pPr>
      <w:r>
        <w:rPr>
          <w:i/>
          <w:szCs w:val="24"/>
        </w:rPr>
        <w:t xml:space="preserve">                                                                           </w:t>
      </w:r>
      <w:r w:rsidR="00F264BE" w:rsidRPr="00821E2D">
        <w:rPr>
          <w:i/>
          <w:szCs w:val="24"/>
        </w:rPr>
        <w:t>International</w:t>
      </w:r>
      <w:r>
        <w:rPr>
          <w:i/>
          <w:szCs w:val="24"/>
        </w:rPr>
        <w:t xml:space="preserve"> </w:t>
      </w:r>
      <w:r w:rsidR="00F264BE" w:rsidRPr="00821E2D">
        <w:rPr>
          <w:i/>
          <w:szCs w:val="24"/>
        </w:rPr>
        <w:t>Organisation</w:t>
      </w:r>
      <w:r>
        <w:rPr>
          <w:i/>
          <w:szCs w:val="24"/>
        </w:rPr>
        <w:t xml:space="preserve">s </w:t>
      </w:r>
      <w:r w:rsidR="00F264BE" w:rsidRPr="00821E2D">
        <w:rPr>
          <w:i/>
          <w:szCs w:val="24"/>
        </w:rPr>
        <w:t xml:space="preserve">(Privileges </w:t>
      </w:r>
      <w:r>
        <w:rPr>
          <w:i/>
          <w:szCs w:val="24"/>
        </w:rPr>
        <w:t xml:space="preserve">             </w:t>
      </w:r>
    </w:p>
    <w:p w:rsidR="00913F38" w:rsidRPr="00C13FF5" w:rsidRDefault="00F86925" w:rsidP="00DF252E">
      <w:pPr>
        <w:tabs>
          <w:tab w:val="left" w:pos="3969"/>
          <w:tab w:val="left" w:pos="4536"/>
        </w:tabs>
        <w:spacing w:before="0"/>
        <w:ind w:right="42"/>
        <w:rPr>
          <w:i/>
          <w:szCs w:val="24"/>
        </w:rPr>
      </w:pPr>
      <w:r>
        <w:rPr>
          <w:i/>
          <w:szCs w:val="24"/>
        </w:rPr>
        <w:t xml:space="preserve">                                                                           </w:t>
      </w:r>
      <w:r w:rsidR="00F264BE" w:rsidRPr="00821E2D">
        <w:rPr>
          <w:i/>
          <w:szCs w:val="24"/>
        </w:rPr>
        <w:t>and Immunities)</w:t>
      </w:r>
      <w:r>
        <w:rPr>
          <w:i/>
          <w:szCs w:val="24"/>
        </w:rPr>
        <w:t xml:space="preserve"> </w:t>
      </w:r>
      <w:r w:rsidR="00F264BE" w:rsidRPr="00821E2D">
        <w:rPr>
          <w:i/>
          <w:szCs w:val="24"/>
        </w:rPr>
        <w:t xml:space="preserve"> Act 1963</w:t>
      </w:r>
    </w:p>
    <w:sectPr w:rsidR="00913F38" w:rsidRPr="00C13FF5" w:rsidSect="00DF252E">
      <w:headerReference w:type="default" r:id="rId8"/>
      <w:pgSz w:w="11906" w:h="16838"/>
      <w:pgMar w:top="1440" w:right="17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925" w:rsidRDefault="00F86925" w:rsidP="00F86925">
      <w:pPr>
        <w:spacing w:before="0"/>
      </w:pPr>
      <w:r>
        <w:separator/>
      </w:r>
    </w:p>
  </w:endnote>
  <w:endnote w:type="continuationSeparator" w:id="0">
    <w:p w:rsidR="00F86925" w:rsidRDefault="00F86925" w:rsidP="00F869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925" w:rsidRDefault="00F86925" w:rsidP="00F86925">
      <w:pPr>
        <w:spacing w:before="0"/>
      </w:pPr>
      <w:r>
        <w:separator/>
      </w:r>
    </w:p>
  </w:footnote>
  <w:footnote w:type="continuationSeparator" w:id="0">
    <w:p w:rsidR="00F86925" w:rsidRDefault="00F86925" w:rsidP="00F869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513474"/>
      <w:docPartObj>
        <w:docPartGallery w:val="Page Numbers (Top of Page)"/>
        <w:docPartUnique/>
      </w:docPartObj>
    </w:sdtPr>
    <w:sdtEndPr>
      <w:rPr>
        <w:noProof/>
      </w:rPr>
    </w:sdtEndPr>
    <w:sdtContent>
      <w:p w:rsidR="00F86925" w:rsidRDefault="00F86925">
        <w:pPr>
          <w:pStyle w:val="Header"/>
          <w:jc w:val="center"/>
        </w:pPr>
        <w:r>
          <w:fldChar w:fldCharType="begin"/>
        </w:r>
        <w:r>
          <w:instrText xml:space="preserve"> PAGE   \* MERGEFORMAT </w:instrText>
        </w:r>
        <w:r>
          <w:fldChar w:fldCharType="separate"/>
        </w:r>
        <w:r w:rsidR="00976029">
          <w:rPr>
            <w:noProof/>
          </w:rPr>
          <w:t>2</w:t>
        </w:r>
        <w:r>
          <w:rPr>
            <w:noProof/>
          </w:rPr>
          <w:fldChar w:fldCharType="end"/>
        </w:r>
      </w:p>
    </w:sdtContent>
  </w:sdt>
  <w:p w:rsidR="00F86925" w:rsidRDefault="00F869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52"/>
    <w:rsid w:val="0006767D"/>
    <w:rsid w:val="000E7AD0"/>
    <w:rsid w:val="0010022A"/>
    <w:rsid w:val="00143A3D"/>
    <w:rsid w:val="00163C35"/>
    <w:rsid w:val="00225B2E"/>
    <w:rsid w:val="002323A6"/>
    <w:rsid w:val="00251D73"/>
    <w:rsid w:val="00344A74"/>
    <w:rsid w:val="0035736E"/>
    <w:rsid w:val="004213DA"/>
    <w:rsid w:val="004324F8"/>
    <w:rsid w:val="004F121D"/>
    <w:rsid w:val="00524B29"/>
    <w:rsid w:val="00536998"/>
    <w:rsid w:val="005C3D38"/>
    <w:rsid w:val="005F5F7D"/>
    <w:rsid w:val="00614E2E"/>
    <w:rsid w:val="00666CBB"/>
    <w:rsid w:val="006819C6"/>
    <w:rsid w:val="00747F83"/>
    <w:rsid w:val="007F5ADA"/>
    <w:rsid w:val="00821E2D"/>
    <w:rsid w:val="00824BFB"/>
    <w:rsid w:val="00867168"/>
    <w:rsid w:val="00911D03"/>
    <w:rsid w:val="00913F38"/>
    <w:rsid w:val="00952ED4"/>
    <w:rsid w:val="00976029"/>
    <w:rsid w:val="00983E53"/>
    <w:rsid w:val="009D5CDD"/>
    <w:rsid w:val="00A14383"/>
    <w:rsid w:val="00A63BFB"/>
    <w:rsid w:val="00A97EE1"/>
    <w:rsid w:val="00AF288D"/>
    <w:rsid w:val="00B62778"/>
    <w:rsid w:val="00C13FF5"/>
    <w:rsid w:val="00C17DEB"/>
    <w:rsid w:val="00C5592D"/>
    <w:rsid w:val="00C63A5F"/>
    <w:rsid w:val="00C7651D"/>
    <w:rsid w:val="00D00747"/>
    <w:rsid w:val="00D03DA8"/>
    <w:rsid w:val="00D4399B"/>
    <w:rsid w:val="00D64185"/>
    <w:rsid w:val="00D7021C"/>
    <w:rsid w:val="00DA0FEA"/>
    <w:rsid w:val="00DF252E"/>
    <w:rsid w:val="00E35552"/>
    <w:rsid w:val="00E46207"/>
    <w:rsid w:val="00E856C7"/>
    <w:rsid w:val="00EC7B79"/>
    <w:rsid w:val="00EE7E92"/>
    <w:rsid w:val="00EF7600"/>
    <w:rsid w:val="00F264BE"/>
    <w:rsid w:val="00F86925"/>
    <w:rsid w:val="00FA1EB6"/>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52"/>
    <w:pPr>
      <w:spacing w:before="240"/>
    </w:pPr>
    <w:rPr>
      <w:sz w:val="24"/>
    </w:rPr>
  </w:style>
  <w:style w:type="paragraph" w:styleId="Heading6">
    <w:name w:val="heading 6"/>
    <w:basedOn w:val="Normal"/>
    <w:next w:val="Normal"/>
    <w:link w:val="Heading6Char"/>
    <w:qFormat/>
    <w:rsid w:val="00E3555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35552"/>
    <w:rPr>
      <w:sz w:val="24"/>
      <w:u w:val="single"/>
    </w:rPr>
  </w:style>
  <w:style w:type="paragraph" w:customStyle="1" w:styleId="Appendix">
    <w:name w:val="Appendix"/>
    <w:basedOn w:val="Normal"/>
    <w:link w:val="AppendixCharChar"/>
    <w:rsid w:val="00E35552"/>
    <w:pPr>
      <w:spacing w:before="0"/>
      <w:jc w:val="right"/>
    </w:pPr>
    <w:rPr>
      <w:b/>
    </w:rPr>
  </w:style>
  <w:style w:type="character" w:customStyle="1" w:styleId="AppendixCharChar">
    <w:name w:val="Appendix Char Char"/>
    <w:link w:val="Appendix"/>
    <w:rsid w:val="00E35552"/>
    <w:rPr>
      <w:b/>
      <w:sz w:val="24"/>
    </w:rPr>
  </w:style>
  <w:style w:type="paragraph" w:customStyle="1" w:styleId="HB-dotpoint">
    <w:name w:val="HB - dotpoint"/>
    <w:basedOn w:val="Normal"/>
    <w:rsid w:val="00E35552"/>
    <w:pPr>
      <w:numPr>
        <w:numId w:val="1"/>
      </w:numPr>
      <w:spacing w:before="180"/>
    </w:pPr>
  </w:style>
  <w:style w:type="paragraph" w:styleId="Header">
    <w:name w:val="header"/>
    <w:basedOn w:val="Normal"/>
    <w:link w:val="HeaderChar"/>
    <w:uiPriority w:val="99"/>
    <w:rsid w:val="00F86925"/>
    <w:pPr>
      <w:tabs>
        <w:tab w:val="center" w:pos="4513"/>
        <w:tab w:val="right" w:pos="9026"/>
      </w:tabs>
      <w:spacing w:before="0"/>
    </w:pPr>
  </w:style>
  <w:style w:type="character" w:customStyle="1" w:styleId="HeaderChar">
    <w:name w:val="Header Char"/>
    <w:basedOn w:val="DefaultParagraphFont"/>
    <w:link w:val="Header"/>
    <w:uiPriority w:val="99"/>
    <w:rsid w:val="00F86925"/>
    <w:rPr>
      <w:sz w:val="24"/>
    </w:rPr>
  </w:style>
  <w:style w:type="paragraph" w:styleId="Footer">
    <w:name w:val="footer"/>
    <w:basedOn w:val="Normal"/>
    <w:link w:val="FooterChar"/>
    <w:rsid w:val="00F86925"/>
    <w:pPr>
      <w:tabs>
        <w:tab w:val="center" w:pos="4513"/>
        <w:tab w:val="right" w:pos="9026"/>
      </w:tabs>
      <w:spacing w:before="0"/>
    </w:pPr>
  </w:style>
  <w:style w:type="character" w:customStyle="1" w:styleId="FooterChar">
    <w:name w:val="Footer Char"/>
    <w:basedOn w:val="DefaultParagraphFont"/>
    <w:link w:val="Footer"/>
    <w:rsid w:val="00F86925"/>
    <w:rPr>
      <w:sz w:val="24"/>
    </w:rPr>
  </w:style>
  <w:style w:type="paragraph" w:styleId="BalloonText">
    <w:name w:val="Balloon Text"/>
    <w:basedOn w:val="Normal"/>
    <w:link w:val="BalloonTextChar"/>
    <w:rsid w:val="00AF288D"/>
    <w:pPr>
      <w:spacing w:before="0"/>
    </w:pPr>
    <w:rPr>
      <w:rFonts w:ascii="Tahoma" w:hAnsi="Tahoma" w:cs="Tahoma"/>
      <w:sz w:val="16"/>
      <w:szCs w:val="16"/>
    </w:rPr>
  </w:style>
  <w:style w:type="character" w:customStyle="1" w:styleId="BalloonTextChar">
    <w:name w:val="Balloon Text Char"/>
    <w:basedOn w:val="DefaultParagraphFont"/>
    <w:link w:val="BalloonText"/>
    <w:rsid w:val="00AF2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52"/>
    <w:pPr>
      <w:spacing w:before="240"/>
    </w:pPr>
    <w:rPr>
      <w:sz w:val="24"/>
    </w:rPr>
  </w:style>
  <w:style w:type="paragraph" w:styleId="Heading6">
    <w:name w:val="heading 6"/>
    <w:basedOn w:val="Normal"/>
    <w:next w:val="Normal"/>
    <w:link w:val="Heading6Char"/>
    <w:qFormat/>
    <w:rsid w:val="00E3555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35552"/>
    <w:rPr>
      <w:sz w:val="24"/>
      <w:u w:val="single"/>
    </w:rPr>
  </w:style>
  <w:style w:type="paragraph" w:customStyle="1" w:styleId="Appendix">
    <w:name w:val="Appendix"/>
    <w:basedOn w:val="Normal"/>
    <w:link w:val="AppendixCharChar"/>
    <w:rsid w:val="00E35552"/>
    <w:pPr>
      <w:spacing w:before="0"/>
      <w:jc w:val="right"/>
    </w:pPr>
    <w:rPr>
      <w:b/>
    </w:rPr>
  </w:style>
  <w:style w:type="character" w:customStyle="1" w:styleId="AppendixCharChar">
    <w:name w:val="Appendix Char Char"/>
    <w:link w:val="Appendix"/>
    <w:rsid w:val="00E35552"/>
    <w:rPr>
      <w:b/>
      <w:sz w:val="24"/>
    </w:rPr>
  </w:style>
  <w:style w:type="paragraph" w:customStyle="1" w:styleId="HB-dotpoint">
    <w:name w:val="HB - dotpoint"/>
    <w:basedOn w:val="Normal"/>
    <w:rsid w:val="00E35552"/>
    <w:pPr>
      <w:numPr>
        <w:numId w:val="1"/>
      </w:numPr>
      <w:spacing w:before="180"/>
    </w:pPr>
  </w:style>
  <w:style w:type="paragraph" w:styleId="Header">
    <w:name w:val="header"/>
    <w:basedOn w:val="Normal"/>
    <w:link w:val="HeaderChar"/>
    <w:uiPriority w:val="99"/>
    <w:rsid w:val="00F86925"/>
    <w:pPr>
      <w:tabs>
        <w:tab w:val="center" w:pos="4513"/>
        <w:tab w:val="right" w:pos="9026"/>
      </w:tabs>
      <w:spacing w:before="0"/>
    </w:pPr>
  </w:style>
  <w:style w:type="character" w:customStyle="1" w:styleId="HeaderChar">
    <w:name w:val="Header Char"/>
    <w:basedOn w:val="DefaultParagraphFont"/>
    <w:link w:val="Header"/>
    <w:uiPriority w:val="99"/>
    <w:rsid w:val="00F86925"/>
    <w:rPr>
      <w:sz w:val="24"/>
    </w:rPr>
  </w:style>
  <w:style w:type="paragraph" w:styleId="Footer">
    <w:name w:val="footer"/>
    <w:basedOn w:val="Normal"/>
    <w:link w:val="FooterChar"/>
    <w:rsid w:val="00F86925"/>
    <w:pPr>
      <w:tabs>
        <w:tab w:val="center" w:pos="4513"/>
        <w:tab w:val="right" w:pos="9026"/>
      </w:tabs>
      <w:spacing w:before="0"/>
    </w:pPr>
  </w:style>
  <w:style w:type="character" w:customStyle="1" w:styleId="FooterChar">
    <w:name w:val="Footer Char"/>
    <w:basedOn w:val="DefaultParagraphFont"/>
    <w:link w:val="Footer"/>
    <w:rsid w:val="00F86925"/>
    <w:rPr>
      <w:sz w:val="24"/>
    </w:rPr>
  </w:style>
  <w:style w:type="paragraph" w:styleId="BalloonText">
    <w:name w:val="Balloon Text"/>
    <w:basedOn w:val="Normal"/>
    <w:link w:val="BalloonTextChar"/>
    <w:rsid w:val="00AF288D"/>
    <w:pPr>
      <w:spacing w:before="0"/>
    </w:pPr>
    <w:rPr>
      <w:rFonts w:ascii="Tahoma" w:hAnsi="Tahoma" w:cs="Tahoma"/>
      <w:sz w:val="16"/>
      <w:szCs w:val="16"/>
    </w:rPr>
  </w:style>
  <w:style w:type="character" w:customStyle="1" w:styleId="BalloonTextChar">
    <w:name w:val="Balloon Text Char"/>
    <w:basedOn w:val="DefaultParagraphFont"/>
    <w:link w:val="BalloonText"/>
    <w:rsid w:val="00AF2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hwatson</dc:creator>
  <cp:lastModifiedBy>Hilhorst, Matt</cp:lastModifiedBy>
  <cp:revision>2</cp:revision>
  <dcterms:created xsi:type="dcterms:W3CDTF">2013-11-08T05:39:00Z</dcterms:created>
  <dcterms:modified xsi:type="dcterms:W3CDTF">2013-11-08T05:39:00Z</dcterms:modified>
</cp:coreProperties>
</file>