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B70" w:rsidRPr="00D849A0" w:rsidRDefault="0055316C" w:rsidP="00D849A0">
      <w:pPr>
        <w:jc w:val="center"/>
        <w:rPr>
          <w:b/>
          <w:u w:val="single"/>
        </w:rPr>
      </w:pPr>
      <w:r w:rsidRPr="00D849A0">
        <w:rPr>
          <w:b/>
          <w:u w:val="single"/>
        </w:rPr>
        <w:t>Explanatory Statement</w:t>
      </w:r>
    </w:p>
    <w:p w:rsidR="0055316C" w:rsidRDefault="0055316C" w:rsidP="00D849A0">
      <w:pPr>
        <w:jc w:val="center"/>
      </w:pPr>
      <w:r>
        <w:t>Issued by the Australian Communications and Media Authority</w:t>
      </w:r>
    </w:p>
    <w:p w:rsidR="0055316C" w:rsidRPr="00D849A0" w:rsidRDefault="0055316C" w:rsidP="00D849A0">
      <w:pPr>
        <w:jc w:val="center"/>
        <w:rPr>
          <w:i/>
        </w:rPr>
      </w:pPr>
      <w:r w:rsidRPr="00D849A0">
        <w:rPr>
          <w:i/>
        </w:rPr>
        <w:t>Telecommunications (Types of Cabling Work) Declaration 2013</w:t>
      </w:r>
    </w:p>
    <w:p w:rsidR="00D849A0" w:rsidRPr="00D849A0" w:rsidRDefault="00D849A0" w:rsidP="00D849A0">
      <w:pPr>
        <w:jc w:val="center"/>
        <w:rPr>
          <w:i/>
        </w:rPr>
      </w:pPr>
      <w:r w:rsidRPr="00D849A0">
        <w:rPr>
          <w:i/>
        </w:rPr>
        <w:t>Telecommunications Act 1997</w:t>
      </w:r>
    </w:p>
    <w:p w:rsidR="00D849A0" w:rsidRDefault="00D849A0" w:rsidP="00D849A0">
      <w:pPr>
        <w:jc w:val="center"/>
      </w:pPr>
    </w:p>
    <w:p w:rsidR="00D849A0" w:rsidRPr="00D849A0" w:rsidRDefault="00D849A0" w:rsidP="00D849A0">
      <w:pPr>
        <w:rPr>
          <w:b/>
        </w:rPr>
      </w:pPr>
      <w:r w:rsidRPr="00D849A0">
        <w:rPr>
          <w:b/>
        </w:rPr>
        <w:t>Purpose</w:t>
      </w:r>
    </w:p>
    <w:p w:rsidR="00102C41" w:rsidRDefault="005C5F92" w:rsidP="00F84B6F">
      <w:r>
        <w:t>T</w:t>
      </w:r>
      <w:r w:rsidR="00D849A0">
        <w:t xml:space="preserve">he </w:t>
      </w:r>
      <w:r w:rsidR="00D849A0" w:rsidRPr="00FD75FA">
        <w:rPr>
          <w:i/>
        </w:rPr>
        <w:t>Telecommunications (Types of Cabling Work) Declaration 2013</w:t>
      </w:r>
      <w:r w:rsidR="00D849A0">
        <w:t xml:space="preserve"> (the Declaration)</w:t>
      </w:r>
      <w:r>
        <w:t xml:space="preserve"> declares that specified kinds of cabling work are types of cabling work for the purposes of </w:t>
      </w:r>
      <w:r w:rsidR="006538AD">
        <w:t xml:space="preserve">Division 9 of Part 21 of the </w:t>
      </w:r>
      <w:r w:rsidR="006538AD" w:rsidRPr="00CE0D09">
        <w:rPr>
          <w:i/>
        </w:rPr>
        <w:t>Telecommunications Act 1997</w:t>
      </w:r>
      <w:r w:rsidR="006538AD">
        <w:t xml:space="preserve"> (the Act)</w:t>
      </w:r>
      <w:r w:rsidR="00102C41">
        <w:t xml:space="preserve">.  The Declaration derives the scope of ‘regulated’ cabling work by specifying that any cabling work that is not of a kind specified in Schedule 1 of the Declaration is a kind of cabling work for the purposes of the Act.  Any cabling work other than that specified in Schedule 1 must </w:t>
      </w:r>
      <w:r w:rsidR="006B5083">
        <w:t xml:space="preserve">be performed in compliance </w:t>
      </w:r>
      <w:r w:rsidR="00102C41">
        <w:t xml:space="preserve">with the requirements of Division 9 of </w:t>
      </w:r>
      <w:r w:rsidR="006B5083">
        <w:t>P</w:t>
      </w:r>
      <w:r w:rsidR="00102C41">
        <w:t>art 21</w:t>
      </w:r>
      <w:r w:rsidR="006B5083">
        <w:t>,</w:t>
      </w:r>
      <w:r w:rsidR="00102C41">
        <w:t xml:space="preserve"> </w:t>
      </w:r>
      <w:r w:rsidR="00102C41" w:rsidRPr="00025072">
        <w:t xml:space="preserve">including the </w:t>
      </w:r>
      <w:r w:rsidR="006B5083">
        <w:t>provisions of</w:t>
      </w:r>
      <w:r w:rsidR="00102C41" w:rsidRPr="00025072">
        <w:t xml:space="preserve"> the </w:t>
      </w:r>
      <w:r w:rsidR="00102C41" w:rsidRPr="008420E3">
        <w:rPr>
          <w:i/>
        </w:rPr>
        <w:t>Telecommunications Cabling Provider Rules 2000</w:t>
      </w:r>
      <w:r w:rsidR="00102C41">
        <w:t xml:space="preserve"> (CPRs) made under section 421 of the Act</w:t>
      </w:r>
      <w:r w:rsidR="00102C41" w:rsidRPr="00025072">
        <w:t>.</w:t>
      </w:r>
    </w:p>
    <w:p w:rsidR="00CF145D" w:rsidRPr="00E20505" w:rsidRDefault="00203573" w:rsidP="00CF145D">
      <w:r>
        <w:t xml:space="preserve">The Declaration </w:t>
      </w:r>
      <w:r w:rsidR="00AD1806">
        <w:t xml:space="preserve">replaces </w:t>
      </w:r>
      <w:r>
        <w:t xml:space="preserve">the </w:t>
      </w:r>
      <w:r w:rsidRPr="00FD75FA">
        <w:rPr>
          <w:i/>
        </w:rPr>
        <w:t>Telecommunications (Types of Cabling Work) Declaration 1997</w:t>
      </w:r>
      <w:r>
        <w:t xml:space="preserve"> (the previous Declaration)</w:t>
      </w:r>
      <w:r w:rsidR="00CF145D">
        <w:t xml:space="preserve">. </w:t>
      </w:r>
    </w:p>
    <w:p w:rsidR="00D849A0" w:rsidRDefault="001A0502" w:rsidP="00D849A0">
      <w:r w:rsidRPr="001A0502">
        <w:rPr>
          <w:b/>
        </w:rPr>
        <w:t>Legislative provisions</w:t>
      </w:r>
    </w:p>
    <w:p w:rsidR="00102C41" w:rsidRDefault="005C5F92" w:rsidP="00D849A0">
      <w:r>
        <w:t>U</w:t>
      </w:r>
      <w:r w:rsidR="00025072">
        <w:t xml:space="preserve">nder </w:t>
      </w:r>
      <w:r>
        <w:t>sub</w:t>
      </w:r>
      <w:r w:rsidR="00025072">
        <w:t>section</w:t>
      </w:r>
      <w:r w:rsidR="001A0502" w:rsidRPr="001A0502">
        <w:t xml:space="preserve"> 419</w:t>
      </w:r>
      <w:r>
        <w:t>(1)</w:t>
      </w:r>
      <w:r w:rsidR="001A0502" w:rsidRPr="001A0502">
        <w:t xml:space="preserve"> of </w:t>
      </w:r>
      <w:r w:rsidR="00F84B6F">
        <w:t xml:space="preserve">the Act </w:t>
      </w:r>
      <w:r w:rsidR="001A0502" w:rsidRPr="001A0502">
        <w:t xml:space="preserve">the </w:t>
      </w:r>
      <w:r>
        <w:t xml:space="preserve">Australian Communications and Media Authority (the </w:t>
      </w:r>
      <w:r w:rsidR="001A0502" w:rsidRPr="001A0502">
        <w:t>ACMA</w:t>
      </w:r>
      <w:r>
        <w:t>)</w:t>
      </w:r>
      <w:r w:rsidR="001A0502" w:rsidRPr="001A0502">
        <w:t xml:space="preserve"> may declare that a specified</w:t>
      </w:r>
      <w:r>
        <w:t xml:space="preserve"> kind </w:t>
      </w:r>
      <w:r w:rsidR="001A0502" w:rsidRPr="001A0502">
        <w:t>of cabling work is a type of cabling work for the purpose</w:t>
      </w:r>
      <w:r w:rsidR="00701719">
        <w:t>s</w:t>
      </w:r>
      <w:r w:rsidR="001A0502" w:rsidRPr="001A0502">
        <w:t xml:space="preserve"> of Division 9 of Part 21</w:t>
      </w:r>
      <w:r w:rsidR="00F84B6F">
        <w:t xml:space="preserve"> of the Act</w:t>
      </w:r>
      <w:r w:rsidR="001A0502" w:rsidRPr="001A0502">
        <w:t xml:space="preserve">.  </w:t>
      </w:r>
      <w:r w:rsidR="00203573">
        <w:t xml:space="preserve">Section 5 of the </w:t>
      </w:r>
      <w:r w:rsidR="00F84B6F">
        <w:t>De</w:t>
      </w:r>
      <w:r w:rsidR="00102C41">
        <w:t xml:space="preserve">claration provides that any kind of cabling work which is not of a kind mentioned in Schedule 1 of the Declaration is a type of cabling work for </w:t>
      </w:r>
      <w:r w:rsidR="00F84B6F" w:rsidRPr="00025072">
        <w:t>the purposes of Division 9 of Part 21</w:t>
      </w:r>
      <w:r w:rsidR="00102C41">
        <w:t xml:space="preserve"> of the Act</w:t>
      </w:r>
      <w:r w:rsidR="00F84B6F" w:rsidRPr="00025072">
        <w:t xml:space="preserve">. </w:t>
      </w:r>
    </w:p>
    <w:p w:rsidR="00F84B6F" w:rsidRPr="00F84B6F" w:rsidRDefault="00F84B6F" w:rsidP="00D849A0">
      <w:pPr>
        <w:rPr>
          <w:i/>
        </w:rPr>
      </w:pPr>
      <w:r>
        <w:t xml:space="preserve">The Declaration is a legislative instrument under the </w:t>
      </w:r>
      <w:r>
        <w:rPr>
          <w:i/>
        </w:rPr>
        <w:t xml:space="preserve">Legislative Instruments Act 2003. </w:t>
      </w:r>
    </w:p>
    <w:p w:rsidR="00E8727D" w:rsidRDefault="00AF2FE3" w:rsidP="00D849A0">
      <w:pPr>
        <w:rPr>
          <w:b/>
        </w:rPr>
      </w:pPr>
      <w:r w:rsidRPr="00AF2FE3">
        <w:rPr>
          <w:b/>
        </w:rPr>
        <w:t>Background</w:t>
      </w:r>
    </w:p>
    <w:p w:rsidR="006B5083" w:rsidRDefault="00A077F4" w:rsidP="00D849A0">
      <w:r>
        <w:t>The main difference</w:t>
      </w:r>
      <w:r w:rsidR="00AD1806">
        <w:t>s</w:t>
      </w:r>
      <w:r w:rsidR="006B5083">
        <w:t xml:space="preserve"> between the Declaration and the previous Declaration relate to cabling work that involves the connection of ‘plug and play’ customer equipment </w:t>
      </w:r>
      <w:r w:rsidR="006B5083" w:rsidRPr="00AF2FE3">
        <w:t>using pre-terminated patch cords, lead</w:t>
      </w:r>
      <w:r w:rsidR="006B5083">
        <w:t>s, adaptors or extension cords (referred to in the Declaration as ‘associated customer cabling products’</w:t>
      </w:r>
      <w:r w:rsidR="00CF145D">
        <w:t xml:space="preserve"> and in the previous Declaration as ‘associated customer equipment’</w:t>
      </w:r>
      <w:r w:rsidR="006B5083">
        <w:t xml:space="preserve">) by any person. </w:t>
      </w:r>
    </w:p>
    <w:p w:rsidR="00AF2FE3" w:rsidRDefault="00CF145D" w:rsidP="00D849A0">
      <w:r>
        <w:t xml:space="preserve">Item 4 of </w:t>
      </w:r>
      <w:r w:rsidR="00AF2FE3" w:rsidRPr="00AF2FE3">
        <w:t xml:space="preserve">Schedule 1 of the </w:t>
      </w:r>
      <w:r w:rsidR="005C0DC7">
        <w:t xml:space="preserve">previous </w:t>
      </w:r>
      <w:r w:rsidR="00AF2FE3" w:rsidRPr="00AF2FE3">
        <w:t>Declaration exempt</w:t>
      </w:r>
      <w:r w:rsidR="005C0DC7">
        <w:t>ed</w:t>
      </w:r>
      <w:r w:rsidR="00AF2FE3" w:rsidRPr="00AF2FE3">
        <w:t>, amongst other things, ‘cabling work that involves the connection of associated customer equipment by end-users if the associated customer equipment bears a compliance label’</w:t>
      </w:r>
      <w:r w:rsidR="006B5083">
        <w:t xml:space="preserve"> from being cabling work for the purposes of the Act</w:t>
      </w:r>
      <w:r w:rsidR="00AF2FE3" w:rsidRPr="00AF2FE3">
        <w:t>.</w:t>
      </w:r>
      <w:r w:rsidR="006B5083">
        <w:t xml:space="preserve"> </w:t>
      </w:r>
      <w:r w:rsidR="00A0693E">
        <w:t>Th</w:t>
      </w:r>
      <w:r w:rsidR="006B5083">
        <w:t>e purpose of the provision was</w:t>
      </w:r>
      <w:r w:rsidR="00AF2FE3" w:rsidRPr="00AF2FE3">
        <w:t xml:space="preserve"> to allow </w:t>
      </w:r>
      <w:r w:rsidR="00934211">
        <w:t>an</w:t>
      </w:r>
      <w:r w:rsidR="006B5083">
        <w:t>y</w:t>
      </w:r>
      <w:r w:rsidR="00934211">
        <w:t xml:space="preserve"> </w:t>
      </w:r>
      <w:r w:rsidR="006B5083">
        <w:t xml:space="preserve">person </w:t>
      </w:r>
      <w:r w:rsidR="005F24C3">
        <w:t>(</w:t>
      </w:r>
      <w:r w:rsidR="006B5083">
        <w:t xml:space="preserve">skilled or </w:t>
      </w:r>
      <w:r w:rsidR="005F24C3">
        <w:t xml:space="preserve">unskilled) </w:t>
      </w:r>
      <w:r w:rsidR="00AF2FE3" w:rsidRPr="00AF2FE3">
        <w:t xml:space="preserve">to connect </w:t>
      </w:r>
      <w:r w:rsidR="006B5083">
        <w:t xml:space="preserve">customer equipment using associated customer cabling products </w:t>
      </w:r>
      <w:r w:rsidR="00AF2FE3" w:rsidRPr="00AF2FE3">
        <w:t>without the requirement to engage a registered cabling provider to perform such work. Pre-terminated computer leads commonly found in home networks are an example of</w:t>
      </w:r>
      <w:r w:rsidR="006B5083">
        <w:t xml:space="preserve"> associated customer cabling products</w:t>
      </w:r>
      <w:r w:rsidR="00AF2FE3" w:rsidRPr="00AF2FE3">
        <w:t>.</w:t>
      </w:r>
      <w:r>
        <w:t xml:space="preserve"> </w:t>
      </w:r>
    </w:p>
    <w:p w:rsidR="002F62CA" w:rsidRDefault="002F62CA" w:rsidP="00D849A0">
      <w:r w:rsidRPr="002F62CA">
        <w:lastRenderedPageBreak/>
        <w:t>The safety risk</w:t>
      </w:r>
      <w:r w:rsidR="00095B2F">
        <w:t>s</w:t>
      </w:r>
      <w:r w:rsidRPr="002F62CA">
        <w:t xml:space="preserve"> associated with the connection of such equipment is managed through the application of the technical standards, record keeping </w:t>
      </w:r>
      <w:r w:rsidR="00AD1806">
        <w:t xml:space="preserve">requirements </w:t>
      </w:r>
      <w:r w:rsidRPr="002F62CA">
        <w:t xml:space="preserve">and labelling requirements that apply to the associated customer equipment under the ACMA’s </w:t>
      </w:r>
      <w:r w:rsidR="005B2166" w:rsidRPr="005B2166">
        <w:rPr>
          <w:i/>
        </w:rPr>
        <w:t>Telecommunications Labelling (Customer Equipment and Customer Cabling) Notice 2001</w:t>
      </w:r>
      <w:r w:rsidRPr="002F62CA">
        <w:t>.</w:t>
      </w:r>
    </w:p>
    <w:p w:rsidR="00095B2F" w:rsidRDefault="00CF145D" w:rsidP="00D849A0">
      <w:r>
        <w:t>In recent years, ambiguity has</w:t>
      </w:r>
      <w:r w:rsidR="005136B6" w:rsidRPr="005136B6">
        <w:t xml:space="preserve"> arisen </w:t>
      </w:r>
      <w:r>
        <w:t>about</w:t>
      </w:r>
      <w:r w:rsidR="005136B6" w:rsidRPr="005136B6">
        <w:t xml:space="preserve"> the application of </w:t>
      </w:r>
      <w:r w:rsidR="001E2FC4">
        <w:t xml:space="preserve">Item 4 of </w:t>
      </w:r>
      <w:r w:rsidR="00AD1806">
        <w:t xml:space="preserve">Schedule 1 of </w:t>
      </w:r>
      <w:r w:rsidR="001E2FC4">
        <w:t xml:space="preserve">the previous </w:t>
      </w:r>
      <w:r w:rsidR="005136B6" w:rsidRPr="005136B6">
        <w:t xml:space="preserve">Declaration to the </w:t>
      </w:r>
      <w:r w:rsidR="00CC40A8">
        <w:t>connection</w:t>
      </w:r>
      <w:r w:rsidR="005136B6" w:rsidRPr="005136B6">
        <w:t xml:space="preserve"> of </w:t>
      </w:r>
      <w:r>
        <w:t>customer</w:t>
      </w:r>
      <w:r w:rsidRPr="005136B6">
        <w:t xml:space="preserve"> </w:t>
      </w:r>
      <w:r w:rsidR="005136B6" w:rsidRPr="005136B6">
        <w:t xml:space="preserve">cabling </w:t>
      </w:r>
      <w:r w:rsidR="001E2FC4">
        <w:t>that</w:t>
      </w:r>
      <w:r w:rsidR="005136B6" w:rsidRPr="005136B6">
        <w:t xml:space="preserve"> is concealed in building cavities</w:t>
      </w:r>
      <w:r w:rsidR="001E2FC4">
        <w:t xml:space="preserve"> (that is, concealed in the floor, wall or ceiling cavity of a building)</w:t>
      </w:r>
      <w:r w:rsidR="005136B6" w:rsidRPr="005136B6">
        <w:t>.</w:t>
      </w:r>
      <w:r w:rsidR="00617471">
        <w:t xml:space="preserve"> </w:t>
      </w:r>
      <w:r w:rsidR="005136B6" w:rsidRPr="005136B6">
        <w:t xml:space="preserve"> </w:t>
      </w:r>
      <w:r w:rsidR="001E2FC4">
        <w:t>Item 4 of Schedule 1 was never intended to cover cabling work where part or all</w:t>
      </w:r>
      <w:r w:rsidR="00C74120">
        <w:t xml:space="preserve"> </w:t>
      </w:r>
      <w:r w:rsidR="001E2FC4">
        <w:t xml:space="preserve">of the customer cabling is concealed </w:t>
      </w:r>
      <w:r w:rsidR="009D2D7F">
        <w:t xml:space="preserve">in wall, floor and roof cavities. </w:t>
      </w:r>
      <w:r w:rsidR="00F33A92">
        <w:t>The</w:t>
      </w:r>
      <w:r w:rsidR="00941437">
        <w:t xml:space="preserve"> </w:t>
      </w:r>
      <w:r w:rsidR="00E3523A">
        <w:t>act</w:t>
      </w:r>
      <w:r w:rsidR="00095B2F">
        <w:t xml:space="preserve"> of </w:t>
      </w:r>
      <w:r w:rsidR="00941437">
        <w:t>conceal</w:t>
      </w:r>
      <w:r w:rsidR="00095B2F">
        <w:t>ing</w:t>
      </w:r>
      <w:r w:rsidR="00F33A92">
        <w:t xml:space="preserve"> </w:t>
      </w:r>
      <w:r w:rsidR="00941437">
        <w:t xml:space="preserve">associated customer </w:t>
      </w:r>
      <w:r w:rsidR="001E2FC4">
        <w:t xml:space="preserve">cabling products </w:t>
      </w:r>
      <w:r w:rsidR="00F33A92">
        <w:t>in a building</w:t>
      </w:r>
      <w:r w:rsidR="00A07813">
        <w:t xml:space="preserve"> cavity correspond</w:t>
      </w:r>
      <w:r w:rsidR="0088266B">
        <w:t>s</w:t>
      </w:r>
      <w:r w:rsidR="001E2FC4">
        <w:t>, in the ACMA’s view</w:t>
      </w:r>
      <w:r w:rsidR="0088266B">
        <w:t xml:space="preserve"> to its ‘installation’</w:t>
      </w:r>
      <w:r w:rsidR="001E2FC4">
        <w:t xml:space="preserve"> and such cabling work was not meant to come within the scope of Item 4 of Schedule 1 of the previous Declaration. </w:t>
      </w:r>
    </w:p>
    <w:p w:rsidR="00DC4113" w:rsidRDefault="009D2D7F" w:rsidP="00D849A0">
      <w:r w:rsidRPr="009D2D7F">
        <w:t xml:space="preserve">The performance of cabling work </w:t>
      </w:r>
      <w:r w:rsidR="00DC4113">
        <w:t xml:space="preserve">involving the concealment of customer cabling in building cavities </w:t>
      </w:r>
      <w:r w:rsidRPr="009D2D7F">
        <w:t>raises safety risks and therefore that type of cabling work should be subject to the customer c</w:t>
      </w:r>
      <w:r w:rsidR="005F24C3">
        <w:t xml:space="preserve">abling regulatory arrangements </w:t>
      </w:r>
      <w:r w:rsidR="005C0DC7">
        <w:t xml:space="preserve">- </w:t>
      </w:r>
      <w:r w:rsidR="00DC4113">
        <w:t xml:space="preserve">that is, </w:t>
      </w:r>
      <w:r w:rsidRPr="009D2D7F">
        <w:t xml:space="preserve">the intent is </w:t>
      </w:r>
      <w:r w:rsidR="00DC4113">
        <w:t xml:space="preserve">that such cabling work must be performed by </w:t>
      </w:r>
      <w:r w:rsidRPr="009D2D7F">
        <w:t xml:space="preserve">a registered </w:t>
      </w:r>
      <w:r w:rsidR="00DC4113">
        <w:t xml:space="preserve">customer </w:t>
      </w:r>
      <w:r w:rsidRPr="009D2D7F">
        <w:t>cabling provider</w:t>
      </w:r>
      <w:r w:rsidR="00DC4113">
        <w:t xml:space="preserve"> in accordance with the CPRs. </w:t>
      </w:r>
    </w:p>
    <w:p w:rsidR="005136B6" w:rsidRDefault="00DC4113" w:rsidP="00D849A0">
      <w:r>
        <w:t xml:space="preserve">Item 4 of Schedule 1 of the Declaration clarifies the policy intent by specifying that the provision </w:t>
      </w:r>
      <w:r w:rsidR="000D2571">
        <w:t>only</w:t>
      </w:r>
      <w:r>
        <w:t xml:space="preserve"> applies to cabling work where the associated customer cabling product is not concealed in a building cavity. </w:t>
      </w:r>
    </w:p>
    <w:p w:rsidR="00AD1806" w:rsidRDefault="006B5083" w:rsidP="00AD1806">
      <w:r>
        <w:t xml:space="preserve">The Declaration also updates a number of outdated references </w:t>
      </w:r>
      <w:r w:rsidR="000D2571">
        <w:t xml:space="preserve">and definitions </w:t>
      </w:r>
      <w:r>
        <w:t>that existed in the previous Declaration.</w:t>
      </w:r>
      <w:r w:rsidRPr="00F84B6F">
        <w:t xml:space="preserve"> </w:t>
      </w:r>
      <w:r w:rsidR="00AD1806">
        <w:t xml:space="preserve">Except for the changes described above, the Declaration is substantially the same as the previous Declaration. </w:t>
      </w:r>
    </w:p>
    <w:p w:rsidR="005F24C3" w:rsidRPr="00E14D71" w:rsidRDefault="005F24C3" w:rsidP="00D849A0">
      <w:pPr>
        <w:rPr>
          <w:b/>
        </w:rPr>
      </w:pPr>
      <w:r w:rsidRPr="00E14D71">
        <w:rPr>
          <w:b/>
        </w:rPr>
        <w:t>Public consultation</w:t>
      </w:r>
    </w:p>
    <w:p w:rsidR="00A927C7" w:rsidRDefault="00E14D71" w:rsidP="00D849A0">
      <w:r>
        <w:t xml:space="preserve">Section 17 of the </w:t>
      </w:r>
      <w:r w:rsidR="00CC0871" w:rsidRPr="00CC0871">
        <w:rPr>
          <w:i/>
        </w:rPr>
        <w:t>Legislative Instruments Act</w:t>
      </w:r>
      <w:r w:rsidR="000D2571">
        <w:rPr>
          <w:i/>
        </w:rPr>
        <w:t xml:space="preserve"> 2003</w:t>
      </w:r>
      <w:r>
        <w:t xml:space="preserve"> requires the </w:t>
      </w:r>
      <w:r w:rsidRPr="00E14D71">
        <w:t>ACMA to be satisfied that any consultation it considers to be appropriate and that is reasonably practicable to undertake has been undertaken.</w:t>
      </w:r>
      <w:r w:rsidR="00970EBC">
        <w:t xml:space="preserve"> </w:t>
      </w:r>
      <w:r w:rsidR="008F6AEB">
        <w:t xml:space="preserve">The ACMA released a </w:t>
      </w:r>
      <w:hyperlink r:id="rId10" w:history="1">
        <w:r w:rsidR="008F6AEB" w:rsidRPr="00DC5918">
          <w:rPr>
            <w:rStyle w:val="Hyperlink"/>
          </w:rPr>
          <w:t>consultation paper</w:t>
        </w:r>
      </w:hyperlink>
      <w:r w:rsidR="008F6AEB">
        <w:t xml:space="preserve"> </w:t>
      </w:r>
      <w:r w:rsidR="00A927C7">
        <w:t xml:space="preserve">via the ACMA website </w:t>
      </w:r>
      <w:r w:rsidR="008F6AEB">
        <w:t xml:space="preserve">on 25 March 2013 for a period of </w:t>
      </w:r>
      <w:r w:rsidR="00A927C7">
        <w:t>61 days.</w:t>
      </w:r>
      <w:r w:rsidR="00617471">
        <w:t xml:space="preserve"> </w:t>
      </w:r>
      <w:r w:rsidR="00A927C7">
        <w:t xml:space="preserve"> In addition, the consultation paper was also emailed </w:t>
      </w:r>
      <w:r w:rsidR="00A927C7" w:rsidRPr="00A927C7">
        <w:t>to various relevant industry bodies as part of the standard public consultation process adopted for changes to technical regulation.</w:t>
      </w:r>
      <w:r w:rsidR="00617471">
        <w:t xml:space="preserve"> </w:t>
      </w:r>
      <w:r w:rsidR="000D2571" w:rsidRPr="000D2571">
        <w:t xml:space="preserve"> </w:t>
      </w:r>
      <w:r w:rsidR="000D2571" w:rsidRPr="00970EBC">
        <w:t>A total of 17 submissions were received</w:t>
      </w:r>
      <w:r w:rsidR="000D2571">
        <w:t xml:space="preserve"> in response to the consultation paper</w:t>
      </w:r>
      <w:r w:rsidR="00617471">
        <w:t>.</w:t>
      </w:r>
    </w:p>
    <w:p w:rsidR="000D2571" w:rsidRDefault="000D2571" w:rsidP="00D849A0">
      <w:r>
        <w:t xml:space="preserve">The consultation paper proposed that the Declaration include an additional provision relating to cabling work involved in the connection or installation of home theatre and home entertainment systems.  It was proposed that such cabling work, when performed by specified persons in compliance with specified requirements, should not be a type of cabling work for the purposes of Division 9 of Part 21 of the Act.  </w:t>
      </w:r>
      <w:r w:rsidR="00A927C7">
        <w:t xml:space="preserve"> </w:t>
      </w:r>
      <w:r>
        <w:t>A majority of the submissions received in response to the consultation paper opposed the proposed inclusion of such a provision.</w:t>
      </w:r>
      <w:r w:rsidR="00617471">
        <w:t xml:space="preserve"> </w:t>
      </w:r>
      <w:r>
        <w:t xml:space="preserve"> </w:t>
      </w:r>
      <w:r w:rsidR="00A927C7">
        <w:t xml:space="preserve">In response the ACMA </w:t>
      </w:r>
      <w:r w:rsidR="00B768C1">
        <w:t xml:space="preserve">decided not to proceed with the </w:t>
      </w:r>
      <w:r>
        <w:t xml:space="preserve">proposal. </w:t>
      </w:r>
    </w:p>
    <w:p w:rsidR="00AD1806" w:rsidRPr="00AD1806" w:rsidRDefault="00B768C1" w:rsidP="00AD1806">
      <w:pPr>
        <w:rPr>
          <w:bCs/>
        </w:rPr>
      </w:pPr>
      <w:r>
        <w:t>The</w:t>
      </w:r>
      <w:r w:rsidR="00466A1A">
        <w:t xml:space="preserve"> </w:t>
      </w:r>
      <w:r w:rsidR="000D2571">
        <w:t>submissions received supported all other proposals canvassed in the consultation paper.</w:t>
      </w:r>
      <w:r w:rsidR="00A077F4">
        <w:t xml:space="preserve"> </w:t>
      </w:r>
      <w:r w:rsidR="005B2166" w:rsidRPr="005B2166">
        <w:rPr>
          <w:bCs/>
        </w:rPr>
        <w:t>In addition to the specific proposals for amendment put forward by the ACMA, persons making submissions were also invited to make any other suggestions for changes to the Declaration that they thought should be considered.  No other substantive proposals for change were put forward.</w:t>
      </w:r>
    </w:p>
    <w:p w:rsidR="00466A1A" w:rsidRPr="00466A1A" w:rsidRDefault="00466A1A" w:rsidP="00D849A0">
      <w:pPr>
        <w:rPr>
          <w:b/>
        </w:rPr>
      </w:pPr>
      <w:r w:rsidRPr="00466A1A">
        <w:rPr>
          <w:b/>
        </w:rPr>
        <w:lastRenderedPageBreak/>
        <w:t xml:space="preserve">Regulation Impact </w:t>
      </w:r>
    </w:p>
    <w:p w:rsidR="00466A1A" w:rsidRDefault="00466A1A" w:rsidP="00D849A0">
      <w:r w:rsidRPr="00466A1A">
        <w:t xml:space="preserve">The ACMA consulted with the Office of Best Practice Regulation (OBPR) regarding the </w:t>
      </w:r>
      <w:r w:rsidR="00A077F4">
        <w:t xml:space="preserve">revocation of the previous Declaration and the making of </w:t>
      </w:r>
      <w:r>
        <w:t>the Declaration</w:t>
      </w:r>
      <w:r w:rsidRPr="00466A1A">
        <w:t xml:space="preserve">. OBPR have confirmed that the changes </w:t>
      </w:r>
      <w:r>
        <w:t>are minor and machinery and</w:t>
      </w:r>
      <w:r w:rsidRPr="00466A1A">
        <w:t xml:space="preserve"> that a formal regulatory impact statement would not be required.</w:t>
      </w:r>
      <w:r w:rsidR="00617471">
        <w:t xml:space="preserve"> </w:t>
      </w:r>
      <w:r w:rsidRPr="00466A1A">
        <w:t xml:space="preserve">The OBPR assessment number is: </w:t>
      </w:r>
      <w:r w:rsidR="00CB73D4" w:rsidRPr="00CB73D4">
        <w:rPr>
          <w:b/>
        </w:rPr>
        <w:t>ID 14279</w:t>
      </w:r>
      <w:r w:rsidR="00CB73D4">
        <w:t>.</w:t>
      </w:r>
    </w:p>
    <w:p w:rsidR="00CB73D4" w:rsidRPr="00CB73D4" w:rsidRDefault="00CB73D4" w:rsidP="00CB73D4">
      <w:pPr>
        <w:rPr>
          <w:b/>
        </w:rPr>
      </w:pPr>
      <w:r w:rsidRPr="00CB73D4">
        <w:rPr>
          <w:b/>
        </w:rPr>
        <w:t>Statement of Compatibility with Human Rights</w:t>
      </w:r>
    </w:p>
    <w:p w:rsidR="00A077F4" w:rsidRPr="005648EE" w:rsidRDefault="00CC0871" w:rsidP="00CB73D4">
      <w:pPr>
        <w:rPr>
          <w:rFonts w:cstheme="minorHAnsi"/>
        </w:rPr>
      </w:pPr>
      <w:r w:rsidRPr="00CC0871">
        <w:rPr>
          <w:rFonts w:cstheme="minorHAnsi"/>
        </w:rPr>
        <w:t xml:space="preserve">Subsection 9(1) of the </w:t>
      </w:r>
      <w:r w:rsidRPr="00CC0871">
        <w:rPr>
          <w:rFonts w:cstheme="minorHAnsi"/>
          <w:i/>
        </w:rPr>
        <w:t>Human Rights (Parliamentary Scrutiny) Act 2011</w:t>
      </w:r>
      <w:r w:rsidRPr="00CC0871">
        <w:rPr>
          <w:rFonts w:cstheme="minorHAnsi"/>
        </w:rPr>
        <w:t xml:space="preserve"> requires the rule maker in relation to a legislative instrument to which section 42 (disallowance) of the </w:t>
      </w:r>
      <w:r w:rsidRPr="00CC0871">
        <w:rPr>
          <w:rFonts w:cstheme="minorHAnsi"/>
          <w:i/>
        </w:rPr>
        <w:t>Legislative Instruments Act 2003</w:t>
      </w:r>
      <w:r w:rsidRPr="00CC0871">
        <w:rPr>
          <w:rFonts w:cstheme="minorHAnsi"/>
        </w:rPr>
        <w:t xml:space="preserve"> applies to cause a statement of compatibility to be prepared in respect of that legislative instrument. This statement is in Attachment A. </w:t>
      </w:r>
    </w:p>
    <w:p w:rsidR="00A077F4" w:rsidRPr="00EC4D12" w:rsidRDefault="00A077F4" w:rsidP="00A077F4">
      <w:pPr>
        <w:spacing w:line="360" w:lineRule="auto"/>
        <w:rPr>
          <w:rFonts w:ascii="Arial" w:hAnsi="Arial" w:cs="Arial"/>
          <w:b/>
          <w:sz w:val="20"/>
          <w:szCs w:val="20"/>
        </w:rPr>
      </w:pPr>
      <w:r w:rsidRPr="00EC4D12">
        <w:rPr>
          <w:rFonts w:ascii="Arial" w:hAnsi="Arial" w:cs="Arial"/>
          <w:b/>
          <w:sz w:val="20"/>
          <w:szCs w:val="20"/>
        </w:rPr>
        <w:t>Documents Incorporated by Reference</w:t>
      </w:r>
    </w:p>
    <w:p w:rsidR="00A077F4" w:rsidRPr="005648EE" w:rsidRDefault="00A077F4" w:rsidP="00CB73D4">
      <w:pPr>
        <w:rPr>
          <w:rFonts w:cstheme="minorHAnsi"/>
        </w:rPr>
      </w:pPr>
      <w:r w:rsidRPr="005648EE">
        <w:rPr>
          <w:rFonts w:cstheme="minorHAnsi"/>
        </w:rPr>
        <w:t>The Declaration incorporates the following documents by reference:</w:t>
      </w:r>
    </w:p>
    <w:p w:rsidR="00CC0871" w:rsidRPr="00CC0871" w:rsidRDefault="00CC0871" w:rsidP="00CC0871">
      <w:pPr>
        <w:pStyle w:val="definition"/>
        <w:numPr>
          <w:ilvl w:val="0"/>
          <w:numId w:val="4"/>
        </w:numPr>
        <w:spacing w:after="120"/>
        <w:ind w:left="0" w:firstLine="0"/>
        <w:rPr>
          <w:rFonts w:asciiTheme="minorHAnsi" w:hAnsiTheme="minorHAnsi" w:cstheme="minorHAnsi"/>
          <w:sz w:val="22"/>
          <w:szCs w:val="22"/>
        </w:rPr>
      </w:pPr>
      <w:r w:rsidRPr="00CC0871">
        <w:rPr>
          <w:rFonts w:asciiTheme="minorHAnsi" w:hAnsiTheme="minorHAnsi" w:cstheme="minorHAnsi"/>
          <w:sz w:val="22"/>
          <w:szCs w:val="22"/>
        </w:rPr>
        <w:t xml:space="preserve">the </w:t>
      </w:r>
      <w:r w:rsidRPr="00CC0871">
        <w:rPr>
          <w:rFonts w:asciiTheme="minorHAnsi" w:hAnsiTheme="minorHAnsi" w:cstheme="minorHAnsi"/>
          <w:i/>
          <w:sz w:val="22"/>
          <w:szCs w:val="22"/>
        </w:rPr>
        <w:t>Telecommunications Technical Standard (Broadcaster Interface Standard – ACA TS 024 – 1997</w:t>
      </w:r>
      <w:r w:rsidRPr="00CC0871">
        <w:rPr>
          <w:rFonts w:asciiTheme="minorHAnsi" w:hAnsiTheme="minorHAnsi" w:cstheme="minorHAnsi"/>
          <w:sz w:val="22"/>
          <w:szCs w:val="22"/>
        </w:rPr>
        <w:t>) made by the Australian Communications Authority</w:t>
      </w:r>
      <w:r w:rsidR="005C1705">
        <w:rPr>
          <w:rFonts w:asciiTheme="minorHAnsi" w:hAnsiTheme="minorHAnsi" w:cstheme="minorHAnsi"/>
          <w:sz w:val="22"/>
          <w:szCs w:val="22"/>
        </w:rPr>
        <w:t>,</w:t>
      </w:r>
      <w:r w:rsidRPr="00CC0871">
        <w:rPr>
          <w:rFonts w:asciiTheme="minorHAnsi" w:hAnsiTheme="minorHAnsi" w:cstheme="minorHAnsi"/>
          <w:sz w:val="22"/>
          <w:szCs w:val="22"/>
        </w:rPr>
        <w:t xml:space="preserve"> as in force from time to time.</w:t>
      </w:r>
    </w:p>
    <w:p w:rsidR="00CC0871" w:rsidRPr="00CC0871" w:rsidRDefault="005B6557" w:rsidP="00CC0871">
      <w:pPr>
        <w:pStyle w:val="ListParagraph"/>
        <w:numPr>
          <w:ilvl w:val="0"/>
          <w:numId w:val="4"/>
        </w:numPr>
        <w:spacing w:after="120"/>
        <w:ind w:left="0" w:firstLine="0"/>
        <w:rPr>
          <w:rFonts w:cstheme="minorHAnsi"/>
        </w:rPr>
      </w:pPr>
      <w:proofErr w:type="gramStart"/>
      <w:r w:rsidRPr="005648EE">
        <w:rPr>
          <w:rFonts w:cstheme="minorHAnsi"/>
        </w:rPr>
        <w:t>the</w:t>
      </w:r>
      <w:proofErr w:type="gramEnd"/>
      <w:r w:rsidRPr="005648EE">
        <w:rPr>
          <w:rFonts w:cstheme="minorHAnsi"/>
        </w:rPr>
        <w:t xml:space="preserve"> Australian Standard, AS 1851-2012 </w:t>
      </w:r>
      <w:r w:rsidRPr="005648EE">
        <w:rPr>
          <w:rFonts w:cstheme="minorHAnsi"/>
          <w:i/>
        </w:rPr>
        <w:t xml:space="preserve">Routine </w:t>
      </w:r>
      <w:r w:rsidR="00F96962">
        <w:rPr>
          <w:rFonts w:cstheme="minorHAnsi"/>
          <w:i/>
        </w:rPr>
        <w:t>s</w:t>
      </w:r>
      <w:r w:rsidRPr="005648EE">
        <w:rPr>
          <w:rFonts w:cstheme="minorHAnsi"/>
          <w:i/>
        </w:rPr>
        <w:t xml:space="preserve">ervice of </w:t>
      </w:r>
      <w:r w:rsidR="00F96962">
        <w:rPr>
          <w:rFonts w:cstheme="minorHAnsi"/>
          <w:i/>
        </w:rPr>
        <w:t>f</w:t>
      </w:r>
      <w:r w:rsidRPr="005648EE">
        <w:rPr>
          <w:rFonts w:cstheme="minorHAnsi"/>
          <w:i/>
        </w:rPr>
        <w:t xml:space="preserve">ire </w:t>
      </w:r>
      <w:r w:rsidR="00F96962">
        <w:rPr>
          <w:rFonts w:cstheme="minorHAnsi"/>
          <w:i/>
        </w:rPr>
        <w:t>p</w:t>
      </w:r>
      <w:r w:rsidRPr="005648EE">
        <w:rPr>
          <w:rFonts w:cstheme="minorHAnsi"/>
          <w:i/>
        </w:rPr>
        <w:t xml:space="preserve">rotection </w:t>
      </w:r>
      <w:r w:rsidR="00F96962">
        <w:rPr>
          <w:rFonts w:cstheme="minorHAnsi"/>
          <w:i/>
        </w:rPr>
        <w:t>s</w:t>
      </w:r>
      <w:r w:rsidRPr="005648EE">
        <w:rPr>
          <w:rFonts w:cstheme="minorHAnsi"/>
          <w:i/>
        </w:rPr>
        <w:t xml:space="preserve">ystems and </w:t>
      </w:r>
      <w:r w:rsidR="00F96962">
        <w:rPr>
          <w:rFonts w:cstheme="minorHAnsi"/>
          <w:i/>
        </w:rPr>
        <w:t>e</w:t>
      </w:r>
      <w:r w:rsidRPr="005648EE">
        <w:rPr>
          <w:rFonts w:cstheme="minorHAnsi"/>
          <w:i/>
        </w:rPr>
        <w:t>quipment</w:t>
      </w:r>
      <w:r w:rsidRPr="005648EE">
        <w:rPr>
          <w:rFonts w:cstheme="minorHAnsi"/>
        </w:rPr>
        <w:t>,</w:t>
      </w:r>
      <w:r w:rsidRPr="005648EE">
        <w:rPr>
          <w:rFonts w:cstheme="minorHAnsi"/>
          <w:i/>
        </w:rPr>
        <w:t xml:space="preserve"> </w:t>
      </w:r>
      <w:r w:rsidRPr="005648EE">
        <w:rPr>
          <w:rFonts w:cstheme="minorHAnsi"/>
        </w:rPr>
        <w:t xml:space="preserve">published by Standards Australia Limited, as in force from time to time. </w:t>
      </w:r>
    </w:p>
    <w:p w:rsidR="00CC0871" w:rsidRPr="00CC0871" w:rsidRDefault="005B6557" w:rsidP="00CC0871">
      <w:pPr>
        <w:pStyle w:val="ListParagraph"/>
        <w:numPr>
          <w:ilvl w:val="0"/>
          <w:numId w:val="4"/>
        </w:numPr>
        <w:spacing w:after="120"/>
        <w:ind w:left="0" w:firstLine="0"/>
        <w:rPr>
          <w:rFonts w:cstheme="minorHAnsi"/>
        </w:rPr>
      </w:pPr>
      <w:r w:rsidRPr="005648EE">
        <w:rPr>
          <w:rFonts w:cstheme="minorHAnsi"/>
        </w:rPr>
        <w:t>the Australian Standard, AS/ACIF S035:2008</w:t>
      </w:r>
      <w:r w:rsidRPr="005648EE">
        <w:rPr>
          <w:rFonts w:cstheme="minorHAnsi"/>
          <w:i/>
        </w:rPr>
        <w:t xml:space="preserve"> Requirements for installation of temporary field telecommunications customer cabling for defence purposes </w:t>
      </w:r>
      <w:r w:rsidR="001A12CE" w:rsidRPr="001A12CE">
        <w:rPr>
          <w:rFonts w:cstheme="minorHAnsi"/>
        </w:rPr>
        <w:t>published by Communications Alliance Ltd, as in force from time to time</w:t>
      </w:r>
      <w:r w:rsidR="00CC0871" w:rsidRPr="00CC0871">
        <w:rPr>
          <w:rFonts w:cstheme="minorHAnsi"/>
        </w:rPr>
        <w:t xml:space="preserve">; </w:t>
      </w:r>
    </w:p>
    <w:p w:rsidR="00CC0871" w:rsidRDefault="00075425" w:rsidP="00CC0871">
      <w:pPr>
        <w:pStyle w:val="ListParagraph"/>
        <w:numPr>
          <w:ilvl w:val="0"/>
          <w:numId w:val="4"/>
        </w:numPr>
        <w:ind w:left="0" w:firstLine="0"/>
        <w:rPr>
          <w:rFonts w:cstheme="minorHAnsi"/>
          <w:b/>
        </w:rPr>
      </w:pPr>
      <w:r w:rsidRPr="005648EE">
        <w:rPr>
          <w:rFonts w:cstheme="minorHAnsi"/>
        </w:rPr>
        <w:t>the Australian Standard AS/CA S009:2013 – Installation requirements for Customer Cabling (Wiring Rules) as in force from time to time; and</w:t>
      </w:r>
    </w:p>
    <w:p w:rsidR="00CC0871" w:rsidRPr="00CC0871" w:rsidRDefault="001A12CE" w:rsidP="00CC0871">
      <w:pPr>
        <w:pStyle w:val="ListParagraph"/>
        <w:numPr>
          <w:ilvl w:val="0"/>
          <w:numId w:val="4"/>
        </w:numPr>
        <w:spacing w:after="120"/>
        <w:ind w:left="0" w:firstLine="0"/>
        <w:rPr>
          <w:rFonts w:cstheme="minorHAnsi"/>
        </w:rPr>
      </w:pPr>
      <w:proofErr w:type="gramStart"/>
      <w:r w:rsidRPr="001A12CE">
        <w:rPr>
          <w:rFonts w:cstheme="minorHAnsi"/>
        </w:rPr>
        <w:t>the</w:t>
      </w:r>
      <w:proofErr w:type="gramEnd"/>
      <w:r w:rsidRPr="001A12CE">
        <w:rPr>
          <w:rFonts w:cstheme="minorHAnsi"/>
        </w:rPr>
        <w:t xml:space="preserve"> Industry Guideline G642:2010 </w:t>
      </w:r>
      <w:r w:rsidR="00CC0871" w:rsidRPr="00CC0871">
        <w:rPr>
          <w:rFonts w:cstheme="minorHAnsi"/>
          <w:i/>
        </w:rPr>
        <w:t>Installation of Broadcast Cabling and connection of Digital Broadcast Equipment to a Telecommunications Network</w:t>
      </w:r>
      <w:r w:rsidR="00CC0871" w:rsidRPr="00CC0871">
        <w:rPr>
          <w:rFonts w:cstheme="minorHAnsi"/>
        </w:rPr>
        <w:t xml:space="preserve"> issued by Communications Alliance Ltd</w:t>
      </w:r>
      <w:r w:rsidR="00F96962">
        <w:rPr>
          <w:rFonts w:cstheme="minorHAnsi"/>
        </w:rPr>
        <w:t>,</w:t>
      </w:r>
      <w:r w:rsidR="00CC0871" w:rsidRPr="00CC0871">
        <w:rPr>
          <w:rFonts w:cstheme="minorHAnsi"/>
        </w:rPr>
        <w:t xml:space="preserve"> as in force from time to time. </w:t>
      </w:r>
    </w:p>
    <w:p w:rsidR="005648EE" w:rsidRDefault="005648EE" w:rsidP="00CB73D4"/>
    <w:p w:rsidR="00CB73D4" w:rsidRDefault="00CB73D4" w:rsidP="00CB73D4">
      <w:pPr>
        <w:rPr>
          <w:b/>
        </w:rPr>
      </w:pPr>
      <w:r w:rsidRPr="00CB73D4">
        <w:rPr>
          <w:b/>
        </w:rPr>
        <w:t>Notes on the instrument</w:t>
      </w:r>
    </w:p>
    <w:p w:rsidR="00CB73D4" w:rsidRDefault="00CB73D4" w:rsidP="00CB73D4">
      <w:pPr>
        <w:rPr>
          <w:b/>
        </w:rPr>
      </w:pPr>
      <w:r>
        <w:rPr>
          <w:b/>
        </w:rPr>
        <w:t>Section 1 – Name of Declaration</w:t>
      </w:r>
    </w:p>
    <w:p w:rsidR="00CB73D4" w:rsidRDefault="00CB73D4" w:rsidP="00CB73D4">
      <w:r>
        <w:t xml:space="preserve">Section 1 provides that the name of the Declaration is the </w:t>
      </w:r>
      <w:r w:rsidRPr="00CB73D4">
        <w:rPr>
          <w:i/>
        </w:rPr>
        <w:t>Telecommunications (Types of Cabling Work) Declaration 2013.</w:t>
      </w:r>
      <w:r w:rsidRPr="00CB73D4">
        <w:t xml:space="preserve"> </w:t>
      </w:r>
      <w:r>
        <w:t xml:space="preserve"> </w:t>
      </w:r>
    </w:p>
    <w:p w:rsidR="00CB73D4" w:rsidRPr="00CB73D4" w:rsidRDefault="00CB73D4" w:rsidP="00CB73D4">
      <w:pPr>
        <w:rPr>
          <w:b/>
        </w:rPr>
      </w:pPr>
      <w:r w:rsidRPr="00CB73D4">
        <w:rPr>
          <w:b/>
        </w:rPr>
        <w:t>Section 2 – Commencement</w:t>
      </w:r>
    </w:p>
    <w:p w:rsidR="00FE4E88" w:rsidRDefault="00CB73D4" w:rsidP="00CB73D4">
      <w:r>
        <w:t>Section 2 provides that the Declaration</w:t>
      </w:r>
      <w:r w:rsidR="00205865">
        <w:t xml:space="preserve"> commences on the later </w:t>
      </w:r>
      <w:r w:rsidR="00FE4E88">
        <w:t xml:space="preserve">of the following </w:t>
      </w:r>
      <w:r w:rsidR="00205865">
        <w:t>date</w:t>
      </w:r>
      <w:r w:rsidR="00FE4E88">
        <w:t>s:</w:t>
      </w:r>
    </w:p>
    <w:p w:rsidR="00FE4E88" w:rsidRDefault="00FE4E88" w:rsidP="00FE4E88">
      <w:pPr>
        <w:pStyle w:val="ListParagraph"/>
        <w:numPr>
          <w:ilvl w:val="0"/>
          <w:numId w:val="1"/>
        </w:numPr>
      </w:pPr>
      <w:r>
        <w:t xml:space="preserve">the day </w:t>
      </w:r>
      <w:r w:rsidR="00205865">
        <w:t>after it is registered on the Federal Register of Legislative Instruments</w:t>
      </w:r>
      <w:r>
        <w:t>;</w:t>
      </w:r>
    </w:p>
    <w:p w:rsidR="00CB73D4" w:rsidRDefault="00205865" w:rsidP="00FE4E88">
      <w:pPr>
        <w:pStyle w:val="ListParagraph"/>
        <w:numPr>
          <w:ilvl w:val="0"/>
          <w:numId w:val="1"/>
        </w:numPr>
      </w:pPr>
      <w:r>
        <w:t xml:space="preserve"> the day that it is published in the Gazette. </w:t>
      </w:r>
      <w:r w:rsidR="00CB73D4">
        <w:t xml:space="preserve"> </w:t>
      </w:r>
    </w:p>
    <w:p w:rsidR="00FE4E88" w:rsidRPr="00FE4E88" w:rsidRDefault="00FE4E88" w:rsidP="00FE4E88">
      <w:pPr>
        <w:rPr>
          <w:b/>
        </w:rPr>
      </w:pPr>
      <w:r w:rsidRPr="00FE4E88">
        <w:rPr>
          <w:b/>
        </w:rPr>
        <w:t>Section 3 – Revocation</w:t>
      </w:r>
    </w:p>
    <w:p w:rsidR="00FE4E88" w:rsidRDefault="00FE4E88" w:rsidP="00FE4E88">
      <w:r>
        <w:t xml:space="preserve">Section 3 revokes the </w:t>
      </w:r>
      <w:r w:rsidRPr="00FE4E88">
        <w:rPr>
          <w:i/>
        </w:rPr>
        <w:t>Telecommunications (Types of Cabling Work) Declaration 1997</w:t>
      </w:r>
      <w:r>
        <w:t>.</w:t>
      </w:r>
    </w:p>
    <w:p w:rsidR="00FE4E88" w:rsidRPr="00FE4E88" w:rsidRDefault="00FE4E88" w:rsidP="00FE4E88">
      <w:pPr>
        <w:rPr>
          <w:b/>
        </w:rPr>
      </w:pPr>
      <w:r w:rsidRPr="00FE4E88">
        <w:rPr>
          <w:b/>
        </w:rPr>
        <w:lastRenderedPageBreak/>
        <w:t>Section 4 – Interpretation</w:t>
      </w:r>
    </w:p>
    <w:p w:rsidR="00FE4E88" w:rsidRDefault="00AD5D0B" w:rsidP="00FE4E88">
      <w:r>
        <w:t xml:space="preserve">Section 4 </w:t>
      </w:r>
      <w:r w:rsidR="00075425">
        <w:t xml:space="preserve">contains the definitions of terms used in the Declaration. The following definitions have been updated or added (compared to the previous Declaration): </w:t>
      </w:r>
    </w:p>
    <w:p w:rsidR="00AD13B3" w:rsidRDefault="00ED3911" w:rsidP="00AD63A7">
      <w:pPr>
        <w:pStyle w:val="ListParagraph"/>
        <w:numPr>
          <w:ilvl w:val="0"/>
          <w:numId w:val="2"/>
        </w:numPr>
      </w:pPr>
      <w:proofErr w:type="gramStart"/>
      <w:r>
        <w:t>the</w:t>
      </w:r>
      <w:proofErr w:type="gramEnd"/>
      <w:r>
        <w:t xml:space="preserve"> </w:t>
      </w:r>
      <w:r w:rsidRPr="00ED3911">
        <w:t>Australian Standard AS1851-2012</w:t>
      </w:r>
      <w:r w:rsidRPr="00AD63A7">
        <w:rPr>
          <w:i/>
        </w:rPr>
        <w:t xml:space="preserve"> Routine </w:t>
      </w:r>
      <w:r w:rsidR="00AD1806">
        <w:rPr>
          <w:i/>
        </w:rPr>
        <w:t>s</w:t>
      </w:r>
      <w:r w:rsidRPr="00AD63A7">
        <w:rPr>
          <w:i/>
        </w:rPr>
        <w:t xml:space="preserve">ervice of </w:t>
      </w:r>
      <w:r w:rsidR="00AD1806">
        <w:rPr>
          <w:i/>
        </w:rPr>
        <w:t>f</w:t>
      </w:r>
      <w:r w:rsidRPr="00AD63A7">
        <w:rPr>
          <w:i/>
        </w:rPr>
        <w:t xml:space="preserve">ire </w:t>
      </w:r>
      <w:r w:rsidR="00AD1806">
        <w:rPr>
          <w:i/>
        </w:rPr>
        <w:t>p</w:t>
      </w:r>
      <w:r w:rsidRPr="00AD63A7">
        <w:rPr>
          <w:i/>
        </w:rPr>
        <w:t xml:space="preserve">rotection </w:t>
      </w:r>
      <w:r w:rsidR="00AD1806">
        <w:rPr>
          <w:i/>
        </w:rPr>
        <w:t>s</w:t>
      </w:r>
      <w:r w:rsidRPr="00AD63A7">
        <w:rPr>
          <w:i/>
        </w:rPr>
        <w:t xml:space="preserve">ystems and </w:t>
      </w:r>
      <w:r w:rsidR="00AD1806">
        <w:rPr>
          <w:i/>
        </w:rPr>
        <w:t>e</w:t>
      </w:r>
      <w:r w:rsidRPr="00AD63A7">
        <w:rPr>
          <w:i/>
        </w:rPr>
        <w:t>quipment</w:t>
      </w:r>
      <w:r>
        <w:t xml:space="preserve"> published by Standards Australia Limited </w:t>
      </w:r>
      <w:r w:rsidR="00AD13B3">
        <w:t xml:space="preserve">replaces </w:t>
      </w:r>
      <w:r w:rsidR="00897E0B">
        <w:t>the following standards – AS 1851.3, AS 1851.8, AS 1851.10 and AS 1851.14</w:t>
      </w:r>
      <w:r>
        <w:t>.</w:t>
      </w:r>
    </w:p>
    <w:p w:rsidR="00ED3911" w:rsidRDefault="00152E19" w:rsidP="00AD63A7">
      <w:pPr>
        <w:pStyle w:val="ListParagraph"/>
        <w:numPr>
          <w:ilvl w:val="0"/>
          <w:numId w:val="2"/>
        </w:numPr>
      </w:pPr>
      <w:r w:rsidRPr="00AD63A7">
        <w:rPr>
          <w:i/>
        </w:rPr>
        <w:t xml:space="preserve">‘Associated customer </w:t>
      </w:r>
      <w:r w:rsidR="00075425">
        <w:rPr>
          <w:i/>
        </w:rPr>
        <w:t>equipment</w:t>
      </w:r>
      <w:r w:rsidR="00075425" w:rsidRPr="00AD63A7">
        <w:rPr>
          <w:i/>
        </w:rPr>
        <w:t xml:space="preserve">’ </w:t>
      </w:r>
      <w:r w:rsidRPr="00152E19">
        <w:t>has been re-named</w:t>
      </w:r>
      <w:r w:rsidRPr="00AD63A7">
        <w:rPr>
          <w:i/>
        </w:rPr>
        <w:t xml:space="preserve"> </w:t>
      </w:r>
      <w:r w:rsidRPr="00170F0F">
        <w:rPr>
          <w:i/>
        </w:rPr>
        <w:t>‘</w:t>
      </w:r>
      <w:r w:rsidR="00ED3911" w:rsidRPr="00170F0F">
        <w:rPr>
          <w:i/>
        </w:rPr>
        <w:t>Associated customer cabling product</w:t>
      </w:r>
      <w:r w:rsidRPr="00170F0F">
        <w:rPr>
          <w:i/>
        </w:rPr>
        <w:t>’</w:t>
      </w:r>
      <w:r w:rsidRPr="00AD63A7">
        <w:rPr>
          <w:b/>
          <w:i/>
        </w:rPr>
        <w:t>.</w:t>
      </w:r>
      <w:r w:rsidR="00ED3911" w:rsidRPr="00AD63A7">
        <w:rPr>
          <w:b/>
          <w:i/>
        </w:rPr>
        <w:t xml:space="preserve"> </w:t>
      </w:r>
      <w:r w:rsidR="00ED3911">
        <w:t xml:space="preserve"> </w:t>
      </w:r>
      <w:r w:rsidR="0086337A">
        <w:t xml:space="preserve">The </w:t>
      </w:r>
      <w:r w:rsidR="008D5033">
        <w:t xml:space="preserve">change in terminology is more in line with the definitions of ‘customer equipment’ and ‘customer cabling’ in the </w:t>
      </w:r>
      <w:r w:rsidR="00A52DB8">
        <w:t>Act</w:t>
      </w:r>
      <w:r>
        <w:t xml:space="preserve">. </w:t>
      </w:r>
      <w:r w:rsidR="0086337A">
        <w:t xml:space="preserve">The definition has </w:t>
      </w:r>
      <w:r w:rsidR="00A52DB8">
        <w:t xml:space="preserve">also </w:t>
      </w:r>
      <w:r w:rsidR="0086337A">
        <w:t xml:space="preserve">been updated to </w:t>
      </w:r>
      <w:r w:rsidR="00075425">
        <w:t>include</w:t>
      </w:r>
      <w:r w:rsidR="00AD63A7">
        <w:t xml:space="preserve"> ‘customer equipment connecting cords’ and ‘plug/socket adaptors’.</w:t>
      </w:r>
    </w:p>
    <w:p w:rsidR="00AD63A7" w:rsidRDefault="00AD63A7" w:rsidP="00AD63A7">
      <w:pPr>
        <w:pStyle w:val="ListParagraph"/>
        <w:numPr>
          <w:ilvl w:val="0"/>
          <w:numId w:val="2"/>
        </w:numPr>
      </w:pPr>
      <w:r>
        <w:t xml:space="preserve">The definition of </w:t>
      </w:r>
      <w:r w:rsidRPr="00170F0F">
        <w:t>‘broadcaster’</w:t>
      </w:r>
      <w:r>
        <w:t xml:space="preserve"> has been updated </w:t>
      </w:r>
      <w:r w:rsidR="001B2E84">
        <w:t xml:space="preserve">to </w:t>
      </w:r>
      <w:r w:rsidR="00075425">
        <w:t xml:space="preserve">reflect changes to the </w:t>
      </w:r>
      <w:r w:rsidR="00CC0871" w:rsidRPr="00CC0871">
        <w:rPr>
          <w:i/>
        </w:rPr>
        <w:t>Broadcasting Services Act</w:t>
      </w:r>
      <w:r w:rsidR="00075425">
        <w:rPr>
          <w:i/>
        </w:rPr>
        <w:t xml:space="preserve"> 1992</w:t>
      </w:r>
      <w:r w:rsidR="004319DE">
        <w:t xml:space="preserve">. </w:t>
      </w:r>
    </w:p>
    <w:p w:rsidR="004319DE" w:rsidRDefault="00F541B0" w:rsidP="00AD63A7">
      <w:pPr>
        <w:pStyle w:val="ListParagraph"/>
        <w:numPr>
          <w:ilvl w:val="0"/>
          <w:numId w:val="2"/>
        </w:numPr>
      </w:pPr>
      <w:r>
        <w:t xml:space="preserve">The definition of </w:t>
      </w:r>
      <w:r w:rsidRPr="00170F0F">
        <w:t>‘criminal law-enforcement agency’</w:t>
      </w:r>
      <w:r>
        <w:t xml:space="preserve"> has been revised to </w:t>
      </w:r>
      <w:r w:rsidR="00A52DB8">
        <w:t xml:space="preserve">reflect changes to the definition of the same term in the </w:t>
      </w:r>
      <w:r w:rsidRPr="00F541B0">
        <w:rPr>
          <w:i/>
        </w:rPr>
        <w:t>Telecommunications (Interception and Access) Act 1979</w:t>
      </w:r>
      <w:r w:rsidRPr="00772E84">
        <w:t>.</w:t>
      </w:r>
      <w:r>
        <w:t xml:space="preserve">  </w:t>
      </w:r>
    </w:p>
    <w:p w:rsidR="00772E84" w:rsidRDefault="006B0FEF" w:rsidP="00AD63A7">
      <w:pPr>
        <w:pStyle w:val="ListParagraph"/>
        <w:numPr>
          <w:ilvl w:val="0"/>
          <w:numId w:val="2"/>
        </w:numPr>
      </w:pPr>
      <w:r>
        <w:t xml:space="preserve">The definition of </w:t>
      </w:r>
      <w:r w:rsidRPr="00170F0F">
        <w:t>‘customer equipment connecting cord’</w:t>
      </w:r>
      <w:r>
        <w:t xml:space="preserve"> has been included to recognise that </w:t>
      </w:r>
      <w:r w:rsidR="00725395">
        <w:t xml:space="preserve">in some </w:t>
      </w:r>
      <w:r w:rsidR="003D2DFD">
        <w:t>instances</w:t>
      </w:r>
      <w:r w:rsidR="00A9300D">
        <w:t xml:space="preserve"> customer equipment can be</w:t>
      </w:r>
      <w:r w:rsidR="00725395">
        <w:t xml:space="preserve"> supplied</w:t>
      </w:r>
      <w:r w:rsidR="004B7531">
        <w:t xml:space="preserve"> with </w:t>
      </w:r>
      <w:r w:rsidR="00934211">
        <w:t>a cord</w:t>
      </w:r>
      <w:r w:rsidR="004B7531">
        <w:t xml:space="preserve"> </w:t>
      </w:r>
      <w:r w:rsidR="003D2DFD">
        <w:t xml:space="preserve">(as part of the equipment) </w:t>
      </w:r>
      <w:r w:rsidR="004B7531">
        <w:t>that enable</w:t>
      </w:r>
      <w:r w:rsidR="00934211">
        <w:t>s a person</w:t>
      </w:r>
      <w:r w:rsidR="004B7531">
        <w:t xml:space="preserve"> to connect the customer equipment to a telecommunications network. ‘Customer equipment</w:t>
      </w:r>
      <w:r w:rsidR="00A9300D">
        <w:t xml:space="preserve"> connecting cord’ is a type of associated customer cabling product.</w:t>
      </w:r>
      <w:r w:rsidR="004B7531">
        <w:t xml:space="preserve"> </w:t>
      </w:r>
    </w:p>
    <w:p w:rsidR="003938A3" w:rsidRDefault="00782404" w:rsidP="00AD63A7">
      <w:pPr>
        <w:pStyle w:val="ListParagraph"/>
        <w:numPr>
          <w:ilvl w:val="0"/>
          <w:numId w:val="2"/>
        </w:numPr>
      </w:pPr>
      <w:r>
        <w:t>The definition of ‘</w:t>
      </w:r>
      <w:r w:rsidR="003938A3" w:rsidRPr="00170F0F">
        <w:t>Wiring Rules</w:t>
      </w:r>
      <w:r>
        <w:t>’</w:t>
      </w:r>
      <w:r w:rsidR="003938A3">
        <w:t xml:space="preserve"> </w:t>
      </w:r>
      <w:r w:rsidR="00A52DB8">
        <w:t xml:space="preserve">now </w:t>
      </w:r>
      <w:r w:rsidR="003938A3">
        <w:t>refer</w:t>
      </w:r>
      <w:r w:rsidR="00EE12F6">
        <w:t>s</w:t>
      </w:r>
      <w:r w:rsidR="003938A3">
        <w:t xml:space="preserve"> to </w:t>
      </w:r>
      <w:r w:rsidR="00EE12F6">
        <w:t xml:space="preserve">the </w:t>
      </w:r>
      <w:r w:rsidR="003938A3">
        <w:t>Australian Standard AS/CA S009:2013</w:t>
      </w:r>
      <w:r w:rsidR="00EE12F6">
        <w:t xml:space="preserve"> – Installation requirements for customer cabling (Wiring Rules) as in force from time to time</w:t>
      </w:r>
      <w:r w:rsidR="00897E0B">
        <w:t>,</w:t>
      </w:r>
      <w:r w:rsidR="00EE12F6">
        <w:t xml:space="preserve"> or a standard that is published in </w:t>
      </w:r>
      <w:r w:rsidR="004E7640">
        <w:t xml:space="preserve">its </w:t>
      </w:r>
      <w:r w:rsidR="00EE12F6">
        <w:t>place</w:t>
      </w:r>
      <w:r w:rsidR="004E7640">
        <w:t>.</w:t>
      </w:r>
      <w:r w:rsidR="00A52DB8">
        <w:t xml:space="preserve"> The 2013 standard commenced on 1 July 2013 and replaces the 2009 version. </w:t>
      </w:r>
    </w:p>
    <w:p w:rsidR="003938A3" w:rsidRPr="00EE12F6" w:rsidRDefault="003938A3" w:rsidP="003938A3">
      <w:pPr>
        <w:rPr>
          <w:b/>
        </w:rPr>
      </w:pPr>
      <w:r w:rsidRPr="00EE12F6">
        <w:rPr>
          <w:b/>
        </w:rPr>
        <w:t>Section 5 - Types of cabling work</w:t>
      </w:r>
    </w:p>
    <w:p w:rsidR="00932295" w:rsidRDefault="00EE12F6" w:rsidP="003938A3">
      <w:r>
        <w:t xml:space="preserve">Section 5 provides that any cabling work that is not </w:t>
      </w:r>
      <w:r w:rsidR="004E7640">
        <w:t>listed</w:t>
      </w:r>
      <w:r>
        <w:t xml:space="preserve"> in Schedule 1 of the Declaration </w:t>
      </w:r>
      <w:r w:rsidR="00A52DB8">
        <w:t xml:space="preserve">is cabling work for the purposes of </w:t>
      </w:r>
      <w:r>
        <w:t>Division 9 of Part 21 of the Act.</w:t>
      </w:r>
      <w:r w:rsidR="004E7640">
        <w:t xml:space="preserve"> </w:t>
      </w:r>
      <w:r w:rsidR="00A52DB8">
        <w:t xml:space="preserve">Cabling work that is not of a kind specified in Schedule 1 must comply with the provisions of the Act. </w:t>
      </w:r>
    </w:p>
    <w:p w:rsidR="004E7640" w:rsidRPr="009F23C1" w:rsidRDefault="004E7640" w:rsidP="003938A3">
      <w:pPr>
        <w:rPr>
          <w:b/>
        </w:rPr>
      </w:pPr>
      <w:r w:rsidRPr="009F23C1">
        <w:rPr>
          <w:b/>
        </w:rPr>
        <w:t>Schedule 1</w:t>
      </w:r>
      <w:r w:rsidR="009F23C1" w:rsidRPr="009F23C1">
        <w:rPr>
          <w:b/>
        </w:rPr>
        <w:t xml:space="preserve"> Cabling work that is not a type of cabling work for Division 9 of Part 21 of the Act</w:t>
      </w:r>
    </w:p>
    <w:p w:rsidR="00DA1413" w:rsidRDefault="00B409FB" w:rsidP="003938A3">
      <w:r>
        <w:t xml:space="preserve">Items 1 to 9 of </w:t>
      </w:r>
      <w:r w:rsidR="00073BCE">
        <w:t xml:space="preserve">Schedule 1 </w:t>
      </w:r>
      <w:r>
        <w:t>specify the</w:t>
      </w:r>
      <w:r w:rsidR="00073BCE">
        <w:t xml:space="preserve"> types of cabling work that are </w:t>
      </w:r>
      <w:r>
        <w:t xml:space="preserve">not subject to </w:t>
      </w:r>
      <w:r w:rsidR="00073BCE">
        <w:t>the requirements of Division 9 of Pa</w:t>
      </w:r>
      <w:r w:rsidR="008C24D6">
        <w:t xml:space="preserve">rt 21 of the Act. </w:t>
      </w:r>
      <w:r>
        <w:t>E</w:t>
      </w:r>
      <w:r w:rsidR="00325747">
        <w:t xml:space="preserve">ach type of cabling work in Schedule 1 is subject to specified conditions </w:t>
      </w:r>
      <w:r>
        <w:t>such as that</w:t>
      </w:r>
      <w:r w:rsidR="00DA1413">
        <w:t>:</w:t>
      </w:r>
    </w:p>
    <w:p w:rsidR="00E40EF3" w:rsidRDefault="00325747" w:rsidP="00DA1413">
      <w:pPr>
        <w:pStyle w:val="ListParagraph"/>
        <w:numPr>
          <w:ilvl w:val="0"/>
          <w:numId w:val="3"/>
        </w:numPr>
      </w:pPr>
      <w:r>
        <w:t xml:space="preserve">the cabling work be performed by </w:t>
      </w:r>
      <w:r w:rsidR="00DA1413">
        <w:t>members of a particular organisation</w:t>
      </w:r>
      <w:r w:rsidR="00E40EF3">
        <w:t>;</w:t>
      </w:r>
    </w:p>
    <w:p w:rsidR="00E40EF3" w:rsidRDefault="00E40EF3" w:rsidP="00DA1413">
      <w:pPr>
        <w:pStyle w:val="ListParagraph"/>
        <w:numPr>
          <w:ilvl w:val="0"/>
          <w:numId w:val="3"/>
        </w:numPr>
      </w:pPr>
      <w:r>
        <w:t xml:space="preserve">the cabling work </w:t>
      </w:r>
      <w:r w:rsidR="004E2FDD">
        <w:t>be</w:t>
      </w:r>
      <w:r>
        <w:t xml:space="preserve"> used </w:t>
      </w:r>
      <w:r w:rsidR="00DA1413">
        <w:t xml:space="preserve">for </w:t>
      </w:r>
      <w:r>
        <w:t xml:space="preserve">a </w:t>
      </w:r>
      <w:r w:rsidR="00DA1413">
        <w:t xml:space="preserve">particular </w:t>
      </w:r>
      <w:r>
        <w:t>purpose;</w:t>
      </w:r>
    </w:p>
    <w:p w:rsidR="009B58DE" w:rsidRDefault="009B58DE" w:rsidP="00DA1413">
      <w:pPr>
        <w:pStyle w:val="ListParagraph"/>
        <w:numPr>
          <w:ilvl w:val="0"/>
          <w:numId w:val="3"/>
        </w:numPr>
      </w:pPr>
      <w:r>
        <w:t>the cabling work is connected or installed in a particular manner;</w:t>
      </w:r>
    </w:p>
    <w:p w:rsidR="00E40EF3" w:rsidRDefault="00E40EF3" w:rsidP="00DA1413">
      <w:pPr>
        <w:pStyle w:val="ListParagraph"/>
        <w:numPr>
          <w:ilvl w:val="0"/>
          <w:numId w:val="3"/>
        </w:numPr>
      </w:pPr>
      <w:r>
        <w:t xml:space="preserve">the cabling work be performed in accordance with specified </w:t>
      </w:r>
      <w:r w:rsidR="009B58DE">
        <w:t>technical</w:t>
      </w:r>
      <w:r>
        <w:t xml:space="preserve"> requirements; and</w:t>
      </w:r>
      <w:r w:rsidR="004E2FDD">
        <w:t>/</w:t>
      </w:r>
      <w:r>
        <w:t>or</w:t>
      </w:r>
    </w:p>
    <w:p w:rsidR="004E1D54" w:rsidRDefault="00E40EF3" w:rsidP="00DA1413">
      <w:pPr>
        <w:pStyle w:val="ListParagraph"/>
        <w:numPr>
          <w:ilvl w:val="0"/>
          <w:numId w:val="3"/>
        </w:numPr>
      </w:pPr>
      <w:r>
        <w:t>the ca</w:t>
      </w:r>
      <w:r w:rsidR="004E2FDD">
        <w:t>bling work must utilise certain specified</w:t>
      </w:r>
      <w:r>
        <w:t xml:space="preserve"> cabling products.</w:t>
      </w:r>
      <w:r w:rsidR="004E1D54">
        <w:t xml:space="preserve"> </w:t>
      </w:r>
    </w:p>
    <w:p w:rsidR="00E8727D" w:rsidRDefault="00E8727D">
      <w:pPr>
        <w:rPr>
          <w:b/>
        </w:rPr>
      </w:pPr>
      <w:r>
        <w:rPr>
          <w:b/>
        </w:rPr>
        <w:br w:type="page"/>
      </w:r>
    </w:p>
    <w:p w:rsidR="009F23C1" w:rsidRDefault="00073BCE" w:rsidP="003938A3">
      <w:r w:rsidRPr="004E2FDD">
        <w:rPr>
          <w:b/>
        </w:rPr>
        <w:t>Item [1]</w:t>
      </w:r>
      <w:r>
        <w:t xml:space="preserve"> </w:t>
      </w:r>
      <w:r w:rsidR="00223E2F">
        <w:t>specifies</w:t>
      </w:r>
      <w:r w:rsidR="004E2FDD">
        <w:t xml:space="preserve"> cabling work</w:t>
      </w:r>
      <w:r w:rsidR="00B409FB">
        <w:t xml:space="preserve"> where the customer cabling is </w:t>
      </w:r>
      <w:r w:rsidR="004E2FDD">
        <w:t xml:space="preserve">used by broadcasters and narrowcasters </w:t>
      </w:r>
      <w:r w:rsidR="00B409FB">
        <w:t>and the work is</w:t>
      </w:r>
      <w:r w:rsidR="004E2FDD">
        <w:t xml:space="preserve"> in accordance with either </w:t>
      </w:r>
      <w:r w:rsidR="00B409FB">
        <w:t xml:space="preserve">the Australian Standard </w:t>
      </w:r>
      <w:r w:rsidR="004E2FDD">
        <w:t xml:space="preserve">ACA TS 024-1997 or Industry Guideline G642:2010 or </w:t>
      </w:r>
      <w:r w:rsidR="00163CD6">
        <w:t>in accordance with</w:t>
      </w:r>
      <w:r w:rsidR="004E2FDD">
        <w:t xml:space="preserve"> the written consent of the manager of the network.</w:t>
      </w:r>
    </w:p>
    <w:p w:rsidR="00230247" w:rsidRDefault="00230247" w:rsidP="003938A3">
      <w:r w:rsidRPr="00230247">
        <w:rPr>
          <w:b/>
        </w:rPr>
        <w:t>Item [2]</w:t>
      </w:r>
      <w:r w:rsidR="00B409FB">
        <w:rPr>
          <w:b/>
        </w:rPr>
        <w:t xml:space="preserve"> </w:t>
      </w:r>
      <w:r w:rsidR="00223E2F">
        <w:t xml:space="preserve">specifies </w:t>
      </w:r>
      <w:r w:rsidR="00B409FB">
        <w:t>c</w:t>
      </w:r>
      <w:r>
        <w:t xml:space="preserve">abling work used by </w:t>
      </w:r>
      <w:r w:rsidRPr="009B58DE">
        <w:t>criminal law enforcement agencies</w:t>
      </w:r>
      <w:r>
        <w:t xml:space="preserve"> under a warrant issued under a law of the Commonwealth, a State or Territory.</w:t>
      </w:r>
    </w:p>
    <w:p w:rsidR="00230247" w:rsidRDefault="00230247" w:rsidP="003938A3">
      <w:r w:rsidRPr="00230247">
        <w:rPr>
          <w:b/>
        </w:rPr>
        <w:t>Item [3]</w:t>
      </w:r>
      <w:r>
        <w:t xml:space="preserve"> </w:t>
      </w:r>
      <w:r w:rsidR="00223E2F">
        <w:t>specifies c</w:t>
      </w:r>
      <w:r>
        <w:t xml:space="preserve">abling work used by the </w:t>
      </w:r>
      <w:r w:rsidRPr="009B58DE">
        <w:t>Department of Defence or the Defence Force</w:t>
      </w:r>
      <w:r>
        <w:t xml:space="preserve"> for temporary field telecommunications installations that meet the requirements of AS/ACIF S035:2008.</w:t>
      </w:r>
    </w:p>
    <w:p w:rsidR="00230247" w:rsidRDefault="00230247" w:rsidP="003938A3">
      <w:r w:rsidRPr="00230247">
        <w:rPr>
          <w:b/>
        </w:rPr>
        <w:t>Item [4]</w:t>
      </w:r>
      <w:r w:rsidR="00B0463A">
        <w:t xml:space="preserve"> </w:t>
      </w:r>
      <w:r w:rsidR="00223E2F">
        <w:t>specifies c</w:t>
      </w:r>
      <w:r w:rsidR="00B0463A">
        <w:t>abling work that involves</w:t>
      </w:r>
      <w:r>
        <w:t xml:space="preserve"> the connection of </w:t>
      </w:r>
      <w:r w:rsidRPr="009B58DE">
        <w:t>associated customer cabling products</w:t>
      </w:r>
      <w:r>
        <w:t>. This</w:t>
      </w:r>
      <w:r w:rsidR="00B0463A">
        <w:t xml:space="preserve"> provision allows </w:t>
      </w:r>
      <w:r w:rsidR="00934211">
        <w:t xml:space="preserve">an </w:t>
      </w:r>
      <w:r w:rsidR="00B0463A">
        <w:t xml:space="preserve">unskilled </w:t>
      </w:r>
      <w:r w:rsidR="00934211">
        <w:t>person</w:t>
      </w:r>
      <w:r w:rsidR="00B0463A">
        <w:t xml:space="preserve"> to connect compliant </w:t>
      </w:r>
      <w:r w:rsidR="00A76F4D">
        <w:t xml:space="preserve">pre-terminated </w:t>
      </w:r>
      <w:r w:rsidR="00B0463A">
        <w:t xml:space="preserve">‘plug-and-play’ type cabling work without the requirement to </w:t>
      </w:r>
      <w:r w:rsidR="00163CD6">
        <w:t>engage the services of</w:t>
      </w:r>
      <w:r w:rsidR="00B0463A">
        <w:t xml:space="preserve"> a registered cabling provider. The exemption does not allow </w:t>
      </w:r>
      <w:r w:rsidR="008455B8">
        <w:t>the</w:t>
      </w:r>
      <w:r w:rsidR="00B0463A">
        <w:t xml:space="preserve"> connect</w:t>
      </w:r>
      <w:r w:rsidR="008455B8">
        <w:t>ion of</w:t>
      </w:r>
      <w:r w:rsidR="00B0463A">
        <w:t xml:space="preserve"> cabling work </w:t>
      </w:r>
      <w:r w:rsidR="00A76F4D">
        <w:t>where any part of the cabling is concealed within roof, ceil</w:t>
      </w:r>
      <w:r w:rsidR="008455B8">
        <w:t>ing or wall cavities. Where the</w:t>
      </w:r>
      <w:r w:rsidR="00A76F4D">
        <w:t xml:space="preserve"> conceal</w:t>
      </w:r>
      <w:r w:rsidR="008455B8">
        <w:t xml:space="preserve">ment of </w:t>
      </w:r>
      <w:r w:rsidR="00A76F4D">
        <w:t>cabling work within</w:t>
      </w:r>
      <w:r w:rsidR="008455B8">
        <w:t xml:space="preserve"> the cavities of a building is </w:t>
      </w:r>
      <w:r w:rsidR="00A76F4D">
        <w:t>required</w:t>
      </w:r>
      <w:r w:rsidR="008455B8">
        <w:t xml:space="preserve">, </w:t>
      </w:r>
      <w:r w:rsidR="00A76F4D">
        <w:t>a registered cabling provider</w:t>
      </w:r>
      <w:r w:rsidR="008455B8">
        <w:t xml:space="preserve"> </w:t>
      </w:r>
      <w:r w:rsidR="00B409FB">
        <w:t xml:space="preserve">must </w:t>
      </w:r>
      <w:r w:rsidR="008455B8">
        <w:t>be used</w:t>
      </w:r>
      <w:r w:rsidR="00B409FB">
        <w:t xml:space="preserve"> for the work to comply with the Act</w:t>
      </w:r>
      <w:r w:rsidR="00A76F4D">
        <w:t xml:space="preserve">.  </w:t>
      </w:r>
    </w:p>
    <w:p w:rsidR="00B409FB" w:rsidRDefault="00A76F4D" w:rsidP="003938A3">
      <w:r w:rsidRPr="002A5E1D">
        <w:rPr>
          <w:b/>
        </w:rPr>
        <w:t>Item</w:t>
      </w:r>
      <w:r w:rsidR="00B409FB">
        <w:rPr>
          <w:b/>
        </w:rPr>
        <w:t>s</w:t>
      </w:r>
      <w:r w:rsidRPr="002A5E1D">
        <w:rPr>
          <w:b/>
        </w:rPr>
        <w:t xml:space="preserve"> [5]</w:t>
      </w:r>
      <w:r w:rsidR="00B409FB">
        <w:rPr>
          <w:b/>
        </w:rPr>
        <w:t xml:space="preserve">, [6], [7] and [8] </w:t>
      </w:r>
      <w:r w:rsidR="00223E2F">
        <w:t>specify</w:t>
      </w:r>
      <w:r w:rsidR="00B409FB">
        <w:t xml:space="preserve"> c</w:t>
      </w:r>
      <w:r>
        <w:t xml:space="preserve">abling work that is undertaken for the </w:t>
      </w:r>
      <w:r w:rsidR="002A5E1D">
        <w:t xml:space="preserve">sole </w:t>
      </w:r>
      <w:r>
        <w:t>purpose of inspecting, testing and maintaining</w:t>
      </w:r>
      <w:r w:rsidR="00B409FB">
        <w:t>:</w:t>
      </w:r>
    </w:p>
    <w:p w:rsidR="00CC0871" w:rsidRDefault="00A76F4D" w:rsidP="00CC0871">
      <w:pPr>
        <w:pStyle w:val="ListParagraph"/>
        <w:numPr>
          <w:ilvl w:val="0"/>
          <w:numId w:val="5"/>
        </w:numPr>
      </w:pPr>
      <w:r>
        <w:t>automatic fire sprinkler systems</w:t>
      </w:r>
      <w:r w:rsidR="00B409FB">
        <w:t>;</w:t>
      </w:r>
    </w:p>
    <w:p w:rsidR="00CC0871" w:rsidRDefault="00B409FB" w:rsidP="00CC0871">
      <w:pPr>
        <w:pStyle w:val="ListParagraph"/>
        <w:numPr>
          <w:ilvl w:val="0"/>
          <w:numId w:val="5"/>
        </w:numPr>
      </w:pPr>
      <w:r>
        <w:t>fire detection and alarm systems;</w:t>
      </w:r>
    </w:p>
    <w:p w:rsidR="00CC0871" w:rsidRDefault="00B409FB" w:rsidP="00CC0871">
      <w:pPr>
        <w:pStyle w:val="ListParagraph"/>
        <w:numPr>
          <w:ilvl w:val="0"/>
          <w:numId w:val="5"/>
        </w:numPr>
      </w:pPr>
      <w:r>
        <w:t>an emergency warning and intercommunication system; and</w:t>
      </w:r>
    </w:p>
    <w:p w:rsidR="00CC0871" w:rsidRDefault="00B409FB" w:rsidP="00CC0871">
      <w:pPr>
        <w:pStyle w:val="ListParagraph"/>
        <w:numPr>
          <w:ilvl w:val="0"/>
          <w:numId w:val="5"/>
        </w:numPr>
      </w:pPr>
      <w:proofErr w:type="gramStart"/>
      <w:r>
        <w:t>a</w:t>
      </w:r>
      <w:proofErr w:type="gramEnd"/>
      <w:r>
        <w:t xml:space="preserve"> </w:t>
      </w:r>
      <w:proofErr w:type="spellStart"/>
      <w:r>
        <w:t>pumpset</w:t>
      </w:r>
      <w:proofErr w:type="spellEnd"/>
      <w:r>
        <w:t xml:space="preserve"> system.</w:t>
      </w:r>
    </w:p>
    <w:p w:rsidR="00A76F4D" w:rsidRDefault="00A76F4D" w:rsidP="00B409FB">
      <w:r>
        <w:t>The performance of this type of cabling work is subject to the requirements of AS 1851-2012</w:t>
      </w:r>
      <w:r w:rsidR="00223E2F">
        <w:t xml:space="preserve">, the Australian Standard which has replaced the previous 2005 standards.  Only cabling work that is compliant with that standard is not a type of cabling work for the purposes of Division 9 of Part 21 of the Act. </w:t>
      </w:r>
    </w:p>
    <w:p w:rsidR="002A5E1D" w:rsidRDefault="002A5E1D" w:rsidP="003938A3">
      <w:r w:rsidRPr="002A5E1D">
        <w:rPr>
          <w:b/>
        </w:rPr>
        <w:t>Item [9]</w:t>
      </w:r>
      <w:r>
        <w:t xml:space="preserve"> </w:t>
      </w:r>
      <w:r w:rsidR="00E34944">
        <w:t>specifies c</w:t>
      </w:r>
      <w:r>
        <w:t xml:space="preserve">abling work that involves the installation and maintenance of customer cabling that is used in relation to broadcasting content during a significant event. </w:t>
      </w:r>
      <w:r w:rsidR="00E34944">
        <w:t xml:space="preserve">‘Significant event’ is defined in section 4. </w:t>
      </w:r>
      <w:r>
        <w:t>The cabling work must be connected in accordance to the requirements of the manager of the network and must be completely dismantled at the end of the significant event</w:t>
      </w:r>
      <w:r w:rsidR="00E34944">
        <w:t>, for it to fall within the scope of Item 9</w:t>
      </w:r>
      <w:r>
        <w:t xml:space="preserve">. </w:t>
      </w:r>
    </w:p>
    <w:p w:rsidR="003B0764" w:rsidRDefault="003B0764">
      <w:r>
        <w:br w:type="page"/>
      </w:r>
    </w:p>
    <w:p w:rsidR="00CC0871" w:rsidRPr="00CC0871" w:rsidRDefault="003B0764" w:rsidP="00CC0871">
      <w:pPr>
        <w:rPr>
          <w:rFonts w:cstheme="minorHAnsi"/>
          <w:b/>
          <w:sz w:val="28"/>
          <w:szCs w:val="28"/>
        </w:rPr>
      </w:pPr>
      <w:r w:rsidRPr="005F269F">
        <w:rPr>
          <w:b/>
          <w:sz w:val="28"/>
          <w:szCs w:val="28"/>
        </w:rPr>
        <w:t>Attachment A</w:t>
      </w:r>
      <w:r w:rsidR="00595F2D">
        <w:rPr>
          <w:rFonts w:ascii="Times New Roman" w:hAnsi="Times New Roman"/>
          <w:b/>
          <w:sz w:val="28"/>
          <w:szCs w:val="28"/>
        </w:rPr>
        <w:t xml:space="preserve"> - </w:t>
      </w:r>
      <w:r w:rsidR="00CC0871" w:rsidRPr="00CC0871">
        <w:rPr>
          <w:rFonts w:cstheme="minorHAnsi"/>
          <w:b/>
          <w:sz w:val="28"/>
          <w:szCs w:val="28"/>
        </w:rPr>
        <w:t>Statement of Compatibility with Human Rights</w:t>
      </w:r>
    </w:p>
    <w:p w:rsidR="00595F2D" w:rsidRPr="00883DDD" w:rsidRDefault="005B2166" w:rsidP="00595F2D">
      <w:pPr>
        <w:spacing w:before="120" w:after="120"/>
        <w:jc w:val="center"/>
        <w:rPr>
          <w:rFonts w:cstheme="minorHAnsi"/>
        </w:rPr>
      </w:pPr>
      <w:r w:rsidRPr="005B2166">
        <w:rPr>
          <w:rFonts w:cstheme="minorHAnsi"/>
        </w:rPr>
        <w:t>Prepared in accordance with Part 3 of the</w:t>
      </w:r>
      <w:r w:rsidRPr="005B2166">
        <w:rPr>
          <w:rFonts w:cstheme="minorHAnsi"/>
          <w:i/>
        </w:rPr>
        <w:t xml:space="preserve"> Human Rights (Parliamentary Scrutiny) Act 2011</w:t>
      </w:r>
    </w:p>
    <w:p w:rsidR="00595F2D" w:rsidRPr="00883DDD" w:rsidRDefault="00595F2D" w:rsidP="00595F2D">
      <w:pPr>
        <w:spacing w:before="120" w:after="120"/>
        <w:jc w:val="center"/>
        <w:rPr>
          <w:rFonts w:cstheme="minorHAnsi"/>
        </w:rPr>
      </w:pPr>
    </w:p>
    <w:p w:rsidR="00595F2D" w:rsidRPr="00883DDD" w:rsidRDefault="005B2166" w:rsidP="00595F2D">
      <w:pPr>
        <w:spacing w:before="120" w:after="120"/>
        <w:jc w:val="center"/>
        <w:rPr>
          <w:rFonts w:cstheme="minorHAnsi"/>
          <w:b/>
          <w:i/>
        </w:rPr>
      </w:pPr>
      <w:r w:rsidRPr="005B2166">
        <w:rPr>
          <w:rFonts w:cstheme="minorHAnsi"/>
          <w:b/>
          <w:i/>
        </w:rPr>
        <w:t>Telecommunications (Types of Cabling Work) Declaration 2013</w:t>
      </w:r>
    </w:p>
    <w:p w:rsidR="00595F2D" w:rsidRPr="00883DDD" w:rsidRDefault="00595F2D" w:rsidP="00595F2D">
      <w:pPr>
        <w:spacing w:before="120" w:after="120"/>
        <w:jc w:val="center"/>
        <w:rPr>
          <w:rFonts w:cstheme="minorHAnsi"/>
        </w:rPr>
      </w:pPr>
    </w:p>
    <w:p w:rsidR="00595F2D" w:rsidRPr="00883DDD" w:rsidRDefault="005B2166" w:rsidP="00595F2D">
      <w:pPr>
        <w:spacing w:before="120" w:after="120"/>
        <w:rPr>
          <w:rFonts w:cstheme="minorHAnsi"/>
        </w:rPr>
      </w:pPr>
      <w:r w:rsidRPr="005B2166">
        <w:rPr>
          <w:rFonts w:cstheme="minorHAnsi"/>
        </w:rPr>
        <w:t xml:space="preserve">This Legislative Instrument is compatible with the human rights and freedoms recognised or declared in the international instruments listed in section 3 of the </w:t>
      </w:r>
      <w:r w:rsidRPr="005B2166">
        <w:rPr>
          <w:rFonts w:cstheme="minorHAnsi"/>
          <w:i/>
        </w:rPr>
        <w:t>Human Rights (Parliamentary Scrutiny) Act 2011</w:t>
      </w:r>
      <w:r w:rsidRPr="005B2166">
        <w:rPr>
          <w:rFonts w:cstheme="minorHAnsi"/>
        </w:rPr>
        <w:t>.</w:t>
      </w:r>
    </w:p>
    <w:p w:rsidR="00595F2D" w:rsidRPr="00883DDD" w:rsidRDefault="00595F2D" w:rsidP="00595F2D">
      <w:pPr>
        <w:spacing w:before="120" w:after="120"/>
        <w:jc w:val="center"/>
        <w:rPr>
          <w:rFonts w:cstheme="minorHAnsi"/>
        </w:rPr>
      </w:pPr>
    </w:p>
    <w:p w:rsidR="00595F2D" w:rsidRPr="00883DDD" w:rsidRDefault="005B2166" w:rsidP="00595F2D">
      <w:pPr>
        <w:spacing w:before="120" w:after="120"/>
        <w:jc w:val="both"/>
        <w:rPr>
          <w:rFonts w:cstheme="minorHAnsi"/>
          <w:b/>
        </w:rPr>
      </w:pPr>
      <w:r w:rsidRPr="005B2166">
        <w:rPr>
          <w:rFonts w:cstheme="minorHAnsi"/>
          <w:b/>
        </w:rPr>
        <w:t>Overview of the Legislative Instrument</w:t>
      </w:r>
    </w:p>
    <w:p w:rsidR="00595F2D" w:rsidRPr="00883DDD" w:rsidRDefault="005B2166" w:rsidP="00595F2D">
      <w:pPr>
        <w:spacing w:before="120" w:after="120"/>
        <w:rPr>
          <w:rFonts w:cstheme="minorHAnsi"/>
        </w:rPr>
      </w:pPr>
      <w:r w:rsidRPr="005B2166">
        <w:rPr>
          <w:rFonts w:cstheme="minorHAnsi"/>
        </w:rPr>
        <w:t xml:space="preserve">The </w:t>
      </w:r>
      <w:r w:rsidRPr="005B2166">
        <w:rPr>
          <w:rFonts w:cstheme="minorHAnsi"/>
          <w:i/>
        </w:rPr>
        <w:t>Telecommunications (Types of Cabling Work) Declaration 2013</w:t>
      </w:r>
      <w:r w:rsidRPr="005B2166">
        <w:rPr>
          <w:rFonts w:cstheme="minorHAnsi"/>
        </w:rPr>
        <w:t xml:space="preserve"> (the Declaration) is made by the Australian Communications and Media Authority under subsection 419(1) of the </w:t>
      </w:r>
      <w:r w:rsidRPr="005B2166">
        <w:rPr>
          <w:rFonts w:cstheme="minorHAnsi"/>
          <w:i/>
        </w:rPr>
        <w:t xml:space="preserve">Telecommunications Act 1997 </w:t>
      </w:r>
      <w:r w:rsidRPr="005B2166">
        <w:rPr>
          <w:rFonts w:cstheme="minorHAnsi"/>
        </w:rPr>
        <w:t xml:space="preserve">(the Act). The Declaration revokes the </w:t>
      </w:r>
      <w:r w:rsidRPr="005B2166">
        <w:rPr>
          <w:rFonts w:cstheme="minorHAnsi"/>
          <w:i/>
        </w:rPr>
        <w:t>Telecommunications (Types of Cabling Work) Declaration 1997</w:t>
      </w:r>
      <w:r w:rsidRPr="005B2166">
        <w:rPr>
          <w:rFonts w:cstheme="minorHAnsi"/>
        </w:rPr>
        <w:t xml:space="preserve">.  This Declaration is one of a set of regulatory tools used to govern the performance of customer cabling in order to protect the health and safety of persons and the integrity of the telecommunications network. Section 5 of the Declaration provides that any kind of cabling work which is not of a kind mentioned in Schedule 1 is a type of cabling work for the purposes of Division 9 of Part 21 of the Act, and as such is subject to the provisions of the Act. </w:t>
      </w:r>
    </w:p>
    <w:p w:rsidR="00595F2D" w:rsidRPr="00883DDD" w:rsidRDefault="00595F2D" w:rsidP="00595F2D">
      <w:pPr>
        <w:spacing w:before="120" w:after="120"/>
        <w:rPr>
          <w:rFonts w:cstheme="minorHAnsi"/>
        </w:rPr>
      </w:pPr>
    </w:p>
    <w:p w:rsidR="00595F2D" w:rsidRPr="00883DDD" w:rsidRDefault="005B2166" w:rsidP="00595F2D">
      <w:pPr>
        <w:spacing w:before="120" w:after="120"/>
        <w:rPr>
          <w:rFonts w:cstheme="minorHAnsi"/>
          <w:b/>
        </w:rPr>
      </w:pPr>
      <w:r w:rsidRPr="005B2166">
        <w:rPr>
          <w:rFonts w:cstheme="minorHAnsi"/>
          <w:b/>
        </w:rPr>
        <w:t>Human rights implications</w:t>
      </w:r>
    </w:p>
    <w:p w:rsidR="00595F2D" w:rsidRPr="00883DDD" w:rsidRDefault="005B2166" w:rsidP="00595F2D">
      <w:pPr>
        <w:spacing w:before="120" w:after="120"/>
        <w:rPr>
          <w:rFonts w:cstheme="minorHAnsi"/>
        </w:rPr>
      </w:pPr>
      <w:r w:rsidRPr="005B2166">
        <w:rPr>
          <w:rFonts w:cstheme="minorHAnsi"/>
        </w:rPr>
        <w:t>This Legislative Instrument does not engage any of the applicable rights or freedoms.</w:t>
      </w:r>
    </w:p>
    <w:p w:rsidR="00595F2D" w:rsidRPr="00883DDD" w:rsidRDefault="00595F2D" w:rsidP="00595F2D">
      <w:pPr>
        <w:spacing w:before="120" w:after="120"/>
        <w:rPr>
          <w:rFonts w:cstheme="minorHAnsi"/>
        </w:rPr>
      </w:pPr>
    </w:p>
    <w:p w:rsidR="00595F2D" w:rsidRPr="00883DDD" w:rsidRDefault="005B2166" w:rsidP="00595F2D">
      <w:pPr>
        <w:spacing w:before="120" w:after="120"/>
        <w:rPr>
          <w:rFonts w:cstheme="minorHAnsi"/>
          <w:b/>
        </w:rPr>
      </w:pPr>
      <w:r w:rsidRPr="005B2166">
        <w:rPr>
          <w:rFonts w:cstheme="minorHAnsi"/>
          <w:b/>
        </w:rPr>
        <w:t>Conclusion</w:t>
      </w:r>
    </w:p>
    <w:p w:rsidR="00595F2D" w:rsidRPr="00883DDD" w:rsidRDefault="005B2166" w:rsidP="00595F2D">
      <w:pPr>
        <w:spacing w:before="120" w:after="120"/>
        <w:rPr>
          <w:rFonts w:cstheme="minorHAnsi"/>
        </w:rPr>
      </w:pPr>
      <w:r w:rsidRPr="005B2166">
        <w:rPr>
          <w:rFonts w:cstheme="minorHAnsi"/>
        </w:rPr>
        <w:t>This Legislative Instrument is compatible with human rights as it does not raise any human rights issues.</w:t>
      </w:r>
    </w:p>
    <w:p w:rsidR="004E2FDD" w:rsidRPr="00883DDD" w:rsidRDefault="004E2FDD" w:rsidP="003938A3">
      <w:pPr>
        <w:rPr>
          <w:rFonts w:cstheme="minorHAnsi"/>
        </w:rPr>
      </w:pPr>
    </w:p>
    <w:p w:rsidR="00AD63A7" w:rsidRPr="00883DDD" w:rsidRDefault="00AD63A7" w:rsidP="00FE4E88">
      <w:pPr>
        <w:rPr>
          <w:rFonts w:cstheme="minorHAnsi"/>
        </w:rPr>
      </w:pPr>
    </w:p>
    <w:sectPr w:rsidR="00AD63A7" w:rsidRPr="00883DDD" w:rsidSect="00621B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4C7"/>
    <w:multiLevelType w:val="hybridMultilevel"/>
    <w:tmpl w:val="21980E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8E40843"/>
    <w:multiLevelType w:val="hybridMultilevel"/>
    <w:tmpl w:val="B16AD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5B46CFD"/>
    <w:multiLevelType w:val="hybridMultilevel"/>
    <w:tmpl w:val="CDDCE898"/>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3">
    <w:nsid w:val="3D1643D3"/>
    <w:multiLevelType w:val="hybridMultilevel"/>
    <w:tmpl w:val="88E414F4"/>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4">
    <w:nsid w:val="5C0149D9"/>
    <w:multiLevelType w:val="hybridMultilevel"/>
    <w:tmpl w:val="AF200196"/>
    <w:lvl w:ilvl="0" w:tplc="0C090001">
      <w:start w:val="1"/>
      <w:numFmt w:val="bullet"/>
      <w:lvlText w:val=""/>
      <w:lvlJc w:val="left"/>
      <w:pPr>
        <w:ind w:left="5454" w:hanging="360"/>
      </w:pPr>
      <w:rPr>
        <w:rFonts w:ascii="Symbol" w:hAnsi="Symbol" w:hint="default"/>
      </w:rPr>
    </w:lvl>
    <w:lvl w:ilvl="1" w:tplc="0C090003">
      <w:start w:val="1"/>
      <w:numFmt w:val="bullet"/>
      <w:lvlText w:val="o"/>
      <w:lvlJc w:val="left"/>
      <w:pPr>
        <w:ind w:left="6174" w:hanging="360"/>
      </w:pPr>
      <w:rPr>
        <w:rFonts w:ascii="Courier New" w:hAnsi="Courier New" w:cs="Courier New" w:hint="default"/>
      </w:rPr>
    </w:lvl>
    <w:lvl w:ilvl="2" w:tplc="0C090005" w:tentative="1">
      <w:start w:val="1"/>
      <w:numFmt w:val="bullet"/>
      <w:lvlText w:val=""/>
      <w:lvlJc w:val="left"/>
      <w:pPr>
        <w:ind w:left="6894" w:hanging="360"/>
      </w:pPr>
      <w:rPr>
        <w:rFonts w:ascii="Wingdings" w:hAnsi="Wingdings" w:hint="default"/>
      </w:rPr>
    </w:lvl>
    <w:lvl w:ilvl="3" w:tplc="0C090001" w:tentative="1">
      <w:start w:val="1"/>
      <w:numFmt w:val="bullet"/>
      <w:lvlText w:val=""/>
      <w:lvlJc w:val="left"/>
      <w:pPr>
        <w:ind w:left="7614" w:hanging="360"/>
      </w:pPr>
      <w:rPr>
        <w:rFonts w:ascii="Symbol" w:hAnsi="Symbol" w:hint="default"/>
      </w:rPr>
    </w:lvl>
    <w:lvl w:ilvl="4" w:tplc="0C090003" w:tentative="1">
      <w:start w:val="1"/>
      <w:numFmt w:val="bullet"/>
      <w:lvlText w:val="o"/>
      <w:lvlJc w:val="left"/>
      <w:pPr>
        <w:ind w:left="8334" w:hanging="360"/>
      </w:pPr>
      <w:rPr>
        <w:rFonts w:ascii="Courier New" w:hAnsi="Courier New" w:cs="Courier New" w:hint="default"/>
      </w:rPr>
    </w:lvl>
    <w:lvl w:ilvl="5" w:tplc="0C090005" w:tentative="1">
      <w:start w:val="1"/>
      <w:numFmt w:val="bullet"/>
      <w:lvlText w:val=""/>
      <w:lvlJc w:val="left"/>
      <w:pPr>
        <w:ind w:left="9054" w:hanging="360"/>
      </w:pPr>
      <w:rPr>
        <w:rFonts w:ascii="Wingdings" w:hAnsi="Wingdings" w:hint="default"/>
      </w:rPr>
    </w:lvl>
    <w:lvl w:ilvl="6" w:tplc="0C090001" w:tentative="1">
      <w:start w:val="1"/>
      <w:numFmt w:val="bullet"/>
      <w:lvlText w:val=""/>
      <w:lvlJc w:val="left"/>
      <w:pPr>
        <w:ind w:left="9774" w:hanging="360"/>
      </w:pPr>
      <w:rPr>
        <w:rFonts w:ascii="Symbol" w:hAnsi="Symbol" w:hint="default"/>
      </w:rPr>
    </w:lvl>
    <w:lvl w:ilvl="7" w:tplc="0C090003" w:tentative="1">
      <w:start w:val="1"/>
      <w:numFmt w:val="bullet"/>
      <w:lvlText w:val="o"/>
      <w:lvlJc w:val="left"/>
      <w:pPr>
        <w:ind w:left="10494" w:hanging="360"/>
      </w:pPr>
      <w:rPr>
        <w:rFonts w:ascii="Courier New" w:hAnsi="Courier New" w:cs="Courier New" w:hint="default"/>
      </w:rPr>
    </w:lvl>
    <w:lvl w:ilvl="8" w:tplc="0C090005" w:tentative="1">
      <w:start w:val="1"/>
      <w:numFmt w:val="bullet"/>
      <w:lvlText w:val=""/>
      <w:lvlJc w:val="left"/>
      <w:pPr>
        <w:ind w:left="11214"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16C"/>
    <w:rsid w:val="00025072"/>
    <w:rsid w:val="00031057"/>
    <w:rsid w:val="00073BCE"/>
    <w:rsid w:val="00075425"/>
    <w:rsid w:val="00095B2F"/>
    <w:rsid w:val="000D2571"/>
    <w:rsid w:val="00102C41"/>
    <w:rsid w:val="00130D64"/>
    <w:rsid w:val="00152E19"/>
    <w:rsid w:val="00163CD6"/>
    <w:rsid w:val="00170F0F"/>
    <w:rsid w:val="001A0502"/>
    <w:rsid w:val="001A12CE"/>
    <w:rsid w:val="001B2E84"/>
    <w:rsid w:val="001E2FC4"/>
    <w:rsid w:val="00203573"/>
    <w:rsid w:val="00205865"/>
    <w:rsid w:val="00223E2F"/>
    <w:rsid w:val="00230247"/>
    <w:rsid w:val="00290AAB"/>
    <w:rsid w:val="00296E78"/>
    <w:rsid w:val="002A5E1D"/>
    <w:rsid w:val="002F62CA"/>
    <w:rsid w:val="00325747"/>
    <w:rsid w:val="00332905"/>
    <w:rsid w:val="0037464B"/>
    <w:rsid w:val="003938A3"/>
    <w:rsid w:val="003B0764"/>
    <w:rsid w:val="003C444E"/>
    <w:rsid w:val="003D2DFD"/>
    <w:rsid w:val="003D38A3"/>
    <w:rsid w:val="00411BF0"/>
    <w:rsid w:val="004319DE"/>
    <w:rsid w:val="00466A1A"/>
    <w:rsid w:val="004B7531"/>
    <w:rsid w:val="004E1D54"/>
    <w:rsid w:val="004E2FDD"/>
    <w:rsid w:val="004E7640"/>
    <w:rsid w:val="005136B6"/>
    <w:rsid w:val="00534F66"/>
    <w:rsid w:val="00537BBA"/>
    <w:rsid w:val="0055316C"/>
    <w:rsid w:val="005648EE"/>
    <w:rsid w:val="00595F2D"/>
    <w:rsid w:val="005B2166"/>
    <w:rsid w:val="005B6557"/>
    <w:rsid w:val="005C0DC7"/>
    <w:rsid w:val="005C1705"/>
    <w:rsid w:val="005C2AF4"/>
    <w:rsid w:val="005C5F92"/>
    <w:rsid w:val="005D5EAD"/>
    <w:rsid w:val="005E70A4"/>
    <w:rsid w:val="005F24C3"/>
    <w:rsid w:val="005F269F"/>
    <w:rsid w:val="006129B7"/>
    <w:rsid w:val="00617471"/>
    <w:rsid w:val="00621B70"/>
    <w:rsid w:val="006538AD"/>
    <w:rsid w:val="006570F8"/>
    <w:rsid w:val="006630E6"/>
    <w:rsid w:val="006B0FEF"/>
    <w:rsid w:val="006B25FA"/>
    <w:rsid w:val="006B5083"/>
    <w:rsid w:val="006D2E88"/>
    <w:rsid w:val="006E712A"/>
    <w:rsid w:val="00701719"/>
    <w:rsid w:val="00725395"/>
    <w:rsid w:val="00746E30"/>
    <w:rsid w:val="00751DB3"/>
    <w:rsid w:val="00772E84"/>
    <w:rsid w:val="00782404"/>
    <w:rsid w:val="00814DDD"/>
    <w:rsid w:val="00832B8A"/>
    <w:rsid w:val="008420E3"/>
    <w:rsid w:val="00842DB5"/>
    <w:rsid w:val="008455B8"/>
    <w:rsid w:val="0086337A"/>
    <w:rsid w:val="00872ECE"/>
    <w:rsid w:val="00876AEF"/>
    <w:rsid w:val="00877984"/>
    <w:rsid w:val="0088266B"/>
    <w:rsid w:val="00883DDD"/>
    <w:rsid w:val="00884FD7"/>
    <w:rsid w:val="00897E0B"/>
    <w:rsid w:val="008C24D6"/>
    <w:rsid w:val="008D5033"/>
    <w:rsid w:val="008F6AEB"/>
    <w:rsid w:val="00932295"/>
    <w:rsid w:val="00934211"/>
    <w:rsid w:val="00941437"/>
    <w:rsid w:val="00941947"/>
    <w:rsid w:val="00970EBC"/>
    <w:rsid w:val="009767DE"/>
    <w:rsid w:val="0098201B"/>
    <w:rsid w:val="009B58DE"/>
    <w:rsid w:val="009D2D7F"/>
    <w:rsid w:val="009F23C1"/>
    <w:rsid w:val="00A0693E"/>
    <w:rsid w:val="00A077F4"/>
    <w:rsid w:val="00A07813"/>
    <w:rsid w:val="00A46F89"/>
    <w:rsid w:val="00A52DB8"/>
    <w:rsid w:val="00A6516A"/>
    <w:rsid w:val="00A76F4D"/>
    <w:rsid w:val="00A927C7"/>
    <w:rsid w:val="00A9300D"/>
    <w:rsid w:val="00AB4733"/>
    <w:rsid w:val="00AD13B3"/>
    <w:rsid w:val="00AD1806"/>
    <w:rsid w:val="00AD5D0B"/>
    <w:rsid w:val="00AD63A7"/>
    <w:rsid w:val="00AF2FE3"/>
    <w:rsid w:val="00B0463A"/>
    <w:rsid w:val="00B409FB"/>
    <w:rsid w:val="00B768C1"/>
    <w:rsid w:val="00C74120"/>
    <w:rsid w:val="00CB3837"/>
    <w:rsid w:val="00CB66EF"/>
    <w:rsid w:val="00CB73D4"/>
    <w:rsid w:val="00CC0871"/>
    <w:rsid w:val="00CC40A8"/>
    <w:rsid w:val="00CE0D09"/>
    <w:rsid w:val="00CF0249"/>
    <w:rsid w:val="00CF145D"/>
    <w:rsid w:val="00D249BB"/>
    <w:rsid w:val="00D849A0"/>
    <w:rsid w:val="00DA1413"/>
    <w:rsid w:val="00DB47E8"/>
    <w:rsid w:val="00DC4113"/>
    <w:rsid w:val="00DC5918"/>
    <w:rsid w:val="00DD59B2"/>
    <w:rsid w:val="00DD6F0D"/>
    <w:rsid w:val="00E14D71"/>
    <w:rsid w:val="00E20505"/>
    <w:rsid w:val="00E34944"/>
    <w:rsid w:val="00E3523A"/>
    <w:rsid w:val="00E40EF3"/>
    <w:rsid w:val="00E51FDC"/>
    <w:rsid w:val="00E8727D"/>
    <w:rsid w:val="00EC0C96"/>
    <w:rsid w:val="00ED3911"/>
    <w:rsid w:val="00EE12F6"/>
    <w:rsid w:val="00EF2E5D"/>
    <w:rsid w:val="00F160C2"/>
    <w:rsid w:val="00F33A92"/>
    <w:rsid w:val="00F541B0"/>
    <w:rsid w:val="00F648B7"/>
    <w:rsid w:val="00F82840"/>
    <w:rsid w:val="00F84B6F"/>
    <w:rsid w:val="00F96962"/>
    <w:rsid w:val="00FD75FA"/>
    <w:rsid w:val="00FE0556"/>
    <w:rsid w:val="00FE4E8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E88"/>
    <w:pPr>
      <w:ind w:left="720"/>
      <w:contextualSpacing/>
    </w:pPr>
  </w:style>
  <w:style w:type="paragraph" w:styleId="BalloonText">
    <w:name w:val="Balloon Text"/>
    <w:basedOn w:val="Normal"/>
    <w:link w:val="BalloonTextChar"/>
    <w:uiPriority w:val="99"/>
    <w:semiHidden/>
    <w:unhideWhenUsed/>
    <w:rsid w:val="005C0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C7"/>
    <w:rPr>
      <w:rFonts w:ascii="Tahoma" w:hAnsi="Tahoma" w:cs="Tahoma"/>
      <w:sz w:val="16"/>
      <w:szCs w:val="16"/>
    </w:rPr>
  </w:style>
  <w:style w:type="character" w:styleId="CommentReference">
    <w:name w:val="annotation reference"/>
    <w:basedOn w:val="DefaultParagraphFont"/>
    <w:uiPriority w:val="99"/>
    <w:semiHidden/>
    <w:unhideWhenUsed/>
    <w:rsid w:val="006B5083"/>
    <w:rPr>
      <w:sz w:val="16"/>
      <w:szCs w:val="16"/>
    </w:rPr>
  </w:style>
  <w:style w:type="paragraph" w:styleId="CommentText">
    <w:name w:val="annotation text"/>
    <w:basedOn w:val="Normal"/>
    <w:link w:val="CommentTextChar"/>
    <w:uiPriority w:val="99"/>
    <w:semiHidden/>
    <w:unhideWhenUsed/>
    <w:rsid w:val="006B5083"/>
    <w:pPr>
      <w:spacing w:line="240" w:lineRule="auto"/>
    </w:pPr>
    <w:rPr>
      <w:sz w:val="20"/>
      <w:szCs w:val="20"/>
    </w:rPr>
  </w:style>
  <w:style w:type="character" w:customStyle="1" w:styleId="CommentTextChar">
    <w:name w:val="Comment Text Char"/>
    <w:basedOn w:val="DefaultParagraphFont"/>
    <w:link w:val="CommentText"/>
    <w:uiPriority w:val="99"/>
    <w:semiHidden/>
    <w:rsid w:val="006B5083"/>
    <w:rPr>
      <w:sz w:val="20"/>
      <w:szCs w:val="20"/>
    </w:rPr>
  </w:style>
  <w:style w:type="paragraph" w:styleId="CommentSubject">
    <w:name w:val="annotation subject"/>
    <w:basedOn w:val="CommentText"/>
    <w:next w:val="CommentText"/>
    <w:link w:val="CommentSubjectChar"/>
    <w:uiPriority w:val="99"/>
    <w:semiHidden/>
    <w:unhideWhenUsed/>
    <w:rsid w:val="006B5083"/>
    <w:rPr>
      <w:b/>
      <w:bCs/>
    </w:rPr>
  </w:style>
  <w:style w:type="character" w:customStyle="1" w:styleId="CommentSubjectChar">
    <w:name w:val="Comment Subject Char"/>
    <w:basedOn w:val="CommentTextChar"/>
    <w:link w:val="CommentSubject"/>
    <w:uiPriority w:val="99"/>
    <w:semiHidden/>
    <w:rsid w:val="006B5083"/>
    <w:rPr>
      <w:b/>
      <w:bCs/>
    </w:rPr>
  </w:style>
  <w:style w:type="paragraph" w:styleId="Revision">
    <w:name w:val="Revision"/>
    <w:hidden/>
    <w:uiPriority w:val="99"/>
    <w:semiHidden/>
    <w:rsid w:val="00A077F4"/>
    <w:pPr>
      <w:spacing w:after="0" w:line="240" w:lineRule="auto"/>
    </w:pPr>
  </w:style>
  <w:style w:type="paragraph" w:customStyle="1" w:styleId="definition">
    <w:name w:val="definition"/>
    <w:basedOn w:val="Normal"/>
    <w:rsid w:val="00075425"/>
    <w:pPr>
      <w:spacing w:before="80" w:after="0" w:line="260" w:lineRule="exact"/>
      <w:ind w:left="964"/>
      <w:jc w:val="both"/>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DC59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88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acma.gov.au/theACMA/Consultations/Consultations/Completed/amendment-to-customer-cabling-arrangements---telecomms--types-of-cabling-work--declaration-2013"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33047a-93aa-421b-8aef-52cbfb63cf36" ContentTypeId="0x01010070E27D6A746B5B48ADF22C2128054D55" PreviousValue="false"/>
</file>

<file path=customXml/item2.xml><?xml version="1.0" encoding="utf-8"?>
<p:properties xmlns:p="http://schemas.microsoft.com/office/2006/metadata/properties" xmlns:xsi="http://www.w3.org/2001/XMLSchema-instance" xmlns:pc="http://schemas.microsoft.com/office/infopath/2007/PartnerControls">
  <documentManagement>
    <Record_x0020_Number xmlns="83630db1-6fc2-4dfd-b3fe-d61d34e1440c">ER2013/041061</Record_x0020_Number>
    <Legacy_x0020_Record_x0020_Number xmlns="83630db1-6fc2-4dfd-b3fe-d61d34e1440c" xsi:nil="true"/>
    <IconOverlay xmlns="http://schemas.microsoft.com/sharepoint/v4" xsi:nil="true"/>
    <Category xmlns="5e268b55-9e20-462b-aba6-694451a37717">(none)</Category>
    <_dlc_DocId xmlns="6db8f3c6-01a1-4322-b043-a3b2a190f7a8">KNAH4PPFC442-1945-1025</_dlc_DocId>
    <_dlc_DocIdUrl xmlns="6db8f3c6-01a1-4322-b043-a3b2a190f7a8">
      <Url>http://collaboration/organisation/Auth/Chair/Auth/_layouts/DocIdRedir.aspx?ID=KNAH4PPFC442-1945-1025</Url>
      <Description>KNAH4PPFC442-1945-1025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ecord" ma:contentTypeID="0x01010070E27D6A746B5B48ADF22C2128054D5500020C07817F1F68498B2166EE12B17A57" ma:contentTypeVersion="35" ma:contentTypeDescription="A document enhanced so that it is automatically captured by RecordPoint." ma:contentTypeScope="" ma:versionID="e7e4629d89fad1c8ff1348d29791285f">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d30610679a7f49b9b50f4c260411420f"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5A54C1-E2D5-4E40-99E0-902CBB3C1065}">
  <ds:schemaRefs>
    <ds:schemaRef ds:uri="Microsoft.SharePoint.Taxonomy.ContentTypeSync"/>
  </ds:schemaRefs>
</ds:datastoreItem>
</file>

<file path=customXml/itemProps2.xml><?xml version="1.0" encoding="utf-8"?>
<ds:datastoreItem xmlns:ds="http://schemas.openxmlformats.org/officeDocument/2006/customXml" ds:itemID="{9F3111B0-39A9-464A-A8E6-A0FA98336771}">
  <ds:schemaRefs>
    <ds:schemaRef ds:uri="http://schemas.microsoft.com/office/2006/metadata/properties"/>
    <ds:schemaRef ds:uri="http://schemas.microsoft.com/office/infopath/2007/PartnerControls"/>
    <ds:schemaRef ds:uri="83630db1-6fc2-4dfd-b3fe-d61d34e1440c"/>
    <ds:schemaRef ds:uri="http://schemas.microsoft.com/sharepoint/v4"/>
    <ds:schemaRef ds:uri="5e268b55-9e20-462b-aba6-694451a37717"/>
    <ds:schemaRef ds:uri="6db8f3c6-01a1-4322-b043-a3b2a190f7a8"/>
  </ds:schemaRefs>
</ds:datastoreItem>
</file>

<file path=customXml/itemProps3.xml><?xml version="1.0" encoding="utf-8"?>
<ds:datastoreItem xmlns:ds="http://schemas.openxmlformats.org/officeDocument/2006/customXml" ds:itemID="{13C98A27-7E3A-4F95-831C-6ED151817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0653B-5C72-4D96-9B04-CCB801AD4F4E}">
  <ds:schemaRefs>
    <ds:schemaRef ds:uri="http://schemas.microsoft.com/sharepoint/v3/contenttype/forms"/>
  </ds:schemaRefs>
</ds:datastoreItem>
</file>

<file path=customXml/itemProps5.xml><?xml version="1.0" encoding="utf-8"?>
<ds:datastoreItem xmlns:ds="http://schemas.openxmlformats.org/officeDocument/2006/customXml" ds:itemID="{F660658D-0325-47C4-B05D-9FB9E93A48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Cuong Nguyen</dc:creator>
  <cp:lastModifiedBy>Helen Turnbull</cp:lastModifiedBy>
  <cp:revision>3</cp:revision>
  <cp:lastPrinted>2013-09-04T00:33:00Z</cp:lastPrinted>
  <dcterms:created xsi:type="dcterms:W3CDTF">2013-09-04T01:33:00Z</dcterms:created>
  <dcterms:modified xsi:type="dcterms:W3CDTF">2013-10-25T00:02:00Z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0x01010070E27D6A746B5B48ADF22C2128054D5500020C07817F1F68498B2166EE12B17A57</vt:lpwstr>
  </property>
  <property fmtid="{D5CDD505-2E9C-101B-9397-08002B2CF9AE}" pid="3" name="_dlc_DocIdItemGuid">
    <vt:lpwstr>369e70d8-a880-4735-8fc0-afe12cbf926d</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2013-10-09T12:30:06.6605847+11:00</vt:lpwstr>
  </property>
  <property fmtid="{D5CDD505-2E9C-101B-9397-08002B2CF9AE}" pid="9" name="RecordPoint_ActiveItemUniqueId">
    <vt:lpwstr>{369e70d8-a880-4735-8fc0-afe12cbf926d}</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y fmtid="{D5CDD505-2E9C-101B-9397-08002B2CF9AE}" pid="13" name="_AdHocReviewCycleID">
    <vt:i4>-2067120494</vt:i4>
  </property>
  <property fmtid="{D5CDD505-2E9C-101B-9397-08002B2CF9AE}" pid="14" name="_NewReviewCycle">
    <vt:lpwstr/>
  </property>
  <property fmtid="{D5CDD505-2E9C-101B-9397-08002B2CF9AE}" pid="15" name="_EmailSubject">
    <vt:lpwstr>Types of Cabling Work Declaration</vt:lpwstr>
  </property>
  <property fmtid="{D5CDD505-2E9C-101B-9397-08002B2CF9AE}" pid="16" name="_AuthorEmail">
    <vt:lpwstr>Helen.Turnbull@acma.gov.au</vt:lpwstr>
  </property>
  <property fmtid="{D5CDD505-2E9C-101B-9397-08002B2CF9AE}" pid="17" name="_AuthorEmailDisplayName">
    <vt:lpwstr>Helen Turnbull</vt:lpwstr>
  </property>
</Properties>
</file>